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rPr>
          <w:b/>
          <w:color w:val="000000"/>
          <w:sz w:val="24"/>
        </w:rPr>
      </w:pPr>
    </w:p>
    <w:p>
      <w:pPr>
        <w:pStyle w:val="11"/>
        <w:spacing w:line="360" w:lineRule="auto"/>
        <w:jc w:val="center"/>
        <w:rPr>
          <w:b/>
          <w:color w:val="000000"/>
          <w:sz w:val="24"/>
        </w:rPr>
      </w:pPr>
    </w:p>
    <w:p>
      <w:pPr>
        <w:pStyle w:val="11"/>
        <w:spacing w:line="360" w:lineRule="auto"/>
        <w:jc w:val="center"/>
        <w:rPr>
          <w:b/>
          <w:color w:val="000000"/>
          <w:sz w:val="24"/>
        </w:rPr>
      </w:pPr>
    </w:p>
    <w:p>
      <w:pPr>
        <w:pStyle w:val="11"/>
        <w:spacing w:line="360" w:lineRule="auto"/>
        <w:jc w:val="center"/>
        <w:rPr>
          <w:b/>
          <w:color w:val="000000"/>
          <w:sz w:val="24"/>
        </w:rPr>
      </w:pPr>
    </w:p>
    <w:p>
      <w:pPr>
        <w:pStyle w:val="11"/>
        <w:spacing w:line="360" w:lineRule="auto"/>
        <w:jc w:val="center"/>
        <w:rPr>
          <w:b/>
          <w:color w:val="000000"/>
          <w:szCs w:val="28"/>
        </w:rPr>
      </w:pPr>
    </w:p>
    <w:p>
      <w:pPr>
        <w:pStyle w:val="11"/>
        <w:spacing w:line="360" w:lineRule="auto"/>
        <w:jc w:val="center"/>
        <w:rPr>
          <w:b/>
          <w:color w:val="000000"/>
          <w:sz w:val="44"/>
          <w:szCs w:val="44"/>
        </w:rPr>
      </w:pPr>
      <w:r>
        <w:rPr>
          <w:b/>
          <w:color w:val="000000"/>
          <w:sz w:val="44"/>
          <w:szCs w:val="44"/>
        </w:rPr>
        <w:t>纯蒸汽质量检测仪URS</w:t>
      </w:r>
    </w:p>
    <w:p>
      <w:pPr>
        <w:pStyle w:val="11"/>
        <w:spacing w:line="360" w:lineRule="auto"/>
        <w:rPr>
          <w:b/>
          <w:color w:val="000000"/>
          <w:sz w:val="24"/>
        </w:rPr>
      </w:pPr>
    </w:p>
    <w:p>
      <w:pPr>
        <w:pStyle w:val="11"/>
        <w:spacing w:line="360" w:lineRule="auto"/>
        <w:jc w:val="center"/>
        <w:rPr>
          <w:b/>
          <w:color w:val="000000"/>
          <w:sz w:val="24"/>
        </w:rPr>
      </w:pPr>
    </w:p>
    <w:p>
      <w:pPr>
        <w:pStyle w:val="11"/>
        <w:spacing w:line="360" w:lineRule="auto"/>
        <w:jc w:val="center"/>
        <w:rPr>
          <w:b/>
          <w:color w:val="000000"/>
          <w:sz w:val="24"/>
        </w:rPr>
      </w:pPr>
    </w:p>
    <w:p>
      <w:pPr>
        <w:pStyle w:val="11"/>
        <w:spacing w:line="360" w:lineRule="auto"/>
        <w:jc w:val="center"/>
        <w:rPr>
          <w:b/>
          <w:color w:val="000000"/>
          <w:sz w:val="24"/>
        </w:rPr>
      </w:pPr>
    </w:p>
    <w:p>
      <w:pPr>
        <w:pStyle w:val="11"/>
        <w:spacing w:line="360" w:lineRule="auto"/>
        <w:rPr>
          <w:b/>
          <w:color w:val="000000"/>
          <w:sz w:val="24"/>
        </w:rPr>
      </w:pPr>
    </w:p>
    <w:p>
      <w:pPr>
        <w:pStyle w:val="11"/>
        <w:spacing w:line="360" w:lineRule="auto"/>
        <w:rPr>
          <w:b/>
          <w:color w:val="000000"/>
          <w:sz w:val="24"/>
        </w:rPr>
      </w:pPr>
    </w:p>
    <w:p>
      <w:pPr>
        <w:pStyle w:val="11"/>
        <w:spacing w:line="360" w:lineRule="auto"/>
        <w:rPr>
          <w:b/>
          <w:color w:val="000000"/>
          <w:sz w:val="24"/>
        </w:rPr>
      </w:pPr>
    </w:p>
    <w:p>
      <w:pPr>
        <w:pStyle w:val="11"/>
        <w:spacing w:line="360" w:lineRule="auto"/>
        <w:jc w:val="center"/>
        <w:rPr>
          <w:b/>
          <w:color w:val="000000"/>
          <w:sz w:val="24"/>
        </w:rPr>
      </w:pPr>
    </w:p>
    <w:tbl>
      <w:tblPr>
        <w:tblStyle w:val="24"/>
        <w:tblW w:w="96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126"/>
        <w:gridCol w:w="2835"/>
        <w:gridCol w:w="1701"/>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623" w:type="dxa"/>
            <w:gridSpan w:val="5"/>
            <w:shd w:val="pct25" w:color="auto" w:fill="FFFFFF"/>
            <w:vAlign w:val="center"/>
          </w:tcPr>
          <w:p>
            <w:pPr>
              <w:pStyle w:val="11"/>
              <w:spacing w:line="360" w:lineRule="auto"/>
              <w:jc w:val="center"/>
              <w:rPr>
                <w:b/>
                <w:color w:val="000000"/>
                <w:sz w:val="24"/>
              </w:rPr>
            </w:pPr>
            <w:r>
              <w:rPr>
                <w:b/>
                <w:color w:val="000000"/>
                <w:sz w:val="24"/>
              </w:rPr>
              <w:t>起草、审核及批准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1411" w:type="dxa"/>
            <w:shd w:val="pct25" w:color="auto" w:fill="FFFFFF"/>
            <w:vAlign w:val="center"/>
          </w:tcPr>
          <w:p>
            <w:pPr>
              <w:pStyle w:val="48"/>
              <w:spacing w:before="0" w:after="0"/>
              <w:jc w:val="center"/>
              <w:rPr>
                <w:b/>
                <w:szCs w:val="24"/>
                <w:lang w:val="it-IT" w:eastAsia="zh-CN"/>
              </w:rPr>
            </w:pPr>
          </w:p>
        </w:tc>
        <w:tc>
          <w:tcPr>
            <w:tcW w:w="2126" w:type="dxa"/>
            <w:shd w:val="pct25" w:color="auto" w:fill="FFFFFF"/>
            <w:vAlign w:val="center"/>
          </w:tcPr>
          <w:p>
            <w:pPr>
              <w:pStyle w:val="48"/>
              <w:spacing w:before="0" w:after="0"/>
              <w:jc w:val="center"/>
              <w:rPr>
                <w:b/>
                <w:szCs w:val="24"/>
                <w:lang w:val="it-IT" w:eastAsia="zh-CN"/>
              </w:rPr>
            </w:pPr>
            <w:r>
              <w:rPr>
                <w:b/>
                <w:szCs w:val="24"/>
                <w:lang w:val="it-IT" w:eastAsia="zh-CN"/>
              </w:rPr>
              <w:t>部 门</w:t>
            </w:r>
          </w:p>
        </w:tc>
        <w:tc>
          <w:tcPr>
            <w:tcW w:w="2835" w:type="dxa"/>
            <w:shd w:val="pct25" w:color="auto" w:fill="FFFFFF"/>
            <w:vAlign w:val="center"/>
          </w:tcPr>
          <w:p>
            <w:pPr>
              <w:pStyle w:val="48"/>
              <w:spacing w:before="0" w:after="0"/>
              <w:jc w:val="center"/>
              <w:rPr>
                <w:b/>
                <w:szCs w:val="24"/>
                <w:lang w:val="it-IT" w:eastAsia="zh-CN"/>
              </w:rPr>
            </w:pPr>
            <w:r>
              <w:rPr>
                <w:b/>
                <w:szCs w:val="24"/>
                <w:lang w:val="it-IT" w:eastAsia="zh-CN"/>
              </w:rPr>
              <w:t>责任人</w:t>
            </w:r>
          </w:p>
        </w:tc>
        <w:tc>
          <w:tcPr>
            <w:tcW w:w="1701" w:type="dxa"/>
            <w:shd w:val="pct25" w:color="auto" w:fill="FFFFFF"/>
            <w:vAlign w:val="center"/>
          </w:tcPr>
          <w:p>
            <w:pPr>
              <w:pStyle w:val="48"/>
              <w:spacing w:before="0" w:after="0"/>
              <w:jc w:val="center"/>
              <w:rPr>
                <w:b/>
                <w:szCs w:val="24"/>
                <w:lang w:val="it-IT"/>
              </w:rPr>
            </w:pPr>
            <w:r>
              <w:rPr>
                <w:b/>
                <w:szCs w:val="24"/>
                <w:lang w:val="it-IT"/>
              </w:rPr>
              <w:t>签</w:t>
            </w:r>
            <w:r>
              <w:rPr>
                <w:b/>
                <w:szCs w:val="24"/>
                <w:lang w:val="it-IT" w:eastAsia="zh-CN"/>
              </w:rPr>
              <w:t xml:space="preserve"> </w:t>
            </w:r>
            <w:r>
              <w:rPr>
                <w:b/>
                <w:szCs w:val="24"/>
                <w:lang w:val="it-IT"/>
              </w:rPr>
              <w:t>名</w:t>
            </w:r>
          </w:p>
        </w:tc>
        <w:tc>
          <w:tcPr>
            <w:tcW w:w="1550" w:type="dxa"/>
            <w:shd w:val="pct25" w:color="auto" w:fill="FFFFFF"/>
            <w:vAlign w:val="center"/>
          </w:tcPr>
          <w:p>
            <w:pPr>
              <w:pStyle w:val="48"/>
              <w:spacing w:before="0" w:after="0"/>
              <w:jc w:val="center"/>
              <w:rPr>
                <w:b/>
                <w:szCs w:val="24"/>
                <w:lang w:val="it-IT" w:eastAsia="zh-CN"/>
              </w:rPr>
            </w:pPr>
            <w:r>
              <w:rPr>
                <w:b/>
                <w:szCs w:val="24"/>
                <w:lang w:val="it-IT"/>
              </w:rPr>
              <w:t>日</w:t>
            </w:r>
            <w:r>
              <w:rPr>
                <w:b/>
                <w:szCs w:val="24"/>
                <w:lang w:val="it-IT" w:eastAsia="zh-CN"/>
              </w:rPr>
              <w:t xml:space="preserve"> </w:t>
            </w:r>
            <w:r>
              <w:rPr>
                <w:b/>
                <w:szCs w:val="24"/>
                <w:lang w:val="it-IT"/>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48"/>
              <w:spacing w:before="60" w:after="60"/>
              <w:ind w:right="34" w:rightChars="16"/>
              <w:jc w:val="center"/>
              <w:rPr>
                <w:b/>
                <w:iCs/>
                <w:szCs w:val="24"/>
                <w:lang w:val="it-IT" w:eastAsia="zh-CN"/>
              </w:rPr>
            </w:pPr>
            <w:r>
              <w:rPr>
                <w:b/>
                <w:iCs/>
                <w:szCs w:val="24"/>
                <w:lang w:eastAsia="zh-CN"/>
              </w:rPr>
              <w:t>起 草</w:t>
            </w:r>
          </w:p>
        </w:tc>
        <w:tc>
          <w:tcPr>
            <w:tcW w:w="2126" w:type="dxa"/>
            <w:vAlign w:val="center"/>
          </w:tcPr>
          <w:p>
            <w:pPr>
              <w:pStyle w:val="48"/>
              <w:spacing w:before="60" w:after="60"/>
              <w:jc w:val="center"/>
              <w:rPr>
                <w:szCs w:val="24"/>
                <w:lang w:val="it-IT" w:eastAsia="zh-CN"/>
              </w:rPr>
            </w:pPr>
            <w:r>
              <w:rPr>
                <w:szCs w:val="24"/>
                <w:lang w:val="it-IT" w:eastAsia="zh-CN"/>
              </w:rPr>
              <w:t>质量保证部</w:t>
            </w:r>
          </w:p>
        </w:tc>
        <w:tc>
          <w:tcPr>
            <w:tcW w:w="2835" w:type="dxa"/>
            <w:vAlign w:val="center"/>
          </w:tcPr>
          <w:p>
            <w:pPr>
              <w:pStyle w:val="48"/>
              <w:spacing w:before="60" w:after="60"/>
              <w:jc w:val="center"/>
              <w:rPr>
                <w:szCs w:val="24"/>
                <w:lang w:val="it-IT" w:eastAsia="zh-CN"/>
              </w:rPr>
            </w:pPr>
            <w:r>
              <w:rPr>
                <w:szCs w:val="24"/>
                <w:lang w:val="it-IT" w:eastAsia="zh-CN"/>
              </w:rPr>
              <w:t>王</w:t>
            </w:r>
            <w:r>
              <w:rPr>
                <w:szCs w:val="24"/>
                <w:lang w:eastAsia="zh-CN"/>
              </w:rPr>
              <w:t xml:space="preserve">  </w:t>
            </w:r>
            <w:r>
              <w:rPr>
                <w:szCs w:val="24"/>
                <w:lang w:val="it-IT" w:eastAsia="zh-CN"/>
              </w:rPr>
              <w:t>卫</w:t>
            </w:r>
          </w:p>
        </w:tc>
        <w:tc>
          <w:tcPr>
            <w:tcW w:w="1701" w:type="dxa"/>
            <w:vAlign w:val="center"/>
          </w:tcPr>
          <w:p>
            <w:pPr>
              <w:pStyle w:val="48"/>
              <w:spacing w:before="60" w:after="60"/>
              <w:jc w:val="center"/>
              <w:rPr>
                <w:szCs w:val="24"/>
                <w:lang w:val="it-IT"/>
              </w:rPr>
            </w:pPr>
          </w:p>
        </w:tc>
        <w:tc>
          <w:tcPr>
            <w:tcW w:w="1550" w:type="dxa"/>
            <w:vAlign w:val="center"/>
          </w:tcPr>
          <w:p>
            <w:pPr>
              <w:pStyle w:val="48"/>
              <w:spacing w:before="60" w:after="60"/>
              <w:jc w:val="center"/>
              <w:rPr>
                <w:szCs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48"/>
              <w:spacing w:before="60" w:after="60"/>
              <w:ind w:right="34" w:rightChars="16"/>
              <w:jc w:val="center"/>
              <w:rPr>
                <w:b/>
                <w:iCs/>
                <w:szCs w:val="24"/>
                <w:lang w:val="it-IT"/>
              </w:rPr>
            </w:pPr>
            <w:r>
              <w:rPr>
                <w:b/>
                <w:iCs/>
                <w:szCs w:val="24"/>
              </w:rPr>
              <w:t>审</w:t>
            </w:r>
            <w:r>
              <w:rPr>
                <w:b/>
                <w:iCs/>
                <w:szCs w:val="24"/>
                <w:lang w:eastAsia="zh-CN"/>
              </w:rPr>
              <w:t xml:space="preserve"> </w:t>
            </w:r>
            <w:r>
              <w:rPr>
                <w:b/>
                <w:iCs/>
                <w:szCs w:val="24"/>
              </w:rPr>
              <w:t>核</w:t>
            </w:r>
          </w:p>
        </w:tc>
        <w:tc>
          <w:tcPr>
            <w:tcW w:w="2126" w:type="dxa"/>
            <w:vAlign w:val="center"/>
          </w:tcPr>
          <w:p>
            <w:pPr>
              <w:pStyle w:val="48"/>
              <w:spacing w:before="60" w:after="60"/>
              <w:jc w:val="center"/>
              <w:rPr>
                <w:szCs w:val="24"/>
                <w:lang w:val="it-IT" w:eastAsia="zh-CN"/>
              </w:rPr>
            </w:pPr>
            <w:r>
              <w:rPr>
                <w:szCs w:val="24"/>
                <w:lang w:val="it-IT" w:eastAsia="zh-CN"/>
              </w:rPr>
              <w:t>工程技术部</w:t>
            </w:r>
          </w:p>
        </w:tc>
        <w:tc>
          <w:tcPr>
            <w:tcW w:w="2835" w:type="dxa"/>
            <w:vAlign w:val="center"/>
          </w:tcPr>
          <w:p>
            <w:pPr>
              <w:pStyle w:val="48"/>
              <w:spacing w:before="60" w:after="60"/>
              <w:jc w:val="center"/>
              <w:rPr>
                <w:szCs w:val="24"/>
                <w:lang w:val="it-IT" w:eastAsia="zh-CN"/>
              </w:rPr>
            </w:pPr>
            <w:r>
              <w:rPr>
                <w:szCs w:val="24"/>
                <w:lang w:val="it-IT" w:eastAsia="zh-CN"/>
              </w:rPr>
              <w:t>徐</w:t>
            </w:r>
            <w:r>
              <w:rPr>
                <w:szCs w:val="24"/>
                <w:lang w:eastAsia="zh-CN"/>
              </w:rPr>
              <w:t xml:space="preserve">  </w:t>
            </w:r>
            <w:r>
              <w:rPr>
                <w:szCs w:val="24"/>
                <w:lang w:val="it-IT" w:eastAsia="zh-CN"/>
              </w:rPr>
              <w:t>砾</w:t>
            </w:r>
          </w:p>
        </w:tc>
        <w:tc>
          <w:tcPr>
            <w:tcW w:w="1701" w:type="dxa"/>
            <w:vAlign w:val="center"/>
          </w:tcPr>
          <w:p>
            <w:pPr>
              <w:pStyle w:val="48"/>
              <w:spacing w:before="60" w:after="60"/>
              <w:jc w:val="center"/>
              <w:rPr>
                <w:szCs w:val="24"/>
                <w:lang w:val="it-IT"/>
              </w:rPr>
            </w:pPr>
          </w:p>
        </w:tc>
        <w:tc>
          <w:tcPr>
            <w:tcW w:w="1550" w:type="dxa"/>
            <w:vAlign w:val="center"/>
          </w:tcPr>
          <w:p>
            <w:pPr>
              <w:pStyle w:val="48"/>
              <w:spacing w:before="60" w:after="60"/>
              <w:jc w:val="center"/>
              <w:rPr>
                <w:szCs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48"/>
              <w:spacing w:before="60" w:after="60"/>
              <w:ind w:right="34" w:rightChars="16"/>
              <w:jc w:val="center"/>
              <w:rPr>
                <w:b/>
                <w:iCs/>
                <w:szCs w:val="24"/>
              </w:rPr>
            </w:pPr>
            <w:r>
              <w:rPr>
                <w:b/>
                <w:iCs/>
                <w:szCs w:val="24"/>
              </w:rPr>
              <w:t>审</w:t>
            </w:r>
            <w:r>
              <w:rPr>
                <w:b/>
                <w:iCs/>
                <w:szCs w:val="24"/>
                <w:lang w:eastAsia="zh-CN"/>
              </w:rPr>
              <w:t xml:space="preserve"> </w:t>
            </w:r>
            <w:r>
              <w:rPr>
                <w:b/>
                <w:iCs/>
                <w:szCs w:val="24"/>
              </w:rPr>
              <w:t>核</w:t>
            </w:r>
          </w:p>
        </w:tc>
        <w:tc>
          <w:tcPr>
            <w:tcW w:w="2126" w:type="dxa"/>
            <w:vAlign w:val="center"/>
          </w:tcPr>
          <w:p>
            <w:pPr>
              <w:pStyle w:val="48"/>
              <w:spacing w:before="60" w:after="60"/>
              <w:jc w:val="center"/>
              <w:rPr>
                <w:szCs w:val="24"/>
                <w:lang w:val="it-IT" w:eastAsia="zh-CN"/>
              </w:rPr>
            </w:pPr>
            <w:r>
              <w:rPr>
                <w:szCs w:val="24"/>
                <w:lang w:val="it-IT" w:eastAsia="zh-CN"/>
              </w:rPr>
              <w:t>生产技术部</w:t>
            </w:r>
          </w:p>
        </w:tc>
        <w:tc>
          <w:tcPr>
            <w:tcW w:w="2835" w:type="dxa"/>
            <w:vAlign w:val="center"/>
          </w:tcPr>
          <w:p>
            <w:pPr>
              <w:pStyle w:val="48"/>
              <w:spacing w:before="60" w:after="60"/>
              <w:jc w:val="center"/>
              <w:rPr>
                <w:szCs w:val="24"/>
                <w:lang w:val="it-IT" w:eastAsia="zh-CN"/>
              </w:rPr>
            </w:pPr>
            <w:r>
              <w:rPr>
                <w:szCs w:val="24"/>
                <w:lang w:val="it-IT" w:eastAsia="zh-CN"/>
              </w:rPr>
              <w:t>张潇文</w:t>
            </w:r>
          </w:p>
        </w:tc>
        <w:tc>
          <w:tcPr>
            <w:tcW w:w="1701" w:type="dxa"/>
            <w:vAlign w:val="center"/>
          </w:tcPr>
          <w:p>
            <w:pPr>
              <w:pStyle w:val="48"/>
              <w:spacing w:before="60" w:after="60"/>
              <w:jc w:val="center"/>
              <w:rPr>
                <w:szCs w:val="24"/>
                <w:lang w:val="it-IT" w:eastAsia="zh-CN"/>
              </w:rPr>
            </w:pPr>
          </w:p>
        </w:tc>
        <w:tc>
          <w:tcPr>
            <w:tcW w:w="1550" w:type="dxa"/>
            <w:vAlign w:val="center"/>
          </w:tcPr>
          <w:p>
            <w:pPr>
              <w:pStyle w:val="48"/>
              <w:spacing w:before="60" w:after="60"/>
              <w:jc w:val="center"/>
              <w:rPr>
                <w:szCs w:val="24"/>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48"/>
              <w:spacing w:before="60" w:after="60"/>
              <w:ind w:right="34" w:rightChars="16"/>
              <w:jc w:val="center"/>
              <w:rPr>
                <w:b/>
                <w:iCs/>
                <w:szCs w:val="24"/>
              </w:rPr>
            </w:pPr>
            <w:r>
              <w:rPr>
                <w:b/>
                <w:iCs/>
                <w:szCs w:val="24"/>
              </w:rPr>
              <w:t>审</w:t>
            </w:r>
            <w:r>
              <w:rPr>
                <w:b/>
                <w:iCs/>
                <w:szCs w:val="24"/>
                <w:lang w:eastAsia="zh-CN"/>
              </w:rPr>
              <w:t xml:space="preserve"> </w:t>
            </w:r>
            <w:r>
              <w:rPr>
                <w:b/>
                <w:iCs/>
                <w:szCs w:val="24"/>
              </w:rPr>
              <w:t>核</w:t>
            </w:r>
          </w:p>
        </w:tc>
        <w:tc>
          <w:tcPr>
            <w:tcW w:w="2126" w:type="dxa"/>
            <w:vAlign w:val="center"/>
          </w:tcPr>
          <w:p>
            <w:pPr>
              <w:pStyle w:val="48"/>
              <w:spacing w:before="60" w:after="60"/>
              <w:jc w:val="center"/>
              <w:rPr>
                <w:szCs w:val="24"/>
                <w:lang w:val="it-IT" w:eastAsia="zh-CN"/>
              </w:rPr>
            </w:pPr>
            <w:r>
              <w:rPr>
                <w:szCs w:val="24"/>
                <w:lang w:val="it-IT" w:eastAsia="zh-CN"/>
              </w:rPr>
              <w:t>质量保证部</w:t>
            </w:r>
          </w:p>
        </w:tc>
        <w:tc>
          <w:tcPr>
            <w:tcW w:w="2835" w:type="dxa"/>
            <w:vAlign w:val="center"/>
          </w:tcPr>
          <w:p>
            <w:pPr>
              <w:pStyle w:val="48"/>
              <w:spacing w:before="60" w:after="60"/>
              <w:jc w:val="center"/>
              <w:rPr>
                <w:szCs w:val="24"/>
                <w:lang w:val="it-IT" w:eastAsia="zh-CN"/>
              </w:rPr>
            </w:pPr>
            <w:r>
              <w:rPr>
                <w:szCs w:val="24"/>
                <w:lang w:val="it-IT" w:eastAsia="zh-CN"/>
              </w:rPr>
              <w:t>鲁</w:t>
            </w:r>
            <w:r>
              <w:rPr>
                <w:szCs w:val="24"/>
                <w:lang w:eastAsia="zh-CN"/>
              </w:rPr>
              <w:t xml:space="preserve">  </w:t>
            </w:r>
            <w:r>
              <w:rPr>
                <w:szCs w:val="24"/>
                <w:lang w:val="it-IT" w:eastAsia="zh-CN"/>
              </w:rPr>
              <w:t>潇</w:t>
            </w:r>
          </w:p>
        </w:tc>
        <w:tc>
          <w:tcPr>
            <w:tcW w:w="1701" w:type="dxa"/>
            <w:vAlign w:val="center"/>
          </w:tcPr>
          <w:p>
            <w:pPr>
              <w:pStyle w:val="48"/>
              <w:spacing w:before="60" w:after="60"/>
              <w:jc w:val="center"/>
              <w:rPr>
                <w:szCs w:val="24"/>
                <w:lang w:val="it-IT" w:eastAsia="zh-CN"/>
              </w:rPr>
            </w:pPr>
          </w:p>
        </w:tc>
        <w:tc>
          <w:tcPr>
            <w:tcW w:w="1550" w:type="dxa"/>
            <w:vAlign w:val="center"/>
          </w:tcPr>
          <w:p>
            <w:pPr>
              <w:pStyle w:val="48"/>
              <w:spacing w:before="60" w:after="60"/>
              <w:jc w:val="center"/>
              <w:rPr>
                <w:szCs w:val="24"/>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48"/>
              <w:spacing w:before="60" w:after="60"/>
              <w:ind w:right="34" w:rightChars="16"/>
              <w:jc w:val="center"/>
              <w:rPr>
                <w:b/>
                <w:iCs/>
                <w:color w:val="0000FF"/>
                <w:szCs w:val="24"/>
                <w:lang w:val="it-IT"/>
              </w:rPr>
            </w:pPr>
            <w:r>
              <w:rPr>
                <w:b/>
                <w:iCs/>
                <w:szCs w:val="24"/>
                <w:lang w:eastAsia="zh-CN"/>
              </w:rPr>
              <w:t>批 准</w:t>
            </w:r>
          </w:p>
        </w:tc>
        <w:tc>
          <w:tcPr>
            <w:tcW w:w="2126" w:type="dxa"/>
            <w:vAlign w:val="center"/>
          </w:tcPr>
          <w:p>
            <w:pPr>
              <w:pStyle w:val="48"/>
              <w:spacing w:before="60" w:after="60"/>
              <w:jc w:val="center"/>
              <w:rPr>
                <w:szCs w:val="24"/>
                <w:lang w:val="it-IT" w:eastAsia="zh-CN"/>
              </w:rPr>
            </w:pPr>
            <w:r>
              <w:rPr>
                <w:szCs w:val="24"/>
                <w:lang w:val="it-IT" w:eastAsia="zh-CN"/>
              </w:rPr>
              <w:t>质量保证部</w:t>
            </w:r>
          </w:p>
        </w:tc>
        <w:tc>
          <w:tcPr>
            <w:tcW w:w="2835" w:type="dxa"/>
            <w:vAlign w:val="center"/>
          </w:tcPr>
          <w:p>
            <w:pPr>
              <w:pStyle w:val="48"/>
              <w:spacing w:before="60" w:after="60"/>
              <w:jc w:val="center"/>
              <w:rPr>
                <w:szCs w:val="24"/>
                <w:lang w:val="it-IT" w:eastAsia="zh-CN"/>
              </w:rPr>
            </w:pPr>
            <w:r>
              <w:rPr>
                <w:szCs w:val="24"/>
                <w:lang w:val="it-IT" w:eastAsia="zh-CN"/>
              </w:rPr>
              <w:t>聂希霖</w:t>
            </w:r>
          </w:p>
        </w:tc>
        <w:tc>
          <w:tcPr>
            <w:tcW w:w="1701" w:type="dxa"/>
            <w:vAlign w:val="center"/>
          </w:tcPr>
          <w:p>
            <w:pPr>
              <w:pStyle w:val="48"/>
              <w:spacing w:before="60" w:after="60"/>
              <w:jc w:val="center"/>
              <w:rPr>
                <w:szCs w:val="24"/>
                <w:lang w:val="it-IT"/>
              </w:rPr>
            </w:pPr>
          </w:p>
        </w:tc>
        <w:tc>
          <w:tcPr>
            <w:tcW w:w="1550" w:type="dxa"/>
            <w:vAlign w:val="center"/>
          </w:tcPr>
          <w:p>
            <w:pPr>
              <w:pStyle w:val="48"/>
              <w:spacing w:before="60" w:after="60"/>
              <w:jc w:val="center"/>
              <w:rPr>
                <w:szCs w:val="24"/>
                <w:lang w:val="it-IT"/>
              </w:rPr>
            </w:pPr>
          </w:p>
        </w:tc>
      </w:tr>
    </w:tbl>
    <w:p>
      <w:pPr>
        <w:pStyle w:val="11"/>
        <w:spacing w:line="360" w:lineRule="auto"/>
        <w:jc w:val="center"/>
        <w:rPr>
          <w:b/>
          <w:color w:val="000000"/>
          <w:szCs w:val="28"/>
        </w:rPr>
      </w:pPr>
    </w:p>
    <w:p>
      <w:pPr>
        <w:pStyle w:val="11"/>
        <w:spacing w:line="360" w:lineRule="auto"/>
        <w:jc w:val="center"/>
        <w:rPr>
          <w:b/>
          <w:color w:val="000000"/>
          <w:szCs w:val="28"/>
        </w:rPr>
      </w:pPr>
    </w:p>
    <w:p>
      <w:pPr>
        <w:pStyle w:val="11"/>
        <w:spacing w:line="360" w:lineRule="auto"/>
        <w:jc w:val="center"/>
        <w:rPr>
          <w:b/>
          <w:color w:val="000000"/>
          <w:szCs w:val="28"/>
        </w:rPr>
      </w:pPr>
    </w:p>
    <w:p>
      <w:pPr>
        <w:pStyle w:val="11"/>
        <w:spacing w:line="360" w:lineRule="auto"/>
        <w:jc w:val="center"/>
        <w:rPr>
          <w:b/>
          <w:color w:val="000000"/>
          <w:sz w:val="32"/>
          <w:szCs w:val="32"/>
        </w:rPr>
      </w:pPr>
      <w:r>
        <w:rPr>
          <w:b/>
          <w:color w:val="000000"/>
          <w:sz w:val="32"/>
          <w:szCs w:val="32"/>
        </w:rPr>
        <w:t>目录</w:t>
      </w:r>
    </w:p>
    <w:p>
      <w:pPr>
        <w:pStyle w:val="17"/>
        <w:tabs>
          <w:tab w:val="right" w:leader="dot" w:pos="9628"/>
        </w:tabs>
        <w:rPr>
          <w:sz w:val="28"/>
          <w:szCs w:val="28"/>
        </w:rPr>
      </w:pPr>
      <w:r>
        <w:rPr>
          <w:b/>
          <w:color w:val="000000"/>
          <w:sz w:val="28"/>
          <w:szCs w:val="28"/>
        </w:rPr>
        <w:fldChar w:fldCharType="begin"/>
      </w:r>
      <w:r>
        <w:rPr>
          <w:b/>
          <w:color w:val="000000"/>
          <w:sz w:val="28"/>
          <w:szCs w:val="28"/>
        </w:rPr>
        <w:instrText xml:space="preserve"> TOC \o "1-2" \h \z \u </w:instrText>
      </w:r>
      <w:r>
        <w:rPr>
          <w:b/>
          <w:color w:val="000000"/>
          <w:sz w:val="28"/>
          <w:szCs w:val="28"/>
        </w:rPr>
        <w:fldChar w:fldCharType="separate"/>
      </w:r>
      <w:r>
        <w:fldChar w:fldCharType="begin"/>
      </w:r>
      <w:r>
        <w:instrText xml:space="preserve"> HYPERLINK \l "_Toc377477124" </w:instrText>
      </w:r>
      <w:r>
        <w:fldChar w:fldCharType="separate"/>
      </w:r>
      <w:r>
        <w:rPr>
          <w:rStyle w:val="22"/>
          <w:b/>
          <w:sz w:val="28"/>
          <w:szCs w:val="28"/>
        </w:rPr>
        <w:t>1.目的</w:t>
      </w:r>
      <w:r>
        <w:rPr>
          <w:sz w:val="28"/>
          <w:szCs w:val="28"/>
        </w:rPr>
        <w:tab/>
      </w:r>
      <w:r>
        <w:rPr>
          <w:sz w:val="28"/>
          <w:szCs w:val="28"/>
        </w:rPr>
        <w:fldChar w:fldCharType="begin"/>
      </w:r>
      <w:r>
        <w:rPr>
          <w:sz w:val="28"/>
          <w:szCs w:val="28"/>
        </w:rPr>
        <w:instrText xml:space="preserve"> PAGEREF _Toc377477124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7"/>
        <w:tabs>
          <w:tab w:val="right" w:leader="dot" w:pos="9628"/>
        </w:tabs>
        <w:rPr>
          <w:sz w:val="28"/>
          <w:szCs w:val="28"/>
        </w:rPr>
      </w:pPr>
      <w:r>
        <w:fldChar w:fldCharType="begin"/>
      </w:r>
      <w:r>
        <w:instrText xml:space="preserve"> HYPERLINK \l "_Toc377477125" </w:instrText>
      </w:r>
      <w:r>
        <w:fldChar w:fldCharType="separate"/>
      </w:r>
      <w:r>
        <w:rPr>
          <w:rStyle w:val="22"/>
          <w:b/>
          <w:sz w:val="28"/>
          <w:szCs w:val="28"/>
        </w:rPr>
        <w:t>2.范围</w:t>
      </w:r>
      <w:r>
        <w:rPr>
          <w:sz w:val="28"/>
          <w:szCs w:val="28"/>
        </w:rPr>
        <w:tab/>
      </w:r>
      <w:r>
        <w:rPr>
          <w:sz w:val="28"/>
          <w:szCs w:val="28"/>
        </w:rPr>
        <w:fldChar w:fldCharType="begin"/>
      </w:r>
      <w:r>
        <w:rPr>
          <w:sz w:val="28"/>
          <w:szCs w:val="28"/>
        </w:rPr>
        <w:instrText xml:space="preserve"> PAGEREF _Toc377477125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7"/>
        <w:tabs>
          <w:tab w:val="right" w:leader="dot" w:pos="9628"/>
        </w:tabs>
        <w:rPr>
          <w:sz w:val="28"/>
          <w:szCs w:val="28"/>
        </w:rPr>
      </w:pPr>
      <w:r>
        <w:fldChar w:fldCharType="begin"/>
      </w:r>
      <w:r>
        <w:instrText xml:space="preserve"> HYPERLINK \l "_Toc377477126" </w:instrText>
      </w:r>
      <w:r>
        <w:fldChar w:fldCharType="separate"/>
      </w:r>
      <w:r>
        <w:rPr>
          <w:rStyle w:val="22"/>
          <w:b/>
          <w:sz w:val="28"/>
          <w:szCs w:val="28"/>
        </w:rPr>
        <w:t>3.职责</w:t>
      </w:r>
      <w:r>
        <w:rPr>
          <w:sz w:val="28"/>
          <w:szCs w:val="28"/>
        </w:rPr>
        <w:tab/>
      </w:r>
      <w:r>
        <w:rPr>
          <w:sz w:val="28"/>
          <w:szCs w:val="28"/>
        </w:rPr>
        <w:fldChar w:fldCharType="begin"/>
      </w:r>
      <w:r>
        <w:rPr>
          <w:sz w:val="28"/>
          <w:szCs w:val="28"/>
        </w:rPr>
        <w:instrText xml:space="preserve"> PAGEREF _Toc377477126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7"/>
        <w:tabs>
          <w:tab w:val="right" w:leader="dot" w:pos="9628"/>
        </w:tabs>
        <w:rPr>
          <w:sz w:val="28"/>
          <w:szCs w:val="28"/>
        </w:rPr>
      </w:pPr>
      <w:r>
        <w:fldChar w:fldCharType="begin"/>
      </w:r>
      <w:r>
        <w:instrText xml:space="preserve"> HYPERLINK \l "_Toc377477127" </w:instrText>
      </w:r>
      <w:r>
        <w:fldChar w:fldCharType="separate"/>
      </w:r>
      <w:r>
        <w:rPr>
          <w:rStyle w:val="22"/>
          <w:b/>
          <w:sz w:val="28"/>
          <w:szCs w:val="28"/>
        </w:rPr>
        <w:t>4.内容</w:t>
      </w:r>
      <w:r>
        <w:rPr>
          <w:sz w:val="28"/>
          <w:szCs w:val="28"/>
        </w:rPr>
        <w:tab/>
      </w:r>
      <w:r>
        <w:rPr>
          <w:sz w:val="28"/>
          <w:szCs w:val="28"/>
        </w:rPr>
        <w:fldChar w:fldCharType="begin"/>
      </w:r>
      <w:r>
        <w:rPr>
          <w:sz w:val="28"/>
          <w:szCs w:val="28"/>
        </w:rPr>
        <w:instrText xml:space="preserve"> PAGEREF _Toc377477127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8"/>
        <w:rPr>
          <w:sz w:val="28"/>
          <w:szCs w:val="28"/>
        </w:rPr>
      </w:pPr>
      <w:r>
        <w:fldChar w:fldCharType="begin"/>
      </w:r>
      <w:r>
        <w:instrText xml:space="preserve"> HYPERLINK \l "_Toc377477128" </w:instrText>
      </w:r>
      <w:r>
        <w:fldChar w:fldCharType="separate"/>
      </w:r>
      <w:r>
        <w:rPr>
          <w:rStyle w:val="22"/>
          <w:b/>
          <w:sz w:val="28"/>
          <w:szCs w:val="28"/>
        </w:rPr>
        <w:t>4.1概述</w:t>
      </w:r>
      <w:r>
        <w:rPr>
          <w:sz w:val="28"/>
          <w:szCs w:val="28"/>
        </w:rPr>
        <w:tab/>
      </w:r>
      <w:r>
        <w:rPr>
          <w:sz w:val="28"/>
          <w:szCs w:val="28"/>
        </w:rPr>
        <w:fldChar w:fldCharType="begin"/>
      </w:r>
      <w:r>
        <w:rPr>
          <w:sz w:val="28"/>
          <w:szCs w:val="28"/>
        </w:rPr>
        <w:instrText xml:space="preserve"> PAGEREF _Toc377477128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8"/>
        <w:rPr>
          <w:sz w:val="28"/>
          <w:szCs w:val="28"/>
        </w:rPr>
      </w:pPr>
      <w:r>
        <w:fldChar w:fldCharType="begin"/>
      </w:r>
      <w:r>
        <w:instrText xml:space="preserve"> HYPERLINK \l "_Toc377477129" </w:instrText>
      </w:r>
      <w:r>
        <w:fldChar w:fldCharType="separate"/>
      </w:r>
      <w:r>
        <w:rPr>
          <w:rStyle w:val="22"/>
          <w:b/>
          <w:sz w:val="28"/>
          <w:szCs w:val="28"/>
        </w:rPr>
        <w:t>4.2法规要求</w:t>
      </w:r>
      <w:r>
        <w:rPr>
          <w:sz w:val="28"/>
          <w:szCs w:val="28"/>
        </w:rPr>
        <w:tab/>
      </w:r>
      <w:r>
        <w:rPr>
          <w:sz w:val="28"/>
          <w:szCs w:val="28"/>
        </w:rPr>
        <w:fldChar w:fldCharType="begin"/>
      </w:r>
      <w:r>
        <w:rPr>
          <w:sz w:val="28"/>
          <w:szCs w:val="28"/>
        </w:rPr>
        <w:instrText xml:space="preserve"> PAGEREF _Toc377477129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8"/>
        <w:rPr>
          <w:sz w:val="28"/>
          <w:szCs w:val="28"/>
        </w:rPr>
      </w:pPr>
      <w:r>
        <w:fldChar w:fldCharType="begin"/>
      </w:r>
      <w:r>
        <w:instrText xml:space="preserve"> HYPERLINK \l "_Toc377477130" </w:instrText>
      </w:r>
      <w:r>
        <w:fldChar w:fldCharType="separate"/>
      </w:r>
      <w:r>
        <w:rPr>
          <w:rStyle w:val="22"/>
          <w:b/>
          <w:sz w:val="28"/>
          <w:szCs w:val="28"/>
        </w:rPr>
        <w:t>4.3设备要求</w:t>
      </w:r>
      <w:r>
        <w:rPr>
          <w:sz w:val="28"/>
          <w:szCs w:val="28"/>
        </w:rPr>
        <w:tab/>
      </w:r>
      <w:r>
        <w:rPr>
          <w:sz w:val="28"/>
          <w:szCs w:val="28"/>
        </w:rPr>
        <w:fldChar w:fldCharType="begin"/>
      </w:r>
      <w:r>
        <w:rPr>
          <w:sz w:val="28"/>
          <w:szCs w:val="28"/>
        </w:rPr>
        <w:instrText xml:space="preserve"> PAGEREF _Toc377477130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8"/>
        <w:rPr>
          <w:sz w:val="28"/>
          <w:szCs w:val="28"/>
        </w:rPr>
      </w:pPr>
      <w:r>
        <w:fldChar w:fldCharType="begin"/>
      </w:r>
      <w:r>
        <w:instrText xml:space="preserve"> HYPERLINK \l "_Toc377477131" </w:instrText>
      </w:r>
      <w:r>
        <w:fldChar w:fldCharType="separate"/>
      </w:r>
      <w:r>
        <w:rPr>
          <w:rStyle w:val="22"/>
          <w:b/>
          <w:sz w:val="28"/>
          <w:szCs w:val="28"/>
        </w:rPr>
        <w:t>4.4文件要求</w:t>
      </w:r>
      <w:r>
        <w:rPr>
          <w:sz w:val="28"/>
          <w:szCs w:val="28"/>
        </w:rPr>
        <w:tab/>
      </w:r>
      <w:r>
        <w:rPr>
          <w:sz w:val="28"/>
          <w:szCs w:val="28"/>
        </w:rPr>
        <w:fldChar w:fldCharType="begin"/>
      </w:r>
      <w:r>
        <w:rPr>
          <w:sz w:val="28"/>
          <w:szCs w:val="28"/>
        </w:rPr>
        <w:instrText xml:space="preserve"> PAGEREF _Toc377477131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8"/>
        <w:rPr>
          <w:sz w:val="28"/>
          <w:szCs w:val="28"/>
        </w:rPr>
      </w:pPr>
      <w:r>
        <w:fldChar w:fldCharType="begin"/>
      </w:r>
      <w:r>
        <w:instrText xml:space="preserve"> HYPERLINK \l "_Toc377477132" </w:instrText>
      </w:r>
      <w:r>
        <w:fldChar w:fldCharType="separate"/>
      </w:r>
      <w:r>
        <w:rPr>
          <w:rStyle w:val="22"/>
          <w:b/>
          <w:sz w:val="28"/>
          <w:szCs w:val="28"/>
        </w:rPr>
        <w:t>4.5服务要求</w:t>
      </w:r>
      <w:r>
        <w:rPr>
          <w:sz w:val="28"/>
          <w:szCs w:val="28"/>
        </w:rPr>
        <w:tab/>
      </w:r>
      <w:r>
        <w:rPr>
          <w:sz w:val="28"/>
          <w:szCs w:val="28"/>
        </w:rPr>
        <w:fldChar w:fldCharType="begin"/>
      </w:r>
      <w:r>
        <w:rPr>
          <w:sz w:val="28"/>
          <w:szCs w:val="28"/>
        </w:rPr>
        <w:instrText xml:space="preserve"> PAGEREF _Toc377477132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7"/>
        <w:tabs>
          <w:tab w:val="right" w:leader="dot" w:pos="9628"/>
        </w:tabs>
        <w:rPr>
          <w:sz w:val="28"/>
          <w:szCs w:val="28"/>
        </w:rPr>
      </w:pPr>
      <w:r>
        <w:fldChar w:fldCharType="begin"/>
      </w:r>
      <w:r>
        <w:instrText xml:space="preserve"> HYPERLINK \l "_Toc377477133" </w:instrText>
      </w:r>
      <w:r>
        <w:fldChar w:fldCharType="separate"/>
      </w:r>
      <w:r>
        <w:rPr>
          <w:rStyle w:val="22"/>
          <w:b/>
          <w:sz w:val="28"/>
          <w:szCs w:val="28"/>
        </w:rPr>
        <w:t>5.附件</w:t>
      </w:r>
      <w:r>
        <w:rPr>
          <w:sz w:val="28"/>
          <w:szCs w:val="28"/>
        </w:rPr>
        <w:tab/>
      </w:r>
      <w:r>
        <w:rPr>
          <w:sz w:val="28"/>
          <w:szCs w:val="28"/>
        </w:rPr>
        <w:fldChar w:fldCharType="begin"/>
      </w:r>
      <w:r>
        <w:rPr>
          <w:sz w:val="28"/>
          <w:szCs w:val="28"/>
        </w:rPr>
        <w:instrText xml:space="preserve"> PAGEREF _Toc377477133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11"/>
        <w:spacing w:line="360" w:lineRule="auto"/>
        <w:rPr>
          <w:b/>
          <w:color w:val="000000"/>
          <w:szCs w:val="28"/>
        </w:rPr>
      </w:pPr>
      <w:r>
        <w:rPr>
          <w:b/>
          <w:color w:val="000000"/>
          <w:szCs w:val="28"/>
        </w:rPr>
        <w:fldChar w:fldCharType="end"/>
      </w:r>
    </w:p>
    <w:p>
      <w:pPr>
        <w:pStyle w:val="11"/>
        <w:spacing w:line="360" w:lineRule="auto"/>
        <w:rPr>
          <w:color w:val="000000"/>
          <w:sz w:val="21"/>
          <w:szCs w:val="21"/>
        </w:rPr>
      </w:pPr>
    </w:p>
    <w:p>
      <w:pPr>
        <w:pStyle w:val="11"/>
        <w:spacing w:line="360" w:lineRule="auto"/>
        <w:rPr>
          <w:b/>
          <w:color w:val="000000"/>
          <w:sz w:val="24"/>
        </w:rPr>
      </w:pPr>
    </w:p>
    <w:p>
      <w:pPr>
        <w:pStyle w:val="11"/>
        <w:spacing w:line="360" w:lineRule="auto"/>
        <w:rPr>
          <w:b/>
          <w:color w:val="000000"/>
          <w:sz w:val="24"/>
        </w:rPr>
      </w:pPr>
    </w:p>
    <w:p>
      <w:pPr>
        <w:pStyle w:val="11"/>
        <w:spacing w:line="360" w:lineRule="auto"/>
        <w:rPr>
          <w:b/>
          <w:color w:val="000000"/>
          <w:sz w:val="24"/>
        </w:rPr>
      </w:pPr>
    </w:p>
    <w:p>
      <w:pPr>
        <w:pStyle w:val="11"/>
        <w:spacing w:line="360" w:lineRule="auto"/>
        <w:rPr>
          <w:b/>
          <w:color w:val="000000"/>
          <w:sz w:val="24"/>
        </w:rPr>
      </w:pPr>
    </w:p>
    <w:p>
      <w:pPr>
        <w:pStyle w:val="11"/>
        <w:spacing w:line="360" w:lineRule="auto"/>
        <w:rPr>
          <w:b/>
          <w:color w:val="000000"/>
          <w:sz w:val="24"/>
        </w:rPr>
      </w:pPr>
    </w:p>
    <w:p>
      <w:pPr>
        <w:pStyle w:val="11"/>
        <w:spacing w:line="360" w:lineRule="auto"/>
        <w:rPr>
          <w:b/>
          <w:color w:val="000000"/>
          <w:sz w:val="24"/>
        </w:rPr>
      </w:pPr>
    </w:p>
    <w:p>
      <w:pPr>
        <w:pStyle w:val="11"/>
        <w:spacing w:line="360" w:lineRule="auto"/>
        <w:rPr>
          <w:b/>
          <w:color w:val="000000"/>
          <w:sz w:val="24"/>
        </w:rPr>
      </w:pPr>
    </w:p>
    <w:p>
      <w:pPr>
        <w:pStyle w:val="11"/>
        <w:spacing w:line="360" w:lineRule="auto"/>
        <w:rPr>
          <w:b/>
          <w:color w:val="000000"/>
          <w:sz w:val="24"/>
        </w:rPr>
      </w:pPr>
    </w:p>
    <w:p>
      <w:pPr>
        <w:pStyle w:val="11"/>
        <w:spacing w:line="360" w:lineRule="auto"/>
        <w:rPr>
          <w:b/>
          <w:color w:val="000000"/>
          <w:sz w:val="24"/>
        </w:rPr>
      </w:pPr>
    </w:p>
    <w:p>
      <w:pPr>
        <w:pStyle w:val="11"/>
        <w:spacing w:line="360" w:lineRule="auto"/>
        <w:outlineLvl w:val="0"/>
        <w:rPr>
          <w:b/>
          <w:color w:val="000000"/>
          <w:szCs w:val="28"/>
        </w:rPr>
      </w:pPr>
      <w:bookmarkStart w:id="0" w:name="_Toc377477124"/>
      <w:r>
        <w:rPr>
          <w:b/>
          <w:color w:val="000000"/>
          <w:szCs w:val="28"/>
        </w:rPr>
        <w:t>1.目的</w:t>
      </w:r>
      <w:bookmarkEnd w:id="0"/>
    </w:p>
    <w:p>
      <w:pPr>
        <w:pStyle w:val="11"/>
        <w:spacing w:line="360" w:lineRule="auto"/>
        <w:ind w:firstLine="480" w:firstLineChars="200"/>
        <w:rPr>
          <w:color w:val="000000"/>
          <w:sz w:val="24"/>
        </w:rPr>
      </w:pPr>
      <w:r>
        <w:rPr>
          <w:color w:val="000000"/>
          <w:sz w:val="24"/>
        </w:rPr>
        <w:t>本URS是一份用于从用户的</w:t>
      </w:r>
      <w:r>
        <w:rPr>
          <w:sz w:val="24"/>
        </w:rPr>
        <w:t>角度定义纯蒸汽质量检测仪法规要求、安装要求、安全要求、功能要求及文件要求等的关键文件。用于指导用户方、供应商、施工方等各方面人员在URS规定要求中结合相关规范进行设计、安装及后期验证等一系列工作</w:t>
      </w:r>
      <w:r>
        <w:rPr>
          <w:color w:val="000000"/>
          <w:sz w:val="24"/>
        </w:rPr>
        <w:t>。</w:t>
      </w:r>
    </w:p>
    <w:p>
      <w:pPr>
        <w:pStyle w:val="11"/>
        <w:spacing w:line="360" w:lineRule="auto"/>
        <w:ind w:firstLine="480" w:firstLineChars="200"/>
        <w:rPr>
          <w:color w:val="FF0000"/>
          <w:sz w:val="24"/>
        </w:rPr>
      </w:pPr>
    </w:p>
    <w:p>
      <w:pPr>
        <w:pStyle w:val="6"/>
        <w:outlineLvl w:val="0"/>
        <w:rPr>
          <w:b/>
          <w:sz w:val="28"/>
          <w:szCs w:val="28"/>
        </w:rPr>
      </w:pPr>
      <w:bookmarkStart w:id="1" w:name="_Toc377477125"/>
      <w:r>
        <w:rPr>
          <w:b/>
          <w:sz w:val="28"/>
          <w:szCs w:val="28"/>
        </w:rPr>
        <w:t>2.范围</w:t>
      </w:r>
      <w:bookmarkEnd w:id="1"/>
    </w:p>
    <w:p>
      <w:pPr>
        <w:pStyle w:val="40"/>
        <w:spacing w:line="360" w:lineRule="auto"/>
        <w:ind w:firstLine="480"/>
        <w:rPr>
          <w:color w:val="FF0000"/>
          <w:sz w:val="24"/>
        </w:rPr>
      </w:pPr>
      <w:r>
        <w:rPr>
          <w:color w:val="000000"/>
          <w:sz w:val="24"/>
        </w:rPr>
        <w:t>本URS仅用于武汉生物制品研究所有限责任公司纯蒸汽质量检测仪及其配件的采购，计划采购1套纯蒸汽质量检测仪</w:t>
      </w:r>
      <w:r>
        <w:rPr>
          <w:sz w:val="24"/>
        </w:rPr>
        <w:t>。</w:t>
      </w:r>
    </w:p>
    <w:p>
      <w:pPr>
        <w:pStyle w:val="40"/>
        <w:ind w:firstLine="0" w:firstLineChars="0"/>
        <w:outlineLvl w:val="0"/>
        <w:rPr>
          <w:b/>
          <w:color w:val="000000"/>
          <w:sz w:val="28"/>
          <w:szCs w:val="28"/>
        </w:rPr>
      </w:pPr>
      <w:bookmarkStart w:id="2" w:name="_Toc377477126"/>
      <w:r>
        <w:rPr>
          <w:b/>
          <w:color w:val="000000"/>
          <w:sz w:val="28"/>
          <w:szCs w:val="28"/>
        </w:rPr>
        <w:t>3.职责</w:t>
      </w:r>
      <w:bookmarkEnd w:id="2"/>
    </w:p>
    <w:tbl>
      <w:tblPr>
        <w:tblStyle w:val="24"/>
        <w:tblW w:w="955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trPr>
        <w:tc>
          <w:tcPr>
            <w:tcW w:w="2310" w:type="dxa"/>
            <w:shd w:val="pct25" w:color="auto" w:fill="FFFFFF"/>
            <w:vAlign w:val="center"/>
          </w:tcPr>
          <w:p>
            <w:pPr>
              <w:pStyle w:val="48"/>
              <w:spacing w:before="0" w:after="0"/>
              <w:ind w:right="-4"/>
              <w:jc w:val="center"/>
              <w:rPr>
                <w:b/>
                <w:color w:val="000000"/>
                <w:szCs w:val="24"/>
                <w:lang w:val="it-IT" w:eastAsia="zh-CN"/>
              </w:rPr>
            </w:pPr>
            <w:r>
              <w:rPr>
                <w:b/>
                <w:color w:val="000000"/>
                <w:szCs w:val="24"/>
                <w:lang w:val="it-IT" w:eastAsia="zh-CN"/>
              </w:rPr>
              <w:t>部 门</w:t>
            </w:r>
          </w:p>
        </w:tc>
        <w:tc>
          <w:tcPr>
            <w:tcW w:w="7245" w:type="dxa"/>
            <w:shd w:val="pct25" w:color="auto" w:fill="FFFFFF"/>
            <w:vAlign w:val="center"/>
          </w:tcPr>
          <w:p>
            <w:pPr>
              <w:pStyle w:val="48"/>
              <w:spacing w:before="0" w:after="0"/>
              <w:ind w:right="-4"/>
              <w:jc w:val="center"/>
              <w:rPr>
                <w:b/>
                <w:color w:val="000000"/>
                <w:szCs w:val="24"/>
                <w:lang w:val="it-IT" w:eastAsia="zh-CN"/>
              </w:rPr>
            </w:pPr>
            <w:r>
              <w:rPr>
                <w:b/>
                <w:color w:val="000000"/>
                <w:szCs w:val="24"/>
                <w:lang w:val="it-IT" w:eastAsia="zh-CN"/>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310" w:type="dxa"/>
            <w:vAlign w:val="center"/>
          </w:tcPr>
          <w:p>
            <w:pPr>
              <w:pStyle w:val="48"/>
              <w:spacing w:before="60" w:after="0" w:line="460" w:lineRule="exact"/>
              <w:ind w:right="-4"/>
              <w:jc w:val="center"/>
              <w:rPr>
                <w:color w:val="000000"/>
                <w:szCs w:val="24"/>
                <w:lang w:val="it-IT" w:eastAsia="zh-CN"/>
              </w:rPr>
            </w:pPr>
            <w:r>
              <w:rPr>
                <w:color w:val="000000"/>
                <w:szCs w:val="24"/>
                <w:lang w:val="it-IT" w:eastAsia="zh-CN"/>
              </w:rPr>
              <w:t>质量保证部</w:t>
            </w:r>
          </w:p>
        </w:tc>
        <w:tc>
          <w:tcPr>
            <w:tcW w:w="7245" w:type="dxa"/>
            <w:vAlign w:val="center"/>
          </w:tcPr>
          <w:p>
            <w:pPr>
              <w:pStyle w:val="48"/>
              <w:spacing w:before="60" w:after="0" w:line="460" w:lineRule="exact"/>
              <w:ind w:right="-4"/>
              <w:rPr>
                <w:color w:val="000000"/>
                <w:lang w:eastAsia="zh-CN"/>
              </w:rPr>
            </w:pPr>
            <w:r>
              <w:rPr>
                <w:color w:val="000000"/>
                <w:szCs w:val="24"/>
                <w:lang w:val="it-IT" w:eastAsia="zh-CN"/>
              </w:rPr>
              <w:t>负责从用户的角度起草并审核本</w:t>
            </w:r>
            <w:r>
              <w:rPr>
                <w:color w:val="000000"/>
                <w:lang w:eastAsia="zh-CN"/>
              </w:rPr>
              <w:t>URS文件。</w:t>
            </w:r>
          </w:p>
          <w:p>
            <w:pPr>
              <w:pStyle w:val="48"/>
              <w:spacing w:before="60" w:after="0" w:line="460" w:lineRule="exact"/>
              <w:ind w:right="-4"/>
              <w:rPr>
                <w:color w:val="000000"/>
                <w:szCs w:val="24"/>
                <w:lang w:val="it-IT" w:eastAsia="zh-CN"/>
              </w:rPr>
            </w:pPr>
            <w:r>
              <w:rPr>
                <w:color w:val="000000"/>
                <w:lang w:eastAsia="zh-CN"/>
              </w:rPr>
              <w:t>负责本URS文件的修改、打印，并将纸质版送各相关部门签字。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310" w:type="dxa"/>
            <w:vAlign w:val="center"/>
          </w:tcPr>
          <w:p>
            <w:pPr>
              <w:pStyle w:val="48"/>
              <w:spacing w:before="60" w:after="0" w:line="460" w:lineRule="exact"/>
              <w:ind w:right="-4"/>
              <w:jc w:val="center"/>
              <w:rPr>
                <w:color w:val="000000"/>
                <w:szCs w:val="24"/>
                <w:lang w:val="it-IT" w:eastAsia="zh-CN"/>
              </w:rPr>
            </w:pPr>
            <w:r>
              <w:rPr>
                <w:color w:val="000000"/>
                <w:szCs w:val="24"/>
                <w:lang w:val="it-IT" w:eastAsia="zh-CN"/>
              </w:rPr>
              <w:t>工程技术部</w:t>
            </w:r>
          </w:p>
        </w:tc>
        <w:tc>
          <w:tcPr>
            <w:tcW w:w="7245" w:type="dxa"/>
            <w:vAlign w:val="center"/>
          </w:tcPr>
          <w:p>
            <w:pPr>
              <w:pStyle w:val="48"/>
              <w:spacing w:before="60" w:after="0" w:line="460" w:lineRule="exact"/>
              <w:ind w:right="-4"/>
              <w:rPr>
                <w:color w:val="000000"/>
                <w:szCs w:val="24"/>
                <w:lang w:val="it-IT" w:eastAsia="zh-CN"/>
              </w:rPr>
            </w:pPr>
            <w:r>
              <w:rPr>
                <w:color w:val="000000"/>
                <w:szCs w:val="24"/>
                <w:lang w:val="it-IT" w:eastAsia="zh-CN"/>
              </w:rPr>
              <w:t>负责从工程技术角度审核本URS文件。</w:t>
            </w:r>
          </w:p>
          <w:p>
            <w:pPr>
              <w:pStyle w:val="48"/>
              <w:spacing w:before="60" w:after="0" w:line="460" w:lineRule="exact"/>
              <w:ind w:right="-4"/>
              <w:rPr>
                <w:color w:val="000000"/>
                <w:szCs w:val="24"/>
                <w:lang w:val="it-IT" w:eastAsia="zh-CN"/>
              </w:rPr>
            </w:pPr>
            <w:r>
              <w:rPr>
                <w:color w:val="000000"/>
                <w:szCs w:val="24"/>
                <w:lang w:val="it-IT" w:eastAsia="zh-CN"/>
              </w:rPr>
              <w:t>负责补充工程技术及维护维修相关内容。</w:t>
            </w:r>
          </w:p>
          <w:p>
            <w:pPr>
              <w:pStyle w:val="48"/>
              <w:spacing w:before="60" w:after="0" w:line="460" w:lineRule="exact"/>
              <w:ind w:right="-4"/>
              <w:rPr>
                <w:color w:val="000000"/>
                <w:szCs w:val="24"/>
                <w:lang w:val="it-IT" w:eastAsia="zh-CN"/>
              </w:rPr>
            </w:pPr>
            <w:r>
              <w:rPr>
                <w:color w:val="000000"/>
                <w:szCs w:val="24"/>
                <w:lang w:val="it-IT" w:eastAsia="zh-CN"/>
              </w:rPr>
              <w:t>负责本URS文件归档。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310" w:type="dxa"/>
            <w:vAlign w:val="center"/>
          </w:tcPr>
          <w:p>
            <w:pPr>
              <w:pStyle w:val="48"/>
              <w:spacing w:before="60" w:after="0" w:line="460" w:lineRule="exact"/>
              <w:ind w:right="-4"/>
              <w:jc w:val="center"/>
              <w:rPr>
                <w:color w:val="000000"/>
                <w:szCs w:val="24"/>
                <w:lang w:val="it-IT" w:eastAsia="zh-CN"/>
              </w:rPr>
            </w:pPr>
            <w:r>
              <w:rPr>
                <w:color w:val="000000"/>
                <w:szCs w:val="24"/>
                <w:lang w:val="it-IT" w:eastAsia="zh-CN"/>
              </w:rPr>
              <w:t>生产技术部</w:t>
            </w:r>
          </w:p>
        </w:tc>
        <w:tc>
          <w:tcPr>
            <w:tcW w:w="7245" w:type="dxa"/>
            <w:vAlign w:val="center"/>
          </w:tcPr>
          <w:p>
            <w:pPr>
              <w:pStyle w:val="48"/>
              <w:spacing w:before="60" w:after="0" w:line="460" w:lineRule="exact"/>
              <w:ind w:right="-4"/>
              <w:rPr>
                <w:color w:val="000000"/>
                <w:szCs w:val="24"/>
                <w:lang w:val="it-IT" w:eastAsia="zh-CN"/>
              </w:rPr>
            </w:pPr>
            <w:r>
              <w:rPr>
                <w:color w:val="000000"/>
                <w:szCs w:val="24"/>
                <w:lang w:val="it-IT" w:eastAsia="zh-CN"/>
              </w:rPr>
              <w:t>负责从生产技术角度审核本URS文件。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310" w:type="dxa"/>
            <w:vAlign w:val="center"/>
          </w:tcPr>
          <w:p>
            <w:pPr>
              <w:pStyle w:val="48"/>
              <w:spacing w:before="60" w:after="0" w:line="460" w:lineRule="exact"/>
              <w:ind w:right="-4"/>
              <w:jc w:val="center"/>
              <w:rPr>
                <w:color w:val="000000"/>
                <w:szCs w:val="24"/>
                <w:lang w:val="it-IT" w:eastAsia="zh-CN"/>
              </w:rPr>
            </w:pPr>
            <w:r>
              <w:rPr>
                <w:color w:val="000000"/>
                <w:szCs w:val="24"/>
                <w:lang w:val="it-IT" w:eastAsia="zh-CN"/>
              </w:rPr>
              <w:t>质量保证部</w:t>
            </w:r>
          </w:p>
        </w:tc>
        <w:tc>
          <w:tcPr>
            <w:tcW w:w="7245" w:type="dxa"/>
            <w:vAlign w:val="center"/>
          </w:tcPr>
          <w:p>
            <w:pPr>
              <w:pStyle w:val="48"/>
              <w:spacing w:before="60" w:after="0" w:line="460" w:lineRule="exact"/>
              <w:ind w:right="-4"/>
              <w:rPr>
                <w:color w:val="000000"/>
                <w:szCs w:val="24"/>
                <w:lang w:val="it-IT" w:eastAsia="zh-CN"/>
              </w:rPr>
            </w:pPr>
            <w:r>
              <w:rPr>
                <w:color w:val="000000"/>
                <w:szCs w:val="24"/>
                <w:lang w:val="it-IT" w:eastAsia="zh-CN"/>
              </w:rPr>
              <w:t>负责提供URS文件模板。</w:t>
            </w:r>
          </w:p>
          <w:p>
            <w:pPr>
              <w:pStyle w:val="48"/>
              <w:spacing w:before="60" w:after="0" w:line="460" w:lineRule="exact"/>
              <w:ind w:right="-4"/>
              <w:rPr>
                <w:color w:val="000000"/>
                <w:szCs w:val="24"/>
                <w:lang w:val="it-IT" w:eastAsia="zh-CN"/>
              </w:rPr>
            </w:pPr>
            <w:r>
              <w:rPr>
                <w:color w:val="000000"/>
                <w:szCs w:val="24"/>
                <w:lang w:val="it-IT" w:eastAsia="zh-CN"/>
              </w:rPr>
              <w:t>负责从质量管理法规角度审核本URS文件。</w:t>
            </w:r>
          </w:p>
          <w:p>
            <w:pPr>
              <w:pStyle w:val="48"/>
              <w:spacing w:before="60" w:after="0" w:line="460" w:lineRule="exact"/>
              <w:ind w:right="-4"/>
              <w:rPr>
                <w:color w:val="000000"/>
                <w:szCs w:val="24"/>
                <w:lang w:val="it-IT" w:eastAsia="zh-CN"/>
              </w:rPr>
            </w:pPr>
            <w:r>
              <w:rPr>
                <w:color w:val="000000"/>
                <w:szCs w:val="24"/>
                <w:lang w:val="it-IT" w:eastAsia="zh-CN"/>
              </w:rPr>
              <w:t>负责批准本URS文件。</w:t>
            </w:r>
          </w:p>
        </w:tc>
      </w:tr>
    </w:tbl>
    <w:p>
      <w:pPr>
        <w:pStyle w:val="11"/>
        <w:spacing w:line="360" w:lineRule="auto"/>
        <w:rPr>
          <w:b/>
          <w:color w:val="000000"/>
          <w:sz w:val="24"/>
        </w:rPr>
      </w:pPr>
    </w:p>
    <w:p>
      <w:pPr>
        <w:pStyle w:val="11"/>
        <w:spacing w:line="360" w:lineRule="auto"/>
        <w:outlineLvl w:val="0"/>
        <w:rPr>
          <w:b/>
          <w:color w:val="000000"/>
          <w:szCs w:val="28"/>
        </w:rPr>
      </w:pPr>
      <w:bookmarkStart w:id="3" w:name="_Toc377477127"/>
      <w:r>
        <w:rPr>
          <w:b/>
          <w:color w:val="000000"/>
          <w:szCs w:val="28"/>
        </w:rPr>
        <w:t>4.内容</w:t>
      </w:r>
      <w:bookmarkEnd w:id="3"/>
    </w:p>
    <w:p>
      <w:pPr>
        <w:pStyle w:val="11"/>
        <w:spacing w:line="360" w:lineRule="auto"/>
        <w:outlineLvl w:val="1"/>
        <w:rPr>
          <w:b/>
          <w:color w:val="000000"/>
          <w:sz w:val="24"/>
        </w:rPr>
      </w:pPr>
      <w:bookmarkStart w:id="4" w:name="_Toc377477128"/>
      <w:r>
        <w:rPr>
          <w:b/>
          <w:color w:val="000000"/>
          <w:sz w:val="24"/>
        </w:rPr>
        <w:t>4.1概述</w:t>
      </w:r>
      <w:bookmarkEnd w:id="4"/>
    </w:p>
    <w:p>
      <w:pPr>
        <w:pStyle w:val="11"/>
        <w:spacing w:line="360" w:lineRule="auto"/>
        <w:ind w:firstLine="480" w:firstLineChars="200"/>
        <w:rPr>
          <w:color w:val="000000"/>
          <w:sz w:val="24"/>
        </w:rPr>
      </w:pPr>
      <w:r>
        <w:rPr>
          <w:color w:val="000000"/>
          <w:sz w:val="24"/>
        </w:rPr>
        <w:t>所购设备将用于武汉生物制品研究所有限责任公司各车间纯蒸汽的质量检测。</w:t>
      </w:r>
    </w:p>
    <w:p>
      <w:pPr>
        <w:pStyle w:val="11"/>
        <w:spacing w:line="360" w:lineRule="auto"/>
        <w:outlineLvl w:val="1"/>
        <w:rPr>
          <w:b/>
          <w:color w:val="000000"/>
          <w:sz w:val="24"/>
        </w:rPr>
      </w:pPr>
      <w:bookmarkStart w:id="5" w:name="_Toc377477129"/>
      <w:r>
        <w:rPr>
          <w:b/>
          <w:color w:val="000000"/>
          <w:sz w:val="24"/>
        </w:rPr>
        <w:t>4.2法规要求</w:t>
      </w:r>
      <w:bookmarkEnd w:id="5"/>
    </w:p>
    <w:p>
      <w:pPr>
        <w:pStyle w:val="11"/>
        <w:spacing w:line="360" w:lineRule="auto"/>
        <w:rPr>
          <w:b/>
          <w:color w:val="000000"/>
          <w:sz w:val="24"/>
        </w:rPr>
      </w:pPr>
      <w:r>
        <w:rPr>
          <w:b/>
          <w:color w:val="000000"/>
          <w:sz w:val="24"/>
        </w:rPr>
        <w:t>4.2.1 法规与指南要求</w:t>
      </w:r>
    </w:p>
    <w:p>
      <w:pPr>
        <w:pStyle w:val="11"/>
        <w:spacing w:line="460" w:lineRule="exact"/>
        <w:rPr>
          <w:sz w:val="24"/>
        </w:rPr>
      </w:pPr>
      <w:r>
        <w:rPr>
          <w:sz w:val="24"/>
        </w:rPr>
        <w:t>《药品生产质量管理规范》（2010修订版）</w:t>
      </w:r>
    </w:p>
    <w:p>
      <w:pPr>
        <w:pStyle w:val="11"/>
        <w:spacing w:line="360" w:lineRule="auto"/>
        <w:rPr>
          <w:color w:val="000000"/>
          <w:sz w:val="24"/>
        </w:rPr>
      </w:pPr>
      <w:r>
        <w:rPr>
          <w:sz w:val="24"/>
        </w:rPr>
        <w:t>《药品GMP指南》厂房与设施设备（2011版）</w:t>
      </w:r>
    </w:p>
    <w:p>
      <w:pPr>
        <w:pStyle w:val="11"/>
        <w:spacing w:line="360" w:lineRule="auto"/>
        <w:rPr>
          <w:sz w:val="24"/>
        </w:rPr>
      </w:pPr>
      <w:r>
        <w:rPr>
          <w:sz w:val="24"/>
        </w:rPr>
        <w:t>ISO EN285 标准</w:t>
      </w:r>
    </w:p>
    <w:p>
      <w:pPr>
        <w:pStyle w:val="11"/>
        <w:spacing w:line="360" w:lineRule="auto"/>
        <w:rPr>
          <w:sz w:val="24"/>
        </w:rPr>
      </w:pPr>
      <w:r>
        <w:rPr>
          <w:sz w:val="24"/>
        </w:rPr>
        <w:t>HTM 2010 及HTM 2031标准</w:t>
      </w:r>
    </w:p>
    <w:p>
      <w:pPr>
        <w:pStyle w:val="11"/>
        <w:spacing w:line="360" w:lineRule="auto"/>
        <w:rPr>
          <w:sz w:val="24"/>
        </w:rPr>
      </w:pPr>
      <w:r>
        <w:rPr>
          <w:sz w:val="21"/>
          <w:szCs w:val="21"/>
        </w:rPr>
        <w:t>WHO的GMP</w:t>
      </w:r>
    </w:p>
    <w:p>
      <w:pPr>
        <w:pStyle w:val="11"/>
        <w:spacing w:line="460" w:lineRule="exact"/>
        <w:rPr>
          <w:sz w:val="24"/>
        </w:rPr>
      </w:pPr>
      <w:r>
        <w:rPr>
          <w:sz w:val="24"/>
        </w:rPr>
        <w:t>欧洲GMP</w:t>
      </w:r>
    </w:p>
    <w:p>
      <w:pPr>
        <w:pStyle w:val="11"/>
        <w:spacing w:line="460" w:lineRule="exact"/>
        <w:rPr>
          <w:sz w:val="24"/>
        </w:rPr>
      </w:pPr>
      <w:r>
        <w:rPr>
          <w:sz w:val="24"/>
        </w:rPr>
        <w:t>GEP良好工程管理规范</w:t>
      </w:r>
    </w:p>
    <w:p>
      <w:pPr>
        <w:spacing w:line="460" w:lineRule="exact"/>
        <w:rPr>
          <w:kern w:val="0"/>
          <w:sz w:val="24"/>
        </w:rPr>
      </w:pPr>
      <w:r>
        <w:rPr>
          <w:kern w:val="0"/>
          <w:sz w:val="24"/>
        </w:rPr>
        <w:t>ICH相关指南标准</w:t>
      </w:r>
    </w:p>
    <w:p>
      <w:pPr>
        <w:spacing w:line="460" w:lineRule="exact"/>
        <w:rPr>
          <w:kern w:val="0"/>
          <w:sz w:val="24"/>
        </w:rPr>
      </w:pPr>
      <w:r>
        <w:rPr>
          <w:kern w:val="0"/>
          <w:sz w:val="24"/>
        </w:rPr>
        <w:t>系统应符合上述现行版法规相关规定，同时符合WHO预认证相关其他纯蒸汽质量检测仪、计算机化系统及数据完整性相关法规、指南、标准要求。</w:t>
      </w:r>
    </w:p>
    <w:p>
      <w:pPr>
        <w:pStyle w:val="11"/>
        <w:spacing w:line="460" w:lineRule="exact"/>
        <w:rPr>
          <w:b/>
          <w:sz w:val="24"/>
        </w:rPr>
      </w:pPr>
      <w:r>
        <w:rPr>
          <w:b/>
          <w:sz w:val="24"/>
        </w:rPr>
        <w:t>4.2.2安全及环保要求</w:t>
      </w:r>
    </w:p>
    <w:p>
      <w:pPr>
        <w:spacing w:line="460" w:lineRule="exact"/>
        <w:rPr>
          <w:color w:val="000000"/>
          <w:kern w:val="0"/>
          <w:sz w:val="24"/>
        </w:rPr>
      </w:pPr>
      <w:r>
        <w:rPr>
          <w:color w:val="000000"/>
          <w:kern w:val="0"/>
          <w:sz w:val="24"/>
        </w:rPr>
        <w:t>安全：达到国内相关标准及CE标准要求；</w:t>
      </w:r>
    </w:p>
    <w:p>
      <w:pPr>
        <w:spacing w:line="460" w:lineRule="exact"/>
        <w:rPr>
          <w:color w:val="000000"/>
          <w:kern w:val="0"/>
          <w:sz w:val="24"/>
        </w:rPr>
      </w:pPr>
      <w:r>
        <w:rPr>
          <w:color w:val="000000"/>
          <w:kern w:val="0"/>
          <w:sz w:val="24"/>
        </w:rPr>
        <w:t>防护等级：电机、电气、仪表及所有控制系统的部件（包括控制盘）的防水防尘等级达到IP64；</w:t>
      </w:r>
    </w:p>
    <w:p>
      <w:pPr>
        <w:pStyle w:val="11"/>
        <w:spacing w:line="460" w:lineRule="exact"/>
        <w:rPr>
          <w:sz w:val="24"/>
        </w:rPr>
      </w:pPr>
      <w:r>
        <w:rPr>
          <w:color w:val="000000"/>
          <w:sz w:val="24"/>
        </w:rPr>
        <w:t>机械安全机械电气设备第一部分：通用技术条件GB-52261-2002</w:t>
      </w:r>
    </w:p>
    <w:p>
      <w:pPr>
        <w:pStyle w:val="11"/>
        <w:spacing w:line="460" w:lineRule="exact"/>
        <w:rPr>
          <w:b/>
          <w:sz w:val="24"/>
        </w:rPr>
      </w:pPr>
      <w:r>
        <w:rPr>
          <w:b/>
          <w:sz w:val="24"/>
        </w:rPr>
        <w:t>4.2.3其他要求</w:t>
      </w:r>
    </w:p>
    <w:p>
      <w:pPr>
        <w:pStyle w:val="11"/>
        <w:spacing w:line="460" w:lineRule="exact"/>
        <w:rPr>
          <w:sz w:val="24"/>
        </w:rPr>
      </w:pPr>
      <w:r>
        <w:rPr>
          <w:sz w:val="24"/>
        </w:rPr>
        <w:t>电气标准规范</w:t>
      </w:r>
    </w:p>
    <w:p>
      <w:pPr>
        <w:pStyle w:val="11"/>
        <w:spacing w:line="460" w:lineRule="exact"/>
        <w:rPr>
          <w:color w:val="000000"/>
          <w:kern w:val="0"/>
          <w:sz w:val="24"/>
        </w:rPr>
      </w:pPr>
      <w:r>
        <w:rPr>
          <w:color w:val="000000"/>
          <w:kern w:val="0"/>
          <w:sz w:val="24"/>
        </w:rPr>
        <w:t>所有电气设备的电线和电缆必须依据ICE标准</w:t>
      </w:r>
    </w:p>
    <w:p>
      <w:pPr>
        <w:pStyle w:val="11"/>
        <w:spacing w:line="460" w:lineRule="exact"/>
        <w:rPr>
          <w:color w:val="000000"/>
          <w:kern w:val="0"/>
          <w:sz w:val="24"/>
        </w:rPr>
      </w:pPr>
      <w:r>
        <w:rPr>
          <w:color w:val="000000"/>
          <w:kern w:val="0"/>
          <w:sz w:val="24"/>
        </w:rPr>
        <w:t>噪音要求：依照CE标准不得超过60dBA</w:t>
      </w:r>
    </w:p>
    <w:p>
      <w:pPr>
        <w:pStyle w:val="11"/>
        <w:spacing w:line="460" w:lineRule="exact"/>
        <w:rPr>
          <w:sz w:val="24"/>
        </w:rPr>
      </w:pPr>
      <w:r>
        <w:rPr>
          <w:color w:val="000000"/>
          <w:sz w:val="24"/>
        </w:rPr>
        <w:t>工业企业设计卫生标准GBZ 1-2010</w:t>
      </w:r>
    </w:p>
    <w:p>
      <w:pPr>
        <w:pStyle w:val="11"/>
        <w:spacing w:line="360" w:lineRule="auto"/>
        <w:outlineLvl w:val="1"/>
        <w:rPr>
          <w:b/>
          <w:color w:val="000000"/>
          <w:sz w:val="24"/>
        </w:rPr>
      </w:pPr>
      <w:r>
        <w:rPr>
          <w:b/>
          <w:color w:val="000000"/>
          <w:sz w:val="24"/>
        </w:rPr>
        <w:t>4.3安装要求</w:t>
      </w:r>
    </w:p>
    <w:p>
      <w:pPr>
        <w:pStyle w:val="11"/>
        <w:spacing w:line="460" w:lineRule="exact"/>
        <w:rPr>
          <w:b/>
          <w:color w:val="000000"/>
          <w:sz w:val="24"/>
        </w:rPr>
      </w:pPr>
      <w:r>
        <w:rPr>
          <w:b/>
          <w:sz w:val="24"/>
        </w:rPr>
        <w:t>4.3.1</w:t>
      </w:r>
      <w:r>
        <w:rPr>
          <w:b/>
          <w:color w:val="000000"/>
          <w:sz w:val="24"/>
        </w:rPr>
        <w:t>安装位置</w:t>
      </w:r>
    </w:p>
    <w:p>
      <w:pPr>
        <w:pStyle w:val="11"/>
        <w:spacing w:line="360" w:lineRule="auto"/>
        <w:rPr>
          <w:sz w:val="24"/>
        </w:rPr>
      </w:pPr>
      <w:r>
        <w:rPr>
          <w:sz w:val="24"/>
        </w:rPr>
        <w:t>4.3.1.1</w:t>
      </w:r>
      <w:r>
        <w:rPr>
          <w:rFonts w:hint="eastAsia"/>
          <w:sz w:val="24"/>
        </w:rPr>
        <w:t>该仪器为移动式，无固定安装位置，用于各车间纯蒸汽的质量检测。</w:t>
      </w:r>
    </w:p>
    <w:p>
      <w:pPr>
        <w:pStyle w:val="11"/>
        <w:spacing w:line="460" w:lineRule="exact"/>
        <w:rPr>
          <w:sz w:val="24"/>
        </w:rPr>
      </w:pPr>
      <w:r>
        <w:rPr>
          <w:b/>
          <w:sz w:val="24"/>
        </w:rPr>
        <w:t>4.3</w:t>
      </w:r>
      <w:r>
        <w:rPr>
          <w:b/>
          <w:color w:val="000000"/>
          <w:sz w:val="24"/>
        </w:rPr>
        <w:t>.2安装尺寸：</w:t>
      </w:r>
    </w:p>
    <w:p>
      <w:pPr>
        <w:pStyle w:val="11"/>
        <w:spacing w:line="460" w:lineRule="exact"/>
        <w:rPr>
          <w:sz w:val="24"/>
        </w:rPr>
      </w:pPr>
      <w:r>
        <w:rPr>
          <w:sz w:val="24"/>
        </w:rPr>
        <w:t>4.3.2.1纯蒸汽质量检测仪尺寸应小巧便携，利于进行纯蒸汽质量检测及冷凝水取样，纯蒸汽质量检测仪的接头能满足各个使用点的连接。</w:t>
      </w:r>
    </w:p>
    <w:p>
      <w:pPr>
        <w:pStyle w:val="11"/>
        <w:spacing w:line="460" w:lineRule="exact"/>
        <w:rPr>
          <w:sz w:val="24"/>
        </w:rPr>
      </w:pPr>
      <w:r>
        <w:rPr>
          <w:sz w:val="24"/>
        </w:rPr>
        <w:t>4.3.2.2纯蒸汽质量检测仪的形式及尺寸应符合制造商说明书及技术文件规定的要求。</w:t>
      </w:r>
    </w:p>
    <w:p>
      <w:pPr>
        <w:pStyle w:val="6"/>
        <w:spacing w:after="0" w:line="460" w:lineRule="exact"/>
        <w:rPr>
          <w:sz w:val="24"/>
        </w:rPr>
      </w:pPr>
      <w:r>
        <w:rPr>
          <w:sz w:val="24"/>
        </w:rPr>
        <w:t>4.3.2.3 供应商必须给出纯蒸汽质量检测仪选型方案及相应附件选型方案，并交给我公司使用部门及工程类部门审核。</w:t>
      </w:r>
    </w:p>
    <w:p>
      <w:pPr>
        <w:pStyle w:val="11"/>
        <w:spacing w:line="460" w:lineRule="exact"/>
        <w:rPr>
          <w:b/>
          <w:sz w:val="24"/>
        </w:rPr>
      </w:pPr>
      <w:r>
        <w:rPr>
          <w:b/>
          <w:sz w:val="24"/>
        </w:rPr>
        <w:t>4.3.3地面承重</w:t>
      </w:r>
    </w:p>
    <w:p>
      <w:pPr>
        <w:pStyle w:val="11"/>
        <w:spacing w:line="460" w:lineRule="exact"/>
        <w:rPr>
          <w:sz w:val="24"/>
        </w:rPr>
      </w:pPr>
      <w:r>
        <w:rPr>
          <w:sz w:val="24"/>
        </w:rPr>
        <w:t>4.3.3.1</w:t>
      </w:r>
      <w:r>
        <w:rPr>
          <w:rFonts w:hint="eastAsia"/>
          <w:sz w:val="24"/>
        </w:rPr>
        <w:t xml:space="preserve"> NA</w:t>
      </w:r>
    </w:p>
    <w:p>
      <w:pPr>
        <w:pStyle w:val="11"/>
        <w:spacing w:line="360" w:lineRule="auto"/>
        <w:rPr>
          <w:b/>
          <w:bCs/>
          <w:color w:val="000000"/>
          <w:sz w:val="24"/>
        </w:rPr>
      </w:pPr>
      <w:r>
        <w:rPr>
          <w:b/>
          <w:bCs/>
          <w:color w:val="000000"/>
          <w:sz w:val="24"/>
        </w:rPr>
        <w:t>4.3.4可用的公用系统</w:t>
      </w:r>
    </w:p>
    <w:p>
      <w:pPr>
        <w:pStyle w:val="11"/>
        <w:spacing w:line="360" w:lineRule="auto"/>
        <w:rPr>
          <w:color w:val="auto"/>
          <w:sz w:val="24"/>
          <w:highlight w:val="none"/>
        </w:rPr>
      </w:pPr>
      <w:r>
        <w:rPr>
          <w:color w:val="auto"/>
          <w:sz w:val="24"/>
          <w:highlight w:val="none"/>
        </w:rPr>
        <w:t>纯蒸汽，纯蒸汽压力在</w:t>
      </w:r>
      <w:r>
        <w:rPr>
          <w:rFonts w:hint="eastAsia"/>
          <w:color w:val="auto"/>
          <w:sz w:val="24"/>
          <w:highlight w:val="none"/>
        </w:rPr>
        <w:t>0</w:t>
      </w:r>
      <w:r>
        <w:rPr>
          <w:color w:val="auto"/>
          <w:sz w:val="24"/>
          <w:highlight w:val="none"/>
        </w:rPr>
        <w:t>～</w:t>
      </w:r>
      <w:r>
        <w:rPr>
          <w:rFonts w:hint="eastAsia"/>
          <w:color w:val="auto"/>
          <w:sz w:val="24"/>
          <w:highlight w:val="none"/>
        </w:rPr>
        <w:t>6</w:t>
      </w:r>
      <w:r>
        <w:rPr>
          <w:color w:val="auto"/>
          <w:sz w:val="24"/>
          <w:highlight w:val="none"/>
        </w:rPr>
        <w:t>bar</w:t>
      </w:r>
    </w:p>
    <w:p>
      <w:pPr>
        <w:pStyle w:val="11"/>
        <w:spacing w:line="360" w:lineRule="auto"/>
        <w:rPr>
          <w:b/>
          <w:bCs/>
          <w:color w:val="000000"/>
          <w:sz w:val="24"/>
        </w:rPr>
      </w:pPr>
      <w:r>
        <w:rPr>
          <w:b/>
          <w:bCs/>
          <w:color w:val="000000"/>
          <w:sz w:val="24"/>
        </w:rPr>
        <w:t>4.3.5洁净级别及房间环境要求</w:t>
      </w:r>
    </w:p>
    <w:p>
      <w:pPr>
        <w:pStyle w:val="11"/>
        <w:spacing w:line="360" w:lineRule="auto"/>
        <w:rPr>
          <w:color w:val="000000"/>
          <w:sz w:val="24"/>
        </w:rPr>
      </w:pPr>
      <w:r>
        <w:rPr>
          <w:color w:val="000000"/>
          <w:sz w:val="24"/>
        </w:rPr>
        <w:t>4.3.5.1 工作环境温度：</w:t>
      </w:r>
      <w:r>
        <w:rPr>
          <w:sz w:val="24"/>
        </w:rPr>
        <w:t>0</w:t>
      </w:r>
      <w:r>
        <w:rPr>
          <w:rFonts w:hint="eastAsia" w:ascii="宋体" w:hAnsi="宋体" w:cs="宋体"/>
          <w:sz w:val="24"/>
        </w:rPr>
        <w:t>℃</w:t>
      </w:r>
      <w:r>
        <w:rPr>
          <w:sz w:val="24"/>
        </w:rPr>
        <w:t>─180</w:t>
      </w:r>
      <w:r>
        <w:rPr>
          <w:rFonts w:hint="eastAsia" w:ascii="宋体" w:hAnsi="宋体" w:cs="宋体"/>
          <w:sz w:val="24"/>
        </w:rPr>
        <w:t>℃</w:t>
      </w:r>
      <w:r>
        <w:rPr>
          <w:sz w:val="24"/>
        </w:rPr>
        <w:t>环境使用</w:t>
      </w:r>
      <w:r>
        <w:rPr>
          <w:color w:val="000000"/>
          <w:sz w:val="24"/>
        </w:rPr>
        <w:t>。</w:t>
      </w:r>
    </w:p>
    <w:p>
      <w:pPr>
        <w:pStyle w:val="11"/>
        <w:spacing w:line="360" w:lineRule="auto"/>
        <w:rPr>
          <w:color w:val="000000"/>
          <w:sz w:val="24"/>
        </w:rPr>
      </w:pPr>
      <w:r>
        <w:rPr>
          <w:color w:val="000000"/>
          <w:sz w:val="24"/>
        </w:rPr>
        <w:t xml:space="preserve">4.3.5.2 工作环境湿度：不大于80%。 </w:t>
      </w:r>
    </w:p>
    <w:p>
      <w:pPr>
        <w:pStyle w:val="11"/>
        <w:spacing w:line="360" w:lineRule="auto"/>
        <w:rPr>
          <w:color w:val="000000"/>
          <w:sz w:val="24"/>
        </w:rPr>
      </w:pPr>
      <w:r>
        <w:rPr>
          <w:color w:val="000000"/>
          <w:sz w:val="24"/>
        </w:rPr>
        <w:t xml:space="preserve">4.3.5.3 工作环境洁净级别： </w:t>
      </w:r>
      <w:r>
        <w:rPr>
          <w:bCs/>
          <w:color w:val="000000"/>
          <w:sz w:val="24"/>
        </w:rPr>
        <w:t>设备应能符合洁净厂房的使用要求，测量环境从普通级到B级均适用。</w:t>
      </w:r>
    </w:p>
    <w:p>
      <w:pPr>
        <w:pStyle w:val="11"/>
        <w:spacing w:line="460" w:lineRule="exact"/>
        <w:rPr>
          <w:b/>
          <w:color w:val="000000"/>
          <w:sz w:val="24"/>
        </w:rPr>
      </w:pPr>
      <w:r>
        <w:rPr>
          <w:b/>
          <w:sz w:val="24"/>
        </w:rPr>
        <w:t>4.3.6可用的能源配置</w:t>
      </w:r>
    </w:p>
    <w:p>
      <w:pPr>
        <w:pStyle w:val="11"/>
        <w:spacing w:line="460" w:lineRule="exact"/>
        <w:rPr>
          <w:bCs/>
          <w:color w:val="000000"/>
          <w:sz w:val="24"/>
        </w:rPr>
      </w:pPr>
      <w:r>
        <w:rPr>
          <w:bCs/>
          <w:color w:val="000000"/>
          <w:sz w:val="24"/>
        </w:rPr>
        <w:t>4.3.6.1</w:t>
      </w:r>
      <w:r>
        <w:rPr>
          <w:color w:val="000000"/>
          <w:sz w:val="24"/>
        </w:rPr>
        <w:t>设备工作</w:t>
      </w:r>
      <w:r>
        <w:rPr>
          <w:sz w:val="24"/>
        </w:rPr>
        <w:t>使用电源：交流220V±22V，50Hz±1Hz</w:t>
      </w:r>
      <w:r>
        <w:rPr>
          <w:bCs/>
          <w:color w:val="000000"/>
          <w:sz w:val="24"/>
        </w:rPr>
        <w:t>。</w:t>
      </w:r>
    </w:p>
    <w:p>
      <w:pPr>
        <w:pStyle w:val="11"/>
        <w:spacing w:line="460" w:lineRule="exact"/>
        <w:rPr>
          <w:b/>
          <w:sz w:val="24"/>
        </w:rPr>
      </w:pPr>
      <w:r>
        <w:rPr>
          <w:b/>
          <w:sz w:val="24"/>
        </w:rPr>
        <w:t>4.3.7外观及材质要求</w:t>
      </w:r>
    </w:p>
    <w:p>
      <w:pPr>
        <w:pStyle w:val="11"/>
        <w:spacing w:line="460" w:lineRule="exact"/>
        <w:rPr>
          <w:sz w:val="24"/>
        </w:rPr>
      </w:pPr>
      <w:r>
        <w:rPr>
          <w:color w:val="000000"/>
          <w:sz w:val="24"/>
        </w:rPr>
        <w:t>4.3.7.1</w:t>
      </w:r>
      <w:r>
        <w:rPr>
          <w:sz w:val="24"/>
        </w:rPr>
        <w:t>设备外观应端正、整齐，不得有明显的偏歪、毛刺和锈蚀等缺陷，设备任何部位不能有锋利的边缘和尖角。形状便于放置在所需检测的位置，接口满足各个车间使用。</w:t>
      </w:r>
    </w:p>
    <w:p>
      <w:pPr>
        <w:pStyle w:val="11"/>
        <w:spacing w:line="360" w:lineRule="auto"/>
        <w:rPr>
          <w:color w:val="000000"/>
          <w:sz w:val="24"/>
        </w:rPr>
      </w:pPr>
      <w:r>
        <w:rPr>
          <w:color w:val="000000"/>
          <w:sz w:val="24"/>
        </w:rPr>
        <w:t>4.3.7.2 与纯蒸汽接触</w:t>
      </w:r>
      <w:r>
        <w:rPr>
          <w:rFonts w:hint="eastAsia"/>
          <w:color w:val="000000"/>
          <w:sz w:val="24"/>
        </w:rPr>
        <w:t>的</w:t>
      </w:r>
      <w:r>
        <w:rPr>
          <w:color w:val="000000"/>
          <w:sz w:val="24"/>
        </w:rPr>
        <w:t>所有部件连接方式为焊接，卡盘或其他卫生型连接方式，螺纹连接方式不允许采用，膜片材质为FDA认可的PTFE/EPDM，所有部件及密封圈应该易于拆卸和装回；</w:t>
      </w:r>
    </w:p>
    <w:p>
      <w:pPr>
        <w:pStyle w:val="11"/>
        <w:spacing w:line="360" w:lineRule="auto"/>
        <w:rPr>
          <w:color w:val="000000"/>
          <w:sz w:val="24"/>
        </w:rPr>
      </w:pPr>
      <w:r>
        <w:rPr>
          <w:color w:val="000000"/>
          <w:sz w:val="24"/>
        </w:rPr>
        <w:t>4.3.7.3和纯蒸汽接触的金属材质为316L，其他金属部位为304；</w:t>
      </w:r>
    </w:p>
    <w:p>
      <w:pPr>
        <w:pStyle w:val="11"/>
        <w:spacing w:line="360" w:lineRule="auto"/>
        <w:rPr>
          <w:color w:val="000000"/>
          <w:sz w:val="24"/>
        </w:rPr>
      </w:pPr>
      <w:r>
        <w:rPr>
          <w:color w:val="000000"/>
          <w:sz w:val="24"/>
        </w:rPr>
        <w:t>4.3.7.4方便清洗、消毒，</w:t>
      </w:r>
      <w:r>
        <w:rPr>
          <w:sz w:val="24"/>
        </w:rPr>
        <w:t>设备表面及内部便于清洁，不能有清洁死角</w:t>
      </w:r>
      <w:r>
        <w:rPr>
          <w:color w:val="000000"/>
          <w:sz w:val="24"/>
        </w:rPr>
        <w:t>；</w:t>
      </w:r>
    </w:p>
    <w:p>
      <w:pPr>
        <w:pStyle w:val="11"/>
        <w:spacing w:line="360" w:lineRule="auto"/>
        <w:rPr>
          <w:sz w:val="24"/>
        </w:rPr>
      </w:pPr>
      <w:r>
        <w:rPr>
          <w:sz w:val="24"/>
        </w:rPr>
        <w:t>4.3.7.5方便取样、携带、转运；</w:t>
      </w:r>
    </w:p>
    <w:p>
      <w:pPr>
        <w:pStyle w:val="11"/>
        <w:spacing w:line="360" w:lineRule="auto"/>
        <w:rPr>
          <w:rFonts w:hint="eastAsia"/>
          <w:color w:val="000000"/>
          <w:sz w:val="24"/>
        </w:rPr>
      </w:pPr>
      <w:r>
        <w:rPr>
          <w:color w:val="000000"/>
          <w:sz w:val="24"/>
        </w:rPr>
        <w:t>4.3.7.6纯蒸汽检测仪及其备件能耐高温高压（145</w:t>
      </w:r>
      <w:r>
        <w:rPr>
          <w:rFonts w:hint="eastAsia" w:ascii="宋体" w:hAnsi="宋体" w:cs="宋体"/>
          <w:color w:val="000000"/>
          <w:sz w:val="24"/>
        </w:rPr>
        <w:t>℃</w:t>
      </w:r>
      <w:r>
        <w:rPr>
          <w:color w:val="000000"/>
          <w:sz w:val="24"/>
        </w:rPr>
        <w:t>，0.4MPa），接触纯蒸汽的内部管路应无缝隙，能耐受长时间纯蒸汽的侵蚀，并且具有完全排水能力，防止设备内部积水；</w:t>
      </w:r>
    </w:p>
    <w:p>
      <w:pPr>
        <w:pStyle w:val="11"/>
        <w:spacing w:line="360" w:lineRule="auto"/>
        <w:rPr>
          <w:color w:val="000000"/>
          <w:sz w:val="24"/>
        </w:rPr>
      </w:pPr>
      <w:r>
        <w:rPr>
          <w:color w:val="000000"/>
          <w:sz w:val="24"/>
        </w:rPr>
        <w:t>4.3.7.</w:t>
      </w:r>
      <w:r>
        <w:rPr>
          <w:rFonts w:hint="eastAsia"/>
          <w:color w:val="000000"/>
          <w:sz w:val="24"/>
        </w:rPr>
        <w:t>7 连接用软管为橡胶管</w:t>
      </w:r>
    </w:p>
    <w:p>
      <w:pPr>
        <w:pStyle w:val="11"/>
        <w:spacing w:line="360" w:lineRule="auto"/>
        <w:rPr>
          <w:color w:val="000000"/>
          <w:sz w:val="24"/>
        </w:rPr>
      </w:pPr>
      <w:r>
        <w:rPr>
          <w:color w:val="000000"/>
          <w:sz w:val="24"/>
        </w:rPr>
        <w:t>4.3.7.</w:t>
      </w:r>
      <w:r>
        <w:rPr>
          <w:rFonts w:hint="eastAsia"/>
          <w:color w:val="000000"/>
          <w:sz w:val="24"/>
        </w:rPr>
        <w:t>8</w:t>
      </w:r>
      <w:r>
        <w:rPr>
          <w:color w:val="000000"/>
          <w:sz w:val="24"/>
        </w:rPr>
        <w:t>纯蒸汽检测仪的备件基于（但不限于）以下几个方面：</w:t>
      </w:r>
    </w:p>
    <w:p>
      <w:pPr>
        <w:pStyle w:val="11"/>
        <w:spacing w:line="360" w:lineRule="auto"/>
        <w:rPr>
          <w:color w:val="000000"/>
          <w:sz w:val="24"/>
        </w:rPr>
      </w:pPr>
      <w:r>
        <w:rPr>
          <w:color w:val="000000"/>
          <w:sz w:val="24"/>
        </w:rPr>
        <w:t>（1）不凝性气体测试冷凝器；</w:t>
      </w:r>
    </w:p>
    <w:p>
      <w:pPr>
        <w:pStyle w:val="11"/>
        <w:spacing w:line="360" w:lineRule="auto"/>
        <w:rPr>
          <w:color w:val="000000"/>
          <w:sz w:val="24"/>
        </w:rPr>
      </w:pPr>
      <w:r>
        <w:rPr>
          <w:color w:val="000000"/>
          <w:sz w:val="24"/>
        </w:rPr>
        <w:t>（1）纯蒸汽取样凝结器；</w:t>
      </w:r>
    </w:p>
    <w:p>
      <w:pPr>
        <w:pStyle w:val="11"/>
        <w:spacing w:line="360" w:lineRule="auto"/>
        <w:rPr>
          <w:color w:val="000000"/>
          <w:sz w:val="24"/>
        </w:rPr>
      </w:pPr>
      <w:r>
        <w:rPr>
          <w:color w:val="000000"/>
          <w:sz w:val="24"/>
        </w:rPr>
        <w:t>（2）测试弯头：对于洁净/纯蒸汽系统，尺寸为 1/2",1",2",3"和4"需要的测试弯头；</w:t>
      </w:r>
    </w:p>
    <w:p>
      <w:pPr>
        <w:pStyle w:val="11"/>
        <w:spacing w:line="360" w:lineRule="auto"/>
        <w:rPr>
          <w:color w:val="000000"/>
          <w:sz w:val="24"/>
        </w:rPr>
      </w:pPr>
      <w:r>
        <w:rPr>
          <w:color w:val="000000"/>
          <w:sz w:val="24"/>
        </w:rPr>
        <w:t>（3）一台电子称； </w:t>
      </w:r>
    </w:p>
    <w:p>
      <w:pPr>
        <w:pStyle w:val="11"/>
        <w:spacing w:line="360" w:lineRule="auto"/>
        <w:rPr>
          <w:color w:val="000000"/>
          <w:sz w:val="24"/>
        </w:rPr>
      </w:pPr>
      <w:r>
        <w:rPr>
          <w:color w:val="000000"/>
          <w:sz w:val="24"/>
        </w:rPr>
        <w:t>（4）一台手持式记录器和两个温度探头  </w:t>
      </w:r>
    </w:p>
    <w:p>
      <w:pPr>
        <w:pStyle w:val="11"/>
        <w:spacing w:line="360" w:lineRule="auto"/>
        <w:rPr>
          <w:color w:val="000000"/>
          <w:sz w:val="24"/>
        </w:rPr>
      </w:pPr>
      <w:r>
        <w:rPr>
          <w:color w:val="000000"/>
          <w:sz w:val="24"/>
        </w:rPr>
        <w:t>（5）冷却水潜水泵和管道，可以远程测试（现场没有冷却水供应）； </w:t>
      </w:r>
    </w:p>
    <w:p>
      <w:pPr>
        <w:pStyle w:val="11"/>
        <w:spacing w:line="360" w:lineRule="auto"/>
        <w:rPr>
          <w:color w:val="000000"/>
          <w:sz w:val="24"/>
        </w:rPr>
      </w:pPr>
      <w:r>
        <w:rPr>
          <w:color w:val="000000"/>
          <w:sz w:val="24"/>
        </w:rPr>
        <w:t>（6）带保温的蒸汽连接管道； </w:t>
      </w:r>
    </w:p>
    <w:p>
      <w:pPr>
        <w:pStyle w:val="11"/>
        <w:spacing w:line="360" w:lineRule="auto"/>
        <w:rPr>
          <w:color w:val="000000"/>
          <w:sz w:val="24"/>
        </w:rPr>
      </w:pPr>
      <w:r>
        <w:rPr>
          <w:color w:val="000000"/>
          <w:sz w:val="24"/>
        </w:rPr>
        <w:t>（7）滴管，自来水龙头和橡胶塞；  </w:t>
      </w:r>
    </w:p>
    <w:p>
      <w:pPr>
        <w:pStyle w:val="11"/>
        <w:spacing w:line="360" w:lineRule="auto"/>
        <w:rPr>
          <w:color w:val="000000"/>
          <w:sz w:val="24"/>
        </w:rPr>
      </w:pPr>
      <w:r>
        <w:rPr>
          <w:color w:val="000000"/>
          <w:sz w:val="24"/>
        </w:rPr>
        <w:t>（8）皮托管(直径为0.4,0.6 &amp; 0.8mm，1.5mm)；  </w:t>
      </w:r>
    </w:p>
    <w:p>
      <w:pPr>
        <w:pStyle w:val="11"/>
        <w:spacing w:line="360" w:lineRule="auto"/>
        <w:rPr>
          <w:color w:val="000000"/>
          <w:sz w:val="24"/>
        </w:rPr>
      </w:pPr>
      <w:r>
        <w:rPr>
          <w:color w:val="000000"/>
          <w:sz w:val="24"/>
        </w:rPr>
        <w:t>（9）带保温的过热膨胀管； </w:t>
      </w:r>
    </w:p>
    <w:p>
      <w:pPr>
        <w:pStyle w:val="11"/>
        <w:spacing w:line="360" w:lineRule="auto"/>
        <w:rPr>
          <w:color w:val="000000"/>
          <w:sz w:val="24"/>
        </w:rPr>
      </w:pPr>
      <w:r>
        <w:rPr>
          <w:color w:val="000000"/>
          <w:sz w:val="24"/>
        </w:rPr>
        <w:t>（10）带有不锈钢汲取管的干度测试塞盖；  </w:t>
      </w:r>
    </w:p>
    <w:p>
      <w:pPr>
        <w:pStyle w:val="11"/>
        <w:spacing w:line="360" w:lineRule="auto"/>
        <w:rPr>
          <w:color w:val="000000"/>
          <w:sz w:val="24"/>
        </w:rPr>
      </w:pPr>
      <w:r>
        <w:rPr>
          <w:color w:val="000000"/>
          <w:sz w:val="24"/>
        </w:rPr>
        <w:t>（11）连接管和卡具；  </w:t>
      </w:r>
    </w:p>
    <w:p>
      <w:pPr>
        <w:pStyle w:val="11"/>
        <w:spacing w:line="360" w:lineRule="auto"/>
        <w:rPr>
          <w:color w:val="000000"/>
          <w:sz w:val="24"/>
        </w:rPr>
      </w:pPr>
      <w:r>
        <w:rPr>
          <w:color w:val="000000"/>
          <w:sz w:val="24"/>
        </w:rPr>
        <w:t>（12）不锈钢真空瓶； </w:t>
      </w:r>
    </w:p>
    <w:p>
      <w:pPr>
        <w:pStyle w:val="11"/>
        <w:spacing w:line="360" w:lineRule="auto"/>
        <w:rPr>
          <w:color w:val="000000"/>
          <w:sz w:val="24"/>
        </w:rPr>
      </w:pPr>
      <w:r>
        <w:rPr>
          <w:color w:val="000000"/>
          <w:sz w:val="24"/>
        </w:rPr>
        <w:t>（13）详细的指导手册和EXCEL格式的步骤/计算和报表；  </w:t>
      </w:r>
    </w:p>
    <w:p>
      <w:pPr>
        <w:pStyle w:val="11"/>
        <w:spacing w:line="360" w:lineRule="auto"/>
        <w:rPr>
          <w:color w:val="000000"/>
          <w:sz w:val="24"/>
        </w:rPr>
      </w:pPr>
      <w:r>
        <w:rPr>
          <w:color w:val="000000"/>
          <w:sz w:val="24"/>
        </w:rPr>
        <w:t>（14）坚固的便携箱。</w:t>
      </w:r>
    </w:p>
    <w:p>
      <w:pPr>
        <w:pStyle w:val="11"/>
        <w:spacing w:line="360" w:lineRule="auto"/>
        <w:outlineLvl w:val="0"/>
        <w:rPr>
          <w:color w:val="000000"/>
          <w:sz w:val="24"/>
        </w:rPr>
      </w:pPr>
      <w:bookmarkStart w:id="6" w:name="_Toc361310625"/>
      <w:r>
        <w:rPr>
          <w:b/>
          <w:color w:val="000000"/>
          <w:sz w:val="24"/>
        </w:rPr>
        <w:t>4.4运行要求</w:t>
      </w:r>
      <w:bookmarkEnd w:id="6"/>
    </w:p>
    <w:p>
      <w:pPr>
        <w:pStyle w:val="11"/>
        <w:spacing w:line="360" w:lineRule="auto"/>
        <w:rPr>
          <w:b/>
          <w:sz w:val="24"/>
        </w:rPr>
      </w:pPr>
      <w:r>
        <w:rPr>
          <w:b/>
          <w:sz w:val="24"/>
        </w:rPr>
        <w:t>4.4.1原辅料、包装材料、产品的规格标准</w:t>
      </w:r>
    </w:p>
    <w:p>
      <w:pPr>
        <w:pStyle w:val="11"/>
        <w:spacing w:line="360" w:lineRule="auto"/>
        <w:rPr>
          <w:sz w:val="24"/>
        </w:rPr>
      </w:pPr>
      <w:r>
        <w:rPr>
          <w:sz w:val="24"/>
        </w:rPr>
        <w:t>N/A</w:t>
      </w:r>
    </w:p>
    <w:p>
      <w:pPr>
        <w:pStyle w:val="11"/>
        <w:spacing w:line="360" w:lineRule="auto"/>
        <w:rPr>
          <w:b/>
          <w:sz w:val="24"/>
        </w:rPr>
      </w:pPr>
      <w:r>
        <w:rPr>
          <w:b/>
          <w:sz w:val="24"/>
        </w:rPr>
        <w:t>4.4.2设备效率、产能</w:t>
      </w:r>
    </w:p>
    <w:p>
      <w:pPr>
        <w:pStyle w:val="11"/>
        <w:spacing w:line="360" w:lineRule="auto"/>
        <w:rPr>
          <w:sz w:val="24"/>
        </w:rPr>
      </w:pPr>
      <w:r>
        <w:rPr>
          <w:sz w:val="24"/>
        </w:rPr>
        <w:t>N/A</w:t>
      </w:r>
    </w:p>
    <w:p>
      <w:pPr>
        <w:pStyle w:val="11"/>
        <w:spacing w:line="360" w:lineRule="auto"/>
        <w:rPr>
          <w:b/>
          <w:sz w:val="21"/>
          <w:szCs w:val="21"/>
        </w:rPr>
      </w:pPr>
      <w:r>
        <w:rPr>
          <w:b/>
          <w:sz w:val="24"/>
        </w:rPr>
        <w:t>4.4.3工艺参数范围</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5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219" w:type="dxa"/>
            <w:shd w:val="clear" w:color="auto" w:fill="D9D9D9"/>
          </w:tcPr>
          <w:p>
            <w:pPr>
              <w:pStyle w:val="11"/>
              <w:spacing w:line="360" w:lineRule="auto"/>
              <w:rPr>
                <w:rFonts w:hint="eastAsia"/>
                <w:sz w:val="24"/>
              </w:rPr>
            </w:pPr>
            <w:r>
              <w:rPr>
                <w:rFonts w:hint="eastAsia"/>
                <w:sz w:val="24"/>
              </w:rPr>
              <w:t>部件名称</w:t>
            </w:r>
          </w:p>
        </w:tc>
        <w:tc>
          <w:tcPr>
            <w:tcW w:w="5635" w:type="dxa"/>
            <w:shd w:val="clear" w:color="auto" w:fill="D9D9D9"/>
          </w:tcPr>
          <w:p>
            <w:pPr>
              <w:pStyle w:val="11"/>
              <w:spacing w:line="360" w:lineRule="auto"/>
              <w:rPr>
                <w:rFonts w:hint="eastAsia"/>
                <w:sz w:val="24"/>
              </w:rPr>
            </w:pPr>
            <w:r>
              <w:rPr>
                <w:rFonts w:hint="eastAsia"/>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Merge w:val="restart"/>
            <w:shd w:val="clear" w:color="auto" w:fill="auto"/>
          </w:tcPr>
          <w:p>
            <w:pPr>
              <w:pStyle w:val="11"/>
              <w:spacing w:line="360" w:lineRule="auto"/>
              <w:rPr>
                <w:rFonts w:hint="eastAsia"/>
                <w:sz w:val="24"/>
              </w:rPr>
            </w:pPr>
            <w:r>
              <w:rPr>
                <w:rFonts w:hint="eastAsia"/>
                <w:sz w:val="24"/>
              </w:rPr>
              <w:t>滴定管或相关装置</w:t>
            </w:r>
          </w:p>
        </w:tc>
        <w:tc>
          <w:tcPr>
            <w:tcW w:w="5635" w:type="dxa"/>
            <w:shd w:val="clear" w:color="auto" w:fill="auto"/>
          </w:tcPr>
          <w:p>
            <w:pPr>
              <w:pStyle w:val="11"/>
              <w:spacing w:line="360" w:lineRule="auto"/>
              <w:rPr>
                <w:rFonts w:hint="eastAsia"/>
                <w:sz w:val="24"/>
              </w:rPr>
            </w:pPr>
            <w:r>
              <w:rPr>
                <w:rFonts w:hint="eastAsia"/>
                <w:sz w:val="24"/>
              </w:rPr>
              <w:t>量程：0-50ml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Merge w:val="continue"/>
            <w:shd w:val="clear" w:color="auto" w:fill="auto"/>
          </w:tcPr>
          <w:p>
            <w:pPr>
              <w:pStyle w:val="11"/>
              <w:spacing w:line="360" w:lineRule="auto"/>
              <w:rPr>
                <w:rFonts w:hint="eastAsia"/>
                <w:sz w:val="24"/>
              </w:rPr>
            </w:pPr>
          </w:p>
        </w:tc>
        <w:tc>
          <w:tcPr>
            <w:tcW w:w="5635" w:type="dxa"/>
            <w:shd w:val="clear" w:color="auto" w:fill="auto"/>
          </w:tcPr>
          <w:p>
            <w:pPr>
              <w:pStyle w:val="11"/>
              <w:spacing w:line="360" w:lineRule="auto"/>
              <w:rPr>
                <w:rFonts w:hint="eastAsia"/>
                <w:sz w:val="24"/>
              </w:rPr>
            </w:pPr>
            <w:r>
              <w:rPr>
                <w:rFonts w:hint="eastAsia"/>
                <w:sz w:val="24"/>
              </w:rPr>
              <w:t>最小刻度：</w:t>
            </w:r>
            <w:r>
              <w:rPr>
                <w:rFonts w:hint="eastAsia" w:ascii="宋体" w:hAnsi="宋体"/>
                <w:sz w:val="24"/>
              </w:rPr>
              <w:t>0.</w:t>
            </w:r>
            <w:r>
              <w:rPr>
                <w:rFonts w:hint="eastAsia"/>
                <w:sz w:val="24"/>
              </w:rPr>
              <w:t>1ml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Merge w:val="continue"/>
            <w:shd w:val="clear" w:color="auto" w:fill="auto"/>
          </w:tcPr>
          <w:p>
            <w:pPr>
              <w:pStyle w:val="11"/>
              <w:spacing w:line="360" w:lineRule="auto"/>
              <w:rPr>
                <w:rFonts w:hint="eastAsia"/>
                <w:sz w:val="24"/>
              </w:rPr>
            </w:pPr>
          </w:p>
        </w:tc>
        <w:tc>
          <w:tcPr>
            <w:tcW w:w="5635" w:type="dxa"/>
            <w:shd w:val="clear" w:color="auto" w:fill="auto"/>
          </w:tcPr>
          <w:p>
            <w:pPr>
              <w:pStyle w:val="11"/>
              <w:spacing w:line="360" w:lineRule="auto"/>
              <w:rPr>
                <w:rFonts w:hint="eastAsia"/>
                <w:sz w:val="24"/>
              </w:rPr>
            </w:pPr>
            <w:r>
              <w:rPr>
                <w:rFonts w:hint="eastAsia"/>
                <w:sz w:val="24"/>
              </w:rPr>
              <w:t>容量允差：</w:t>
            </w:r>
            <w:r>
              <w:rPr>
                <w:rFonts w:hint="eastAsia" w:ascii="宋体" w:hAnsi="宋体"/>
                <w:sz w:val="24"/>
              </w:rPr>
              <w:t>±</w:t>
            </w:r>
            <w:r>
              <w:rPr>
                <w:rFonts w:hint="eastAsia"/>
                <w:sz w:val="24"/>
              </w:rPr>
              <w:t>0.05ml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Merge w:val="restart"/>
            <w:shd w:val="clear" w:color="auto" w:fill="auto"/>
          </w:tcPr>
          <w:p>
            <w:pPr>
              <w:pStyle w:val="11"/>
              <w:spacing w:line="360" w:lineRule="auto"/>
              <w:rPr>
                <w:rFonts w:hint="eastAsia"/>
                <w:sz w:val="24"/>
              </w:rPr>
            </w:pPr>
            <w:r>
              <w:rPr>
                <w:rFonts w:hint="eastAsia"/>
                <w:sz w:val="24"/>
              </w:rPr>
              <w:t>量筒</w:t>
            </w:r>
          </w:p>
        </w:tc>
        <w:tc>
          <w:tcPr>
            <w:tcW w:w="5635" w:type="dxa"/>
            <w:shd w:val="clear" w:color="auto" w:fill="auto"/>
          </w:tcPr>
          <w:p>
            <w:pPr>
              <w:pStyle w:val="11"/>
              <w:spacing w:line="360" w:lineRule="auto"/>
              <w:rPr>
                <w:rFonts w:hint="eastAsia"/>
                <w:sz w:val="24"/>
              </w:rPr>
            </w:pPr>
            <w:r>
              <w:rPr>
                <w:rFonts w:hint="eastAsia"/>
                <w:sz w:val="24"/>
              </w:rPr>
              <w:t>最大量程：150-250ml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Merge w:val="continue"/>
            <w:shd w:val="clear" w:color="auto" w:fill="auto"/>
          </w:tcPr>
          <w:p>
            <w:pPr>
              <w:pStyle w:val="11"/>
              <w:spacing w:line="360" w:lineRule="auto"/>
              <w:rPr>
                <w:rFonts w:hint="eastAsia"/>
                <w:sz w:val="24"/>
              </w:rPr>
            </w:pPr>
          </w:p>
        </w:tc>
        <w:tc>
          <w:tcPr>
            <w:tcW w:w="5635" w:type="dxa"/>
            <w:shd w:val="clear" w:color="auto" w:fill="auto"/>
          </w:tcPr>
          <w:p>
            <w:pPr>
              <w:pStyle w:val="11"/>
              <w:spacing w:line="360" w:lineRule="auto"/>
              <w:rPr>
                <w:rFonts w:hint="eastAsia"/>
                <w:sz w:val="24"/>
              </w:rPr>
            </w:pPr>
            <w:r>
              <w:rPr>
                <w:rFonts w:hint="eastAsia"/>
                <w:sz w:val="24"/>
              </w:rPr>
              <w:t>最小刻度：</w:t>
            </w:r>
            <w:r>
              <w:rPr>
                <w:rFonts w:hint="eastAsia" w:ascii="宋体" w:hAnsi="宋体"/>
                <w:sz w:val="24"/>
              </w:rPr>
              <w:t>≤</w:t>
            </w:r>
            <w:r>
              <w:rPr>
                <w:rFonts w:hint="eastAsia"/>
                <w:sz w:val="24"/>
              </w:rPr>
              <w:t>1ml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Merge w:val="continue"/>
            <w:shd w:val="clear" w:color="auto" w:fill="auto"/>
          </w:tcPr>
          <w:p>
            <w:pPr>
              <w:pStyle w:val="11"/>
              <w:spacing w:line="360" w:lineRule="auto"/>
              <w:rPr>
                <w:rFonts w:hint="eastAsia"/>
                <w:sz w:val="24"/>
              </w:rPr>
            </w:pPr>
          </w:p>
        </w:tc>
        <w:tc>
          <w:tcPr>
            <w:tcW w:w="5635" w:type="dxa"/>
            <w:shd w:val="clear" w:color="auto" w:fill="auto"/>
          </w:tcPr>
          <w:p>
            <w:pPr>
              <w:pStyle w:val="11"/>
              <w:spacing w:line="360" w:lineRule="auto"/>
              <w:rPr>
                <w:rFonts w:hint="eastAsia"/>
                <w:sz w:val="24"/>
              </w:rPr>
            </w:pPr>
            <w:r>
              <w:rPr>
                <w:rFonts w:hint="eastAsia"/>
                <w:sz w:val="24"/>
              </w:rPr>
              <w:t>容量允差：</w:t>
            </w:r>
            <w:r>
              <w:rPr>
                <w:rFonts w:hint="eastAsia" w:ascii="宋体" w:hAnsi="宋体"/>
                <w:sz w:val="24"/>
              </w:rPr>
              <w:t>±</w:t>
            </w:r>
            <w:r>
              <w:rPr>
                <w:rFonts w:hint="eastAsia"/>
                <w:sz w:val="24"/>
              </w:rPr>
              <w:t>1ml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Merge w:val="restart"/>
            <w:shd w:val="clear" w:color="auto" w:fill="auto"/>
          </w:tcPr>
          <w:p>
            <w:pPr>
              <w:pStyle w:val="11"/>
              <w:spacing w:line="360" w:lineRule="auto"/>
              <w:rPr>
                <w:rFonts w:hint="eastAsia"/>
                <w:sz w:val="24"/>
              </w:rPr>
            </w:pPr>
            <w:r>
              <w:rPr>
                <w:rFonts w:hint="eastAsia"/>
                <w:sz w:val="24"/>
              </w:rPr>
              <w:t>电子秤</w:t>
            </w:r>
          </w:p>
        </w:tc>
        <w:tc>
          <w:tcPr>
            <w:tcW w:w="5635" w:type="dxa"/>
            <w:shd w:val="clear" w:color="auto" w:fill="auto"/>
          </w:tcPr>
          <w:p>
            <w:pPr>
              <w:pStyle w:val="11"/>
              <w:spacing w:line="360" w:lineRule="auto"/>
              <w:rPr>
                <w:rFonts w:hint="eastAsia"/>
                <w:sz w:val="24"/>
              </w:rPr>
            </w:pPr>
            <w:r>
              <w:rPr>
                <w:rFonts w:hint="eastAsia"/>
                <w:sz w:val="24"/>
              </w:rPr>
              <w:t>量程：0-3000g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Merge w:val="continue"/>
            <w:shd w:val="clear" w:color="auto" w:fill="auto"/>
          </w:tcPr>
          <w:p>
            <w:pPr>
              <w:pStyle w:val="11"/>
              <w:spacing w:line="360" w:lineRule="auto"/>
              <w:rPr>
                <w:rFonts w:hint="eastAsia"/>
                <w:sz w:val="24"/>
              </w:rPr>
            </w:pPr>
          </w:p>
        </w:tc>
        <w:tc>
          <w:tcPr>
            <w:tcW w:w="5635" w:type="dxa"/>
            <w:shd w:val="clear" w:color="auto" w:fill="auto"/>
          </w:tcPr>
          <w:p>
            <w:pPr>
              <w:pStyle w:val="11"/>
              <w:spacing w:line="360" w:lineRule="auto"/>
              <w:rPr>
                <w:rFonts w:hint="eastAsia"/>
                <w:sz w:val="24"/>
              </w:rPr>
            </w:pPr>
            <w:r>
              <w:rPr>
                <w:rFonts w:hint="eastAsia"/>
                <w:sz w:val="24"/>
              </w:rPr>
              <w:t>分辨率: 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Merge w:val="continue"/>
            <w:shd w:val="clear" w:color="auto" w:fill="auto"/>
          </w:tcPr>
          <w:p>
            <w:pPr>
              <w:pStyle w:val="11"/>
              <w:spacing w:line="360" w:lineRule="auto"/>
              <w:rPr>
                <w:rFonts w:hint="eastAsia"/>
                <w:sz w:val="24"/>
              </w:rPr>
            </w:pPr>
          </w:p>
        </w:tc>
        <w:tc>
          <w:tcPr>
            <w:tcW w:w="5635" w:type="dxa"/>
            <w:shd w:val="clear" w:color="auto" w:fill="auto"/>
          </w:tcPr>
          <w:p>
            <w:pPr>
              <w:pStyle w:val="11"/>
              <w:spacing w:line="360" w:lineRule="auto"/>
              <w:rPr>
                <w:rFonts w:hint="eastAsia"/>
                <w:sz w:val="24"/>
              </w:rPr>
            </w:pPr>
            <w:r>
              <w:rPr>
                <w:rFonts w:hint="eastAsia"/>
                <w:sz w:val="24"/>
              </w:rPr>
              <w:t xml:space="preserve">允差: </w:t>
            </w:r>
            <w:r>
              <w:rPr>
                <w:rFonts w:hint="eastAsia" w:ascii="宋体" w:hAnsi="宋体"/>
                <w:sz w:val="24"/>
              </w:rPr>
              <w:t>±</w:t>
            </w:r>
            <w:r>
              <w:rPr>
                <w:rFonts w:hint="eastAsia"/>
                <w:sz w:val="24"/>
              </w:rPr>
              <w:t>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Merge w:val="restart"/>
            <w:shd w:val="clear" w:color="auto" w:fill="auto"/>
          </w:tcPr>
          <w:p>
            <w:pPr>
              <w:pStyle w:val="11"/>
              <w:spacing w:line="360" w:lineRule="auto"/>
              <w:rPr>
                <w:rFonts w:hint="eastAsia"/>
                <w:sz w:val="24"/>
              </w:rPr>
            </w:pPr>
            <w:r>
              <w:rPr>
                <w:rFonts w:hint="eastAsia"/>
                <w:sz w:val="24"/>
              </w:rPr>
              <w:t>温度计(包含热电偶)</w:t>
            </w:r>
          </w:p>
        </w:tc>
        <w:tc>
          <w:tcPr>
            <w:tcW w:w="5635" w:type="dxa"/>
            <w:shd w:val="clear" w:color="auto" w:fill="auto"/>
          </w:tcPr>
          <w:p>
            <w:pPr>
              <w:pStyle w:val="11"/>
              <w:spacing w:line="360" w:lineRule="auto"/>
              <w:rPr>
                <w:rFonts w:hint="eastAsia"/>
                <w:sz w:val="24"/>
              </w:rPr>
            </w:pPr>
            <w:r>
              <w:rPr>
                <w:rFonts w:hint="eastAsia"/>
                <w:sz w:val="24"/>
              </w:rPr>
              <w:t>量程：0</w:t>
            </w:r>
            <w:r>
              <w:rPr>
                <w:rFonts w:hint="eastAsia" w:ascii="宋体" w:hAnsi="宋体"/>
                <w:sz w:val="24"/>
              </w:rPr>
              <w:t>℃</w:t>
            </w:r>
            <w:r>
              <w:rPr>
                <w:rFonts w:hint="eastAsia"/>
                <w:sz w:val="24"/>
              </w:rPr>
              <w:t>-200</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Merge w:val="continue"/>
            <w:shd w:val="clear" w:color="auto" w:fill="auto"/>
          </w:tcPr>
          <w:p>
            <w:pPr>
              <w:pStyle w:val="11"/>
              <w:spacing w:line="360" w:lineRule="auto"/>
              <w:rPr>
                <w:rFonts w:hint="eastAsia"/>
                <w:sz w:val="24"/>
              </w:rPr>
            </w:pPr>
          </w:p>
        </w:tc>
        <w:tc>
          <w:tcPr>
            <w:tcW w:w="5635" w:type="dxa"/>
            <w:shd w:val="clear" w:color="auto" w:fill="auto"/>
          </w:tcPr>
          <w:p>
            <w:pPr>
              <w:pStyle w:val="11"/>
              <w:spacing w:line="360" w:lineRule="auto"/>
              <w:rPr>
                <w:rFonts w:hint="eastAsia"/>
                <w:sz w:val="24"/>
              </w:rPr>
            </w:pPr>
            <w:r>
              <w:rPr>
                <w:rFonts w:hint="eastAsia"/>
                <w:sz w:val="24"/>
              </w:rPr>
              <w:t>分辨率:0.1</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Merge w:val="continue"/>
            <w:shd w:val="clear" w:color="auto" w:fill="auto"/>
          </w:tcPr>
          <w:p>
            <w:pPr>
              <w:pStyle w:val="11"/>
              <w:spacing w:line="360" w:lineRule="auto"/>
              <w:rPr>
                <w:rFonts w:hint="eastAsia"/>
                <w:sz w:val="24"/>
              </w:rPr>
            </w:pPr>
          </w:p>
        </w:tc>
        <w:tc>
          <w:tcPr>
            <w:tcW w:w="5635" w:type="dxa"/>
            <w:shd w:val="clear" w:color="auto" w:fill="auto"/>
          </w:tcPr>
          <w:p>
            <w:pPr>
              <w:pStyle w:val="11"/>
              <w:spacing w:line="360" w:lineRule="auto"/>
              <w:rPr>
                <w:rFonts w:hint="eastAsia"/>
                <w:sz w:val="24"/>
              </w:rPr>
            </w:pPr>
            <w:r>
              <w:rPr>
                <w:rFonts w:hint="eastAsia"/>
                <w:sz w:val="24"/>
              </w:rPr>
              <w:t>精度:</w:t>
            </w:r>
            <w:r>
              <w:rPr>
                <w:rFonts w:hint="eastAsia" w:ascii="宋体" w:hAnsi="宋体"/>
                <w:sz w:val="24"/>
              </w:rPr>
              <w:t>±</w:t>
            </w:r>
            <w:r>
              <w:rPr>
                <w:rFonts w:hint="eastAsia"/>
                <w:sz w:val="24"/>
              </w:rPr>
              <w:t>0.5</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shd w:val="clear" w:color="auto" w:fill="auto"/>
          </w:tcPr>
          <w:p>
            <w:pPr>
              <w:pStyle w:val="11"/>
              <w:spacing w:line="360" w:lineRule="auto"/>
              <w:rPr>
                <w:rFonts w:hint="eastAsia"/>
                <w:sz w:val="24"/>
              </w:rPr>
            </w:pPr>
            <w:r>
              <w:rPr>
                <w:rFonts w:hint="eastAsia"/>
                <w:sz w:val="24"/>
              </w:rPr>
              <w:t>不凝性气体测试用连接软管（如果有）</w:t>
            </w:r>
          </w:p>
        </w:tc>
        <w:tc>
          <w:tcPr>
            <w:tcW w:w="5635" w:type="dxa"/>
            <w:shd w:val="clear" w:color="auto" w:fill="auto"/>
          </w:tcPr>
          <w:p>
            <w:pPr>
              <w:pStyle w:val="11"/>
              <w:spacing w:line="360" w:lineRule="auto"/>
              <w:rPr>
                <w:rFonts w:hint="eastAsia"/>
                <w:sz w:val="24"/>
              </w:rPr>
            </w:pPr>
            <w:r>
              <w:rPr>
                <w:rFonts w:hint="eastAsia"/>
                <w:sz w:val="24"/>
              </w:rPr>
              <w:t>长度：900-1000mm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shd w:val="clear" w:color="auto" w:fill="auto"/>
          </w:tcPr>
          <w:p>
            <w:pPr>
              <w:pStyle w:val="11"/>
              <w:spacing w:line="360" w:lineRule="auto"/>
              <w:rPr>
                <w:rFonts w:hint="eastAsia"/>
                <w:sz w:val="24"/>
              </w:rPr>
            </w:pPr>
            <w:r>
              <w:rPr>
                <w:rFonts w:hint="eastAsia"/>
                <w:sz w:val="24"/>
              </w:rPr>
              <w:t>干度测试用连接软管</w:t>
            </w:r>
          </w:p>
        </w:tc>
        <w:tc>
          <w:tcPr>
            <w:tcW w:w="5635" w:type="dxa"/>
            <w:shd w:val="clear" w:color="auto" w:fill="auto"/>
          </w:tcPr>
          <w:p>
            <w:pPr>
              <w:pStyle w:val="11"/>
              <w:spacing w:line="360" w:lineRule="auto"/>
              <w:rPr>
                <w:rFonts w:hint="eastAsia"/>
                <w:sz w:val="24"/>
              </w:rPr>
            </w:pPr>
            <w:r>
              <w:rPr>
                <w:rFonts w:hint="eastAsia"/>
                <w:sz w:val="24"/>
              </w:rPr>
              <w:t>长度：400-500mm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shd w:val="clear" w:color="auto" w:fill="auto"/>
          </w:tcPr>
          <w:p>
            <w:pPr>
              <w:pStyle w:val="11"/>
              <w:spacing w:line="360" w:lineRule="auto"/>
              <w:rPr>
                <w:rFonts w:hint="eastAsia"/>
                <w:sz w:val="24"/>
              </w:rPr>
            </w:pPr>
            <w:r>
              <w:rPr>
                <w:rFonts w:hint="eastAsia"/>
                <w:sz w:val="24"/>
              </w:rPr>
              <w:t>皮托管</w:t>
            </w:r>
          </w:p>
        </w:tc>
        <w:tc>
          <w:tcPr>
            <w:tcW w:w="5635" w:type="dxa"/>
            <w:shd w:val="clear" w:color="auto" w:fill="auto"/>
          </w:tcPr>
          <w:p>
            <w:pPr>
              <w:pStyle w:val="11"/>
              <w:spacing w:line="360" w:lineRule="auto"/>
              <w:rPr>
                <w:rFonts w:hint="eastAsia"/>
                <w:sz w:val="24"/>
              </w:rPr>
            </w:pPr>
            <w:r>
              <w:rPr>
                <w:rFonts w:hint="eastAsia"/>
                <w:sz w:val="24"/>
              </w:rPr>
              <w:t>尺寸参见附件1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shd w:val="clear" w:color="auto" w:fill="auto"/>
          </w:tcPr>
          <w:p>
            <w:pPr>
              <w:pStyle w:val="11"/>
              <w:spacing w:line="360" w:lineRule="auto"/>
              <w:rPr>
                <w:rFonts w:hint="eastAsia"/>
                <w:sz w:val="24"/>
              </w:rPr>
            </w:pPr>
            <w:r>
              <w:rPr>
                <w:color w:val="000000"/>
                <w:sz w:val="24"/>
              </w:rPr>
              <w:t>干度测试塞盖</w:t>
            </w:r>
          </w:p>
        </w:tc>
        <w:tc>
          <w:tcPr>
            <w:tcW w:w="5635" w:type="dxa"/>
            <w:shd w:val="clear" w:color="auto" w:fill="auto"/>
          </w:tcPr>
          <w:p>
            <w:pPr>
              <w:pStyle w:val="11"/>
              <w:spacing w:line="360" w:lineRule="auto"/>
              <w:rPr>
                <w:rFonts w:hint="eastAsia"/>
                <w:sz w:val="24"/>
              </w:rPr>
            </w:pPr>
            <w:r>
              <w:rPr>
                <w:rFonts w:hint="eastAsia"/>
                <w:sz w:val="24"/>
              </w:rPr>
              <w:t>尺寸参见附件2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shd w:val="clear" w:color="auto" w:fill="auto"/>
          </w:tcPr>
          <w:p>
            <w:pPr>
              <w:pStyle w:val="11"/>
              <w:spacing w:line="360" w:lineRule="auto"/>
              <w:rPr>
                <w:color w:val="000000"/>
                <w:sz w:val="24"/>
              </w:rPr>
            </w:pPr>
            <w:r>
              <w:rPr>
                <w:rFonts w:hint="eastAsia"/>
                <w:color w:val="000000"/>
                <w:sz w:val="24"/>
              </w:rPr>
              <w:t>膨胀管</w:t>
            </w:r>
          </w:p>
        </w:tc>
        <w:tc>
          <w:tcPr>
            <w:tcW w:w="5635" w:type="dxa"/>
            <w:shd w:val="clear" w:color="auto" w:fill="auto"/>
          </w:tcPr>
          <w:p>
            <w:pPr>
              <w:pStyle w:val="11"/>
              <w:spacing w:line="360" w:lineRule="auto"/>
              <w:rPr>
                <w:rFonts w:hint="eastAsia"/>
                <w:sz w:val="24"/>
              </w:rPr>
            </w:pPr>
            <w:r>
              <w:rPr>
                <w:rFonts w:hint="eastAsia"/>
                <w:sz w:val="24"/>
              </w:rPr>
              <w:t>尺寸参见附件2</w:t>
            </w:r>
          </w:p>
        </w:tc>
      </w:tr>
    </w:tbl>
    <w:p>
      <w:pPr>
        <w:pStyle w:val="11"/>
        <w:spacing w:line="360" w:lineRule="auto"/>
        <w:rPr>
          <w:rFonts w:hint="eastAsia"/>
          <w:b/>
          <w:sz w:val="24"/>
        </w:rPr>
      </w:pPr>
    </w:p>
    <w:p>
      <w:pPr>
        <w:pStyle w:val="11"/>
        <w:spacing w:line="360" w:lineRule="auto"/>
        <w:rPr>
          <w:b/>
          <w:sz w:val="24"/>
        </w:rPr>
      </w:pPr>
      <w:r>
        <w:rPr>
          <w:b/>
          <w:sz w:val="24"/>
        </w:rPr>
        <w:t>4.4.4其他运行要求</w:t>
      </w:r>
    </w:p>
    <w:p>
      <w:pPr>
        <w:pStyle w:val="11"/>
        <w:spacing w:line="360" w:lineRule="auto"/>
        <w:rPr>
          <w:color w:val="000000"/>
          <w:sz w:val="24"/>
        </w:rPr>
      </w:pPr>
      <w:r>
        <w:rPr>
          <w:color w:val="000000"/>
          <w:sz w:val="24"/>
        </w:rPr>
        <w:t>纯蒸汽检测仪的运行基于（但不限于）以下几个方面：</w:t>
      </w:r>
    </w:p>
    <w:p>
      <w:pPr>
        <w:pStyle w:val="11"/>
        <w:spacing w:line="360" w:lineRule="auto"/>
        <w:rPr>
          <w:color w:val="auto"/>
          <w:sz w:val="24"/>
        </w:rPr>
      </w:pPr>
      <w:r>
        <w:rPr>
          <w:color w:val="000000"/>
          <w:sz w:val="24"/>
        </w:rPr>
        <w:t>*4.4.4.1</w:t>
      </w:r>
      <w:r>
        <w:rPr>
          <w:color w:val="auto"/>
          <w:sz w:val="24"/>
        </w:rPr>
        <w:t>设备不需要额外的测试设备，可以直接进行测试纯蒸汽的过热度、干度、不凝气体参数；</w:t>
      </w:r>
    </w:p>
    <w:p>
      <w:pPr>
        <w:pStyle w:val="11"/>
        <w:spacing w:line="360" w:lineRule="auto"/>
        <w:rPr>
          <w:color w:val="000000"/>
          <w:sz w:val="24"/>
        </w:rPr>
      </w:pPr>
      <w:r>
        <w:rPr>
          <w:color w:val="000000"/>
          <w:sz w:val="24"/>
        </w:rPr>
        <w:t>4.4.4.2</w:t>
      </w:r>
      <w:r>
        <w:rPr>
          <w:color w:val="auto"/>
          <w:sz w:val="24"/>
        </w:rPr>
        <w:t>能够收集蒸汽作为洁净蒸汽的分析使用，纯蒸汽冷凝取样器，取600ml冷凝纯蒸汽样品时间小于五分钟；</w:t>
      </w:r>
    </w:p>
    <w:p>
      <w:pPr>
        <w:pStyle w:val="11"/>
        <w:spacing w:line="360" w:lineRule="auto"/>
        <w:outlineLvl w:val="1"/>
        <w:rPr>
          <w:b/>
          <w:color w:val="000000"/>
          <w:sz w:val="24"/>
        </w:rPr>
      </w:pPr>
      <w:bookmarkStart w:id="7" w:name="_Toc377477130"/>
      <w:r>
        <w:rPr>
          <w:b/>
          <w:color w:val="000000"/>
          <w:sz w:val="24"/>
        </w:rPr>
        <w:t>4.4.2备件要求</w:t>
      </w:r>
      <w:bookmarkEnd w:id="7"/>
    </w:p>
    <w:p>
      <w:pPr>
        <w:pStyle w:val="11"/>
        <w:spacing w:line="460" w:lineRule="exact"/>
        <w:rPr>
          <w:bCs/>
          <w:color w:val="000000"/>
          <w:sz w:val="24"/>
        </w:rPr>
      </w:pPr>
      <w:bookmarkStart w:id="8" w:name="_Toc465846119"/>
      <w:bookmarkStart w:id="9" w:name="_Toc469557823"/>
      <w:r>
        <w:rPr>
          <w:b/>
          <w:color w:val="000000"/>
          <w:sz w:val="24"/>
        </w:rPr>
        <w:t>4.5</w:t>
      </w:r>
      <w:r>
        <w:rPr>
          <w:b/>
          <w:sz w:val="24"/>
        </w:rPr>
        <w:t>电气、自动控制要求</w:t>
      </w:r>
      <w:bookmarkEnd w:id="8"/>
      <w:bookmarkEnd w:id="9"/>
    </w:p>
    <w:p>
      <w:pPr>
        <w:pStyle w:val="11"/>
        <w:spacing w:line="460" w:lineRule="exact"/>
        <w:rPr>
          <w:b/>
          <w:color w:val="000000"/>
          <w:sz w:val="21"/>
          <w:szCs w:val="21"/>
        </w:rPr>
      </w:pPr>
      <w:r>
        <w:rPr>
          <w:b/>
          <w:sz w:val="21"/>
          <w:szCs w:val="21"/>
        </w:rPr>
        <w:t>4.5.1</w:t>
      </w:r>
      <w:r>
        <w:rPr>
          <w:b/>
          <w:color w:val="000000"/>
          <w:sz w:val="21"/>
          <w:szCs w:val="21"/>
        </w:rPr>
        <w:t>自动控制过程的要求</w:t>
      </w:r>
    </w:p>
    <w:p>
      <w:pPr>
        <w:pStyle w:val="11"/>
        <w:spacing w:line="360" w:lineRule="auto"/>
        <w:ind w:firstLine="480" w:firstLineChars="200"/>
        <w:rPr>
          <w:color w:val="000000"/>
          <w:sz w:val="24"/>
        </w:rPr>
      </w:pPr>
      <w:r>
        <w:rPr>
          <w:rFonts w:hint="eastAsia"/>
          <w:color w:val="000000"/>
          <w:sz w:val="24"/>
        </w:rPr>
        <w:t>NA</w:t>
      </w:r>
    </w:p>
    <w:p>
      <w:pPr>
        <w:pStyle w:val="11"/>
        <w:spacing w:line="360" w:lineRule="auto"/>
        <w:rPr>
          <w:rFonts w:hint="eastAsia"/>
          <w:b/>
          <w:color w:val="000000"/>
          <w:sz w:val="21"/>
          <w:szCs w:val="21"/>
        </w:rPr>
      </w:pPr>
      <w:r>
        <w:rPr>
          <w:b/>
          <w:color w:val="000000"/>
          <w:sz w:val="21"/>
          <w:szCs w:val="21"/>
        </w:rPr>
        <w:t>4.5.2计算机化系统的验证要求</w:t>
      </w:r>
    </w:p>
    <w:p>
      <w:pPr>
        <w:pStyle w:val="11"/>
        <w:spacing w:line="360" w:lineRule="auto"/>
        <w:ind w:firstLine="517" w:firstLineChars="245"/>
        <w:rPr>
          <w:b/>
          <w:sz w:val="21"/>
          <w:szCs w:val="21"/>
        </w:rPr>
      </w:pPr>
      <w:r>
        <w:rPr>
          <w:rFonts w:hint="eastAsia"/>
          <w:b/>
          <w:sz w:val="21"/>
          <w:szCs w:val="21"/>
        </w:rPr>
        <w:t>NA</w:t>
      </w:r>
    </w:p>
    <w:p>
      <w:pPr>
        <w:pStyle w:val="11"/>
        <w:spacing w:line="460" w:lineRule="exact"/>
        <w:outlineLvl w:val="0"/>
        <w:rPr>
          <w:b/>
          <w:sz w:val="24"/>
        </w:rPr>
      </w:pPr>
      <w:bookmarkStart w:id="10" w:name="_Toc361310627"/>
      <w:bookmarkStart w:id="11" w:name="_Toc3424"/>
      <w:bookmarkStart w:id="12" w:name="_Toc465846120"/>
      <w:bookmarkStart w:id="13" w:name="_Toc469557824"/>
      <w:bookmarkStart w:id="14" w:name="_Toc377477131"/>
      <w:r>
        <w:rPr>
          <w:b/>
          <w:color w:val="000000"/>
          <w:sz w:val="24"/>
        </w:rPr>
        <w:t>4.6</w:t>
      </w:r>
      <w:r>
        <w:rPr>
          <w:b/>
          <w:sz w:val="24"/>
        </w:rPr>
        <w:t>安全要求</w:t>
      </w:r>
      <w:bookmarkEnd w:id="10"/>
      <w:bookmarkEnd w:id="11"/>
      <w:bookmarkEnd w:id="12"/>
      <w:bookmarkEnd w:id="13"/>
    </w:p>
    <w:p>
      <w:pPr>
        <w:pStyle w:val="11"/>
        <w:spacing w:line="460" w:lineRule="exact"/>
        <w:rPr>
          <w:b/>
          <w:color w:val="000000"/>
          <w:sz w:val="21"/>
          <w:szCs w:val="21"/>
        </w:rPr>
      </w:pPr>
      <w:r>
        <w:rPr>
          <w:b/>
          <w:color w:val="000000"/>
          <w:sz w:val="21"/>
          <w:szCs w:val="21"/>
        </w:rPr>
        <w:t>4.6.1密封连锁及压力保护</w:t>
      </w:r>
    </w:p>
    <w:p>
      <w:pPr>
        <w:pStyle w:val="11"/>
        <w:spacing w:line="460" w:lineRule="exact"/>
        <w:rPr>
          <w:color w:val="000000"/>
          <w:sz w:val="24"/>
        </w:rPr>
      </w:pPr>
      <w:r>
        <w:rPr>
          <w:color w:val="000000"/>
          <w:sz w:val="24"/>
        </w:rPr>
        <w:t>设备能够有效防止纯蒸汽泄漏，防止烫伤操作人员。</w:t>
      </w:r>
    </w:p>
    <w:p>
      <w:pPr>
        <w:pStyle w:val="11"/>
        <w:spacing w:line="460" w:lineRule="exact"/>
        <w:rPr>
          <w:b/>
          <w:sz w:val="21"/>
          <w:szCs w:val="21"/>
        </w:rPr>
      </w:pPr>
      <w:r>
        <w:rPr>
          <w:b/>
          <w:sz w:val="21"/>
          <w:szCs w:val="21"/>
        </w:rPr>
        <w:t>4.6.2电气保护</w:t>
      </w:r>
    </w:p>
    <w:p>
      <w:pPr>
        <w:pStyle w:val="11"/>
        <w:spacing w:line="460" w:lineRule="exact"/>
        <w:rPr>
          <w:color w:val="000000"/>
          <w:sz w:val="24"/>
        </w:rPr>
      </w:pPr>
      <w:r>
        <w:rPr>
          <w:color w:val="000000"/>
          <w:sz w:val="24"/>
        </w:rPr>
        <w:t>N/A</w:t>
      </w:r>
    </w:p>
    <w:p>
      <w:pPr>
        <w:pStyle w:val="11"/>
        <w:spacing w:line="360" w:lineRule="auto"/>
        <w:outlineLvl w:val="1"/>
        <w:rPr>
          <w:b/>
          <w:color w:val="000000"/>
          <w:sz w:val="24"/>
        </w:rPr>
      </w:pPr>
      <w:bookmarkStart w:id="15" w:name="_Toc465846121"/>
      <w:bookmarkStart w:id="16" w:name="_Toc469557825"/>
      <w:bookmarkStart w:id="17" w:name="_Toc12673"/>
      <w:r>
        <w:rPr>
          <w:b/>
          <w:color w:val="000000"/>
          <w:sz w:val="24"/>
        </w:rPr>
        <w:t>4.7文件要求</w:t>
      </w:r>
      <w:bookmarkEnd w:id="15"/>
      <w:bookmarkEnd w:id="16"/>
      <w:r>
        <w:rPr>
          <w:b/>
          <w:color w:val="000000"/>
          <w:sz w:val="24"/>
        </w:rPr>
        <w:t>：</w:t>
      </w:r>
      <w:bookmarkEnd w:id="17"/>
    </w:p>
    <w:bookmarkEnd w:id="14"/>
    <w:p>
      <w:pPr>
        <w:pStyle w:val="11"/>
        <w:spacing w:line="460" w:lineRule="exact"/>
        <w:rPr>
          <w:sz w:val="24"/>
        </w:rPr>
      </w:pPr>
      <w:r>
        <w:rPr>
          <w:sz w:val="24"/>
        </w:rPr>
        <w:t>4.7.1投标文件、合同及订单。</w:t>
      </w:r>
    </w:p>
    <w:p>
      <w:pPr>
        <w:pStyle w:val="11"/>
        <w:spacing w:line="460" w:lineRule="exact"/>
        <w:rPr>
          <w:sz w:val="24"/>
        </w:rPr>
      </w:pPr>
      <w:r>
        <w:rPr>
          <w:sz w:val="24"/>
        </w:rPr>
        <w:t>4.7.2卖方发运清单及相关检验报告。</w:t>
      </w:r>
    </w:p>
    <w:p>
      <w:pPr>
        <w:pStyle w:val="11"/>
        <w:spacing w:line="460" w:lineRule="exact"/>
        <w:rPr>
          <w:sz w:val="24"/>
        </w:rPr>
      </w:pPr>
      <w:r>
        <w:rPr>
          <w:sz w:val="24"/>
        </w:rPr>
        <w:t>4.7.3详细功能说明及设计选型文件。</w:t>
      </w:r>
    </w:p>
    <w:p>
      <w:pPr>
        <w:pStyle w:val="11"/>
        <w:spacing w:line="460" w:lineRule="exact"/>
        <w:rPr>
          <w:sz w:val="24"/>
        </w:rPr>
      </w:pPr>
      <w:r>
        <w:rPr>
          <w:sz w:val="24"/>
        </w:rPr>
        <w:t>4.7.4图纸：实物图；各种验证、维修等活动所需的电子版及打印版系统布局图、设备尺寸图、设备局部图（与工艺、功能相关的细节图）、注释参考等；P&amp;ID图；图纸清单。</w:t>
      </w:r>
    </w:p>
    <w:p>
      <w:pPr>
        <w:pStyle w:val="11"/>
        <w:spacing w:line="460" w:lineRule="exact"/>
        <w:rPr>
          <w:sz w:val="24"/>
        </w:rPr>
      </w:pPr>
      <w:r>
        <w:rPr>
          <w:sz w:val="24"/>
        </w:rPr>
        <w:t>4.7.5零配件、部件、元件编号清单：包括对应厂家名称、生产地、规格及必要说明。</w:t>
      </w:r>
    </w:p>
    <w:p>
      <w:pPr>
        <w:pStyle w:val="11"/>
        <w:spacing w:line="460" w:lineRule="exact"/>
        <w:rPr>
          <w:sz w:val="24"/>
        </w:rPr>
      </w:pPr>
      <w:r>
        <w:rPr>
          <w:sz w:val="24"/>
        </w:rPr>
        <w:t>4.7.6易损件清单。</w:t>
      </w:r>
    </w:p>
    <w:p>
      <w:pPr>
        <w:pStyle w:val="11"/>
        <w:spacing w:line="460" w:lineRule="exact"/>
        <w:rPr>
          <w:sz w:val="24"/>
        </w:rPr>
      </w:pPr>
      <w:r>
        <w:rPr>
          <w:sz w:val="24"/>
        </w:rPr>
        <w:t>4.7.7备用零部件清单。</w:t>
      </w:r>
    </w:p>
    <w:p>
      <w:pPr>
        <w:pStyle w:val="11"/>
        <w:spacing w:line="460" w:lineRule="exact"/>
        <w:rPr>
          <w:sz w:val="24"/>
        </w:rPr>
      </w:pPr>
      <w:r>
        <w:rPr>
          <w:sz w:val="24"/>
        </w:rPr>
        <w:t>4.7.8仪器仪表清单。</w:t>
      </w:r>
    </w:p>
    <w:p>
      <w:pPr>
        <w:pStyle w:val="11"/>
        <w:spacing w:line="460" w:lineRule="exact"/>
        <w:rPr>
          <w:sz w:val="24"/>
        </w:rPr>
      </w:pPr>
      <w:r>
        <w:rPr>
          <w:sz w:val="24"/>
        </w:rPr>
        <w:t>4.7.9设备交付计划表。</w:t>
      </w:r>
    </w:p>
    <w:p>
      <w:pPr>
        <w:pStyle w:val="11"/>
        <w:spacing w:line="460" w:lineRule="exact"/>
        <w:rPr>
          <w:sz w:val="24"/>
        </w:rPr>
      </w:pPr>
      <w:r>
        <w:rPr>
          <w:sz w:val="24"/>
        </w:rPr>
        <w:t>4.7.10计量证书。</w:t>
      </w:r>
    </w:p>
    <w:p>
      <w:pPr>
        <w:pStyle w:val="11"/>
        <w:spacing w:line="460" w:lineRule="exact"/>
        <w:rPr>
          <w:sz w:val="24"/>
        </w:rPr>
      </w:pPr>
      <w:r>
        <w:rPr>
          <w:sz w:val="24"/>
        </w:rPr>
        <w:t>4.7.11材料清单及材料证书（写明材料有效期）。</w:t>
      </w:r>
    </w:p>
    <w:p>
      <w:pPr>
        <w:pStyle w:val="11"/>
        <w:spacing w:line="460" w:lineRule="exact"/>
        <w:rPr>
          <w:sz w:val="24"/>
        </w:rPr>
      </w:pPr>
      <w:r>
        <w:rPr>
          <w:sz w:val="24"/>
        </w:rPr>
        <w:t>4.7.12校验报告，所有温度探头，电子称等都需要合格证和校验报告。</w:t>
      </w:r>
    </w:p>
    <w:p>
      <w:pPr>
        <w:pStyle w:val="11"/>
        <w:spacing w:line="460" w:lineRule="exact"/>
        <w:rPr>
          <w:sz w:val="24"/>
        </w:rPr>
      </w:pPr>
      <w:r>
        <w:rPr>
          <w:sz w:val="24"/>
        </w:rPr>
        <w:t>4.7.14提供全套首次验证相关验证服务和文件，必须满足WHO预认证相关法规要求，包括但不局限于：</w:t>
      </w:r>
    </w:p>
    <w:p>
      <w:pPr>
        <w:pStyle w:val="11"/>
        <w:spacing w:line="460" w:lineRule="exact"/>
        <w:rPr>
          <w:sz w:val="24"/>
        </w:rPr>
      </w:pPr>
      <w:r>
        <w:rPr>
          <w:sz w:val="24"/>
        </w:rPr>
        <w:t>（1）验证计划与进度表</w:t>
      </w:r>
    </w:p>
    <w:p>
      <w:pPr>
        <w:pStyle w:val="11"/>
        <w:spacing w:line="460" w:lineRule="exact"/>
        <w:rPr>
          <w:sz w:val="24"/>
        </w:rPr>
      </w:pPr>
      <w:r>
        <w:rPr>
          <w:sz w:val="24"/>
        </w:rPr>
        <w:t>（2）一套满足WHO预认证相关法规要求的验证相关评估文件</w:t>
      </w:r>
    </w:p>
    <w:p>
      <w:pPr>
        <w:pStyle w:val="11"/>
        <w:spacing w:line="460" w:lineRule="exact"/>
        <w:rPr>
          <w:sz w:val="24"/>
        </w:rPr>
      </w:pPr>
      <w:r>
        <w:rPr>
          <w:sz w:val="24"/>
        </w:rPr>
        <w:t>（3）设计确认及文件（DQ）；</w:t>
      </w:r>
    </w:p>
    <w:p>
      <w:pPr>
        <w:pStyle w:val="11"/>
        <w:spacing w:line="460" w:lineRule="exact"/>
        <w:rPr>
          <w:sz w:val="24"/>
        </w:rPr>
      </w:pPr>
      <w:r>
        <w:rPr>
          <w:sz w:val="24"/>
        </w:rPr>
        <w:t>（4）安装确认及文件（IQ）；</w:t>
      </w:r>
    </w:p>
    <w:p>
      <w:pPr>
        <w:pStyle w:val="11"/>
        <w:spacing w:line="460" w:lineRule="exact"/>
        <w:rPr>
          <w:sz w:val="24"/>
        </w:rPr>
      </w:pPr>
      <w:r>
        <w:rPr>
          <w:sz w:val="24"/>
        </w:rPr>
        <w:t>（5）运行确认及文件（OQ）；</w:t>
      </w:r>
    </w:p>
    <w:p>
      <w:pPr>
        <w:pStyle w:val="11"/>
        <w:spacing w:line="460" w:lineRule="exact"/>
        <w:rPr>
          <w:sz w:val="24"/>
        </w:rPr>
      </w:pPr>
      <w:r>
        <w:rPr>
          <w:sz w:val="24"/>
        </w:rPr>
        <w:t>（7）满足WHO预认证要求的追溯矩阵。</w:t>
      </w:r>
    </w:p>
    <w:p>
      <w:pPr>
        <w:pStyle w:val="11"/>
        <w:spacing w:line="460" w:lineRule="exact"/>
        <w:rPr>
          <w:sz w:val="24"/>
        </w:rPr>
      </w:pPr>
      <w:r>
        <w:rPr>
          <w:sz w:val="24"/>
        </w:rPr>
        <w:t>4.7.15测试方案。</w:t>
      </w:r>
    </w:p>
    <w:p>
      <w:pPr>
        <w:pStyle w:val="11"/>
        <w:spacing w:line="460" w:lineRule="exact"/>
        <w:rPr>
          <w:sz w:val="24"/>
        </w:rPr>
      </w:pPr>
      <w:r>
        <w:rPr>
          <w:sz w:val="24"/>
        </w:rPr>
        <w:t>4.7.16使用操作说明书及维护保养说明（即运行及维护手册）3份。</w:t>
      </w:r>
    </w:p>
    <w:p>
      <w:pPr>
        <w:pStyle w:val="11"/>
        <w:spacing w:line="360" w:lineRule="auto"/>
        <w:rPr>
          <w:sz w:val="24"/>
        </w:rPr>
      </w:pPr>
      <w:r>
        <w:rPr>
          <w:sz w:val="24"/>
        </w:rPr>
        <w:t>4.6.17提供设备及其零部件使用寿命清单。</w:t>
      </w:r>
    </w:p>
    <w:p>
      <w:pPr>
        <w:pStyle w:val="11"/>
        <w:spacing w:line="360" w:lineRule="auto"/>
        <w:rPr>
          <w:color w:val="000000"/>
          <w:sz w:val="24"/>
        </w:rPr>
      </w:pPr>
      <w:r>
        <w:rPr>
          <w:sz w:val="24"/>
        </w:rPr>
        <w:t>4.6.18满足GEP要求的文件交付包</w:t>
      </w:r>
    </w:p>
    <w:p>
      <w:pPr>
        <w:pStyle w:val="11"/>
        <w:spacing w:line="360" w:lineRule="auto"/>
        <w:outlineLvl w:val="1"/>
        <w:rPr>
          <w:color w:val="000000"/>
          <w:sz w:val="24"/>
        </w:rPr>
      </w:pPr>
      <w:bookmarkStart w:id="18" w:name="_Toc377477132"/>
      <w:r>
        <w:rPr>
          <w:b/>
          <w:color w:val="000000"/>
          <w:sz w:val="24"/>
        </w:rPr>
        <w:t>4.8服务要求</w:t>
      </w:r>
      <w:bookmarkEnd w:id="18"/>
    </w:p>
    <w:p>
      <w:pPr>
        <w:pStyle w:val="11"/>
        <w:spacing w:line="360" w:lineRule="auto"/>
        <w:rPr>
          <w:b/>
          <w:color w:val="000000"/>
          <w:sz w:val="21"/>
          <w:szCs w:val="21"/>
        </w:rPr>
      </w:pPr>
      <w:r>
        <w:rPr>
          <w:b/>
          <w:color w:val="000000"/>
          <w:sz w:val="21"/>
          <w:szCs w:val="21"/>
        </w:rPr>
        <w:t>4.8.1培训要求</w:t>
      </w:r>
    </w:p>
    <w:p>
      <w:pPr>
        <w:pStyle w:val="11"/>
        <w:spacing w:line="460" w:lineRule="exact"/>
        <w:rPr>
          <w:sz w:val="24"/>
        </w:rPr>
      </w:pPr>
      <w:r>
        <w:rPr>
          <w:sz w:val="24"/>
        </w:rPr>
        <w:t>4.8.1.1设备供应商应免费对设备使用方人员进行全面培训，包括对操作人员及设备维护、维修人员，并填写培训记录。</w:t>
      </w:r>
    </w:p>
    <w:p>
      <w:pPr>
        <w:pStyle w:val="11"/>
        <w:spacing w:line="460" w:lineRule="exact"/>
        <w:rPr>
          <w:sz w:val="24"/>
        </w:rPr>
      </w:pPr>
      <w:r>
        <w:rPr>
          <w:sz w:val="24"/>
        </w:rPr>
        <w:t>4.8.1.2生产操作人员培训包括设备结构原理、性能、操作、清洗消毒、故障排除等基本知识。合格标准为用户参加培训人员能够独立正确操作设备，会排除常见故障。</w:t>
      </w:r>
    </w:p>
    <w:p>
      <w:pPr>
        <w:pStyle w:val="11"/>
        <w:spacing w:line="360" w:lineRule="auto"/>
        <w:rPr>
          <w:color w:val="000000"/>
          <w:sz w:val="24"/>
        </w:rPr>
      </w:pPr>
      <w:r>
        <w:rPr>
          <w:sz w:val="24"/>
        </w:rPr>
        <w:t>4.8.1.3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pPr>
        <w:pStyle w:val="11"/>
        <w:spacing w:line="360" w:lineRule="auto"/>
        <w:rPr>
          <w:b/>
          <w:color w:val="000000"/>
          <w:sz w:val="21"/>
          <w:szCs w:val="21"/>
        </w:rPr>
      </w:pPr>
      <w:r>
        <w:rPr>
          <w:b/>
          <w:color w:val="000000"/>
          <w:sz w:val="21"/>
          <w:szCs w:val="21"/>
        </w:rPr>
        <w:t>4.8.2运输要求</w:t>
      </w:r>
    </w:p>
    <w:p>
      <w:pPr>
        <w:pStyle w:val="11"/>
        <w:spacing w:line="360" w:lineRule="auto"/>
        <w:rPr>
          <w:color w:val="000000"/>
          <w:sz w:val="24"/>
        </w:rPr>
      </w:pPr>
      <w:r>
        <w:rPr>
          <w:color w:val="000000"/>
          <w:sz w:val="24"/>
        </w:rPr>
        <w:t>4.8.2.1设备运输在运输途中需做好防护措施，不得有任何损伤。</w:t>
      </w:r>
    </w:p>
    <w:p>
      <w:pPr>
        <w:pStyle w:val="11"/>
        <w:spacing w:line="360" w:lineRule="auto"/>
        <w:rPr>
          <w:b/>
          <w:color w:val="000000"/>
          <w:sz w:val="21"/>
          <w:szCs w:val="21"/>
        </w:rPr>
      </w:pPr>
      <w:r>
        <w:rPr>
          <w:b/>
          <w:color w:val="000000"/>
          <w:sz w:val="21"/>
          <w:szCs w:val="21"/>
        </w:rPr>
        <w:t>4.8.3验收要求</w:t>
      </w:r>
    </w:p>
    <w:p>
      <w:pPr>
        <w:pStyle w:val="11"/>
        <w:spacing w:line="360" w:lineRule="auto"/>
        <w:rPr>
          <w:color w:val="000000"/>
          <w:sz w:val="24"/>
        </w:rPr>
      </w:pPr>
      <w:r>
        <w:rPr>
          <w:sz w:val="24"/>
        </w:rPr>
        <w:t>4.8.3.1货物到达买方使用现场后，由买卖双方共同验收，买方由使用者、物资供应部、工程部、质保部人员共同参与验收，卖方工程师免费为买方提供调试。</w:t>
      </w:r>
    </w:p>
    <w:p>
      <w:pPr>
        <w:pStyle w:val="11"/>
        <w:spacing w:line="460" w:lineRule="exact"/>
        <w:rPr>
          <w:sz w:val="24"/>
        </w:rPr>
      </w:pPr>
      <w:r>
        <w:rPr>
          <w:sz w:val="24"/>
        </w:rPr>
        <w:t>4.8.3.2供应商进厂施工需遵守安全和施工规定，有制造商承担设备组装、调整、测试，制造商必须在投标文件中明确设备安装、调试的周期及交验时间。</w:t>
      </w:r>
    </w:p>
    <w:p>
      <w:pPr>
        <w:pStyle w:val="11"/>
        <w:spacing w:line="460" w:lineRule="exact"/>
        <w:rPr>
          <w:sz w:val="24"/>
        </w:rPr>
      </w:pPr>
      <w:r>
        <w:rPr>
          <w:sz w:val="24"/>
        </w:rPr>
        <w:t>4.8.3.3确认试车验收合格后，买卖双方签订验收报告。</w:t>
      </w:r>
    </w:p>
    <w:p>
      <w:pPr>
        <w:pStyle w:val="11"/>
        <w:spacing w:line="460" w:lineRule="exact"/>
        <w:rPr>
          <w:b/>
          <w:sz w:val="21"/>
          <w:szCs w:val="21"/>
        </w:rPr>
      </w:pPr>
      <w:r>
        <w:rPr>
          <w:b/>
          <w:sz w:val="21"/>
          <w:szCs w:val="21"/>
        </w:rPr>
        <w:t>4.8.4验证要求</w:t>
      </w:r>
    </w:p>
    <w:p>
      <w:pPr>
        <w:pStyle w:val="11"/>
        <w:spacing w:line="460" w:lineRule="exact"/>
        <w:rPr>
          <w:color w:val="000000"/>
          <w:sz w:val="24"/>
        </w:rPr>
      </w:pPr>
      <w:r>
        <w:rPr>
          <w:sz w:val="24"/>
        </w:rPr>
        <w:t>4.8.4.1验证包括评估、DQ、IQ、OQ、服务及文件。</w:t>
      </w:r>
    </w:p>
    <w:p>
      <w:pPr>
        <w:pStyle w:val="11"/>
        <w:spacing w:line="460" w:lineRule="exact"/>
        <w:rPr>
          <w:color w:val="000000"/>
          <w:sz w:val="24"/>
        </w:rPr>
      </w:pPr>
      <w:r>
        <w:rPr>
          <w:color w:val="000000"/>
          <w:sz w:val="24"/>
        </w:rPr>
        <w:t>4.8.4.2各验证工作开始前验证方案需经过本公司相关部门审核，并经质量保证部批准。</w:t>
      </w:r>
    </w:p>
    <w:p>
      <w:pPr>
        <w:pStyle w:val="11"/>
        <w:spacing w:line="460" w:lineRule="exact"/>
        <w:rPr>
          <w:color w:val="000000"/>
          <w:sz w:val="24"/>
        </w:rPr>
      </w:pPr>
      <w:r>
        <w:rPr>
          <w:color w:val="000000"/>
          <w:sz w:val="24"/>
        </w:rPr>
        <w:t>4.8.4.3验证工作应按时保质完成，供应商需提供验证工作计划表。</w:t>
      </w:r>
    </w:p>
    <w:p>
      <w:pPr>
        <w:pStyle w:val="11"/>
        <w:spacing w:line="460" w:lineRule="exact"/>
        <w:rPr>
          <w:color w:val="000000"/>
          <w:sz w:val="24"/>
        </w:rPr>
      </w:pPr>
      <w:r>
        <w:rPr>
          <w:color w:val="000000"/>
          <w:sz w:val="24"/>
        </w:rPr>
        <w:t>4.8.4.4验证项目应包含法规要求的测试项目，以及本公司提出的测试项目。</w:t>
      </w:r>
    </w:p>
    <w:p>
      <w:pPr>
        <w:pStyle w:val="11"/>
        <w:spacing w:line="460" w:lineRule="exact"/>
        <w:rPr>
          <w:color w:val="000000"/>
          <w:sz w:val="24"/>
        </w:rPr>
      </w:pPr>
      <w:r>
        <w:rPr>
          <w:color w:val="000000"/>
          <w:sz w:val="24"/>
        </w:rPr>
        <w:t>4.8.4.5验证工作完成后，验证记录经本公司相关部门审核，并经质量保证部批准。</w:t>
      </w:r>
    </w:p>
    <w:p>
      <w:pPr>
        <w:pStyle w:val="11"/>
        <w:spacing w:line="360" w:lineRule="auto"/>
        <w:rPr>
          <w:color w:val="000000"/>
          <w:sz w:val="24"/>
        </w:rPr>
      </w:pPr>
      <w:r>
        <w:rPr>
          <w:color w:val="000000"/>
          <w:sz w:val="24"/>
        </w:rPr>
        <w:t>4.8.4.6验收前，验证工作已成功完成，验证最终报告已经本公司相关部门审核，并经质量保证部批准。</w:t>
      </w:r>
    </w:p>
    <w:p>
      <w:pPr>
        <w:pStyle w:val="11"/>
        <w:spacing w:line="360" w:lineRule="auto"/>
        <w:rPr>
          <w:color w:val="000000"/>
          <w:sz w:val="24"/>
        </w:rPr>
      </w:pPr>
      <w:r>
        <w:rPr>
          <w:color w:val="000000"/>
          <w:sz w:val="24"/>
        </w:rPr>
        <w:t>4.8.4.7各部件均需提供完整的设计、施工和验证文件，满足中国GMP、欧洲GMP和FDA cGMP认证。</w:t>
      </w:r>
    </w:p>
    <w:p>
      <w:pPr>
        <w:pStyle w:val="11"/>
        <w:spacing w:line="360" w:lineRule="auto"/>
        <w:rPr>
          <w:b/>
          <w:color w:val="000000"/>
          <w:sz w:val="21"/>
          <w:szCs w:val="21"/>
        </w:rPr>
      </w:pPr>
      <w:r>
        <w:rPr>
          <w:b/>
          <w:color w:val="000000"/>
          <w:sz w:val="21"/>
          <w:szCs w:val="21"/>
        </w:rPr>
        <w:t>4.8.5售后服务要求</w:t>
      </w:r>
    </w:p>
    <w:p>
      <w:pPr>
        <w:pStyle w:val="11"/>
        <w:spacing w:line="360" w:lineRule="auto"/>
        <w:rPr>
          <w:sz w:val="24"/>
        </w:rPr>
      </w:pPr>
      <w:r>
        <w:rPr>
          <w:sz w:val="24"/>
        </w:rPr>
        <w:t>4.8.5.1设备保质期从确认验收的阶段就开始计算。</w:t>
      </w:r>
    </w:p>
    <w:p>
      <w:pPr>
        <w:pStyle w:val="11"/>
        <w:spacing w:line="360" w:lineRule="auto"/>
        <w:rPr>
          <w:sz w:val="24"/>
        </w:rPr>
      </w:pPr>
      <w:r>
        <w:rPr>
          <w:sz w:val="24"/>
        </w:rPr>
        <w:t>4.8.5.2设备质保期为一年，一年内免</w:t>
      </w:r>
      <w:r>
        <w:rPr>
          <w:color w:val="000000"/>
          <w:sz w:val="24"/>
        </w:rPr>
        <w:t>费保修，一年后应提供良好的售后服务，重复出现的故障（质量问题）保修期顺延。保修期内，供方免费为需方维修仪器（包括零部件费用）；保修期外，长期提供优惠的维修服务及零部件，明确零部件的供货周期，维修响应时间24小时。</w:t>
      </w:r>
    </w:p>
    <w:p>
      <w:pPr>
        <w:pStyle w:val="11"/>
        <w:spacing w:line="360" w:lineRule="auto"/>
        <w:rPr>
          <w:sz w:val="24"/>
        </w:rPr>
      </w:pPr>
      <w:r>
        <w:rPr>
          <w:sz w:val="24"/>
        </w:rPr>
        <w:t>4.8.5.3售后服务必须响应及时，要求设备出现须厂家维修的故障后，应在4小时内明确答复，当电话沟通无法解决时，须24小时内派人至现场解决。</w:t>
      </w:r>
    </w:p>
    <w:p>
      <w:pPr>
        <w:pStyle w:val="11"/>
        <w:spacing w:line="360" w:lineRule="auto"/>
        <w:rPr>
          <w:color w:val="000000"/>
          <w:sz w:val="24"/>
        </w:rPr>
      </w:pPr>
      <w:r>
        <w:rPr>
          <w:sz w:val="24"/>
        </w:rPr>
        <w:t>4.8.5.4一年免费保修期后，厂家应终生提供及时的维修、维护，厂家应定期回访，解决设备运行当中可能出现的疑问，排除潜在故障，使设备保持良好工作状态。</w:t>
      </w:r>
    </w:p>
    <w:p>
      <w:pPr>
        <w:pStyle w:val="11"/>
        <w:spacing w:line="360" w:lineRule="auto"/>
        <w:outlineLvl w:val="0"/>
        <w:rPr>
          <w:color w:val="000000"/>
          <w:sz w:val="24"/>
        </w:rPr>
      </w:pPr>
      <w:bookmarkStart w:id="19" w:name="_Toc377477133"/>
      <w:r>
        <w:rPr>
          <w:b/>
          <w:color w:val="000000"/>
          <w:szCs w:val="28"/>
        </w:rPr>
        <w:t>5.附件</w:t>
      </w:r>
      <w:bookmarkEnd w:id="19"/>
    </w:p>
    <w:p>
      <w:pPr>
        <w:pStyle w:val="11"/>
        <w:spacing w:line="360" w:lineRule="auto"/>
        <w:rPr>
          <w:rFonts w:hint="eastAsia"/>
          <w:color w:val="000000"/>
          <w:sz w:val="24"/>
        </w:rPr>
      </w:pPr>
      <w:r>
        <w:rPr>
          <w:color w:val="000000"/>
          <w:sz w:val="24"/>
        </w:rPr>
        <w:t xml:space="preserve"> </w:t>
      </w:r>
      <w:r>
        <w:rPr>
          <w:rFonts w:hint="eastAsia"/>
          <w:color w:val="000000"/>
          <w:sz w:val="24"/>
        </w:rPr>
        <w:t xml:space="preserve"> 5.1 皮托管尺寸图</w:t>
      </w:r>
    </w:p>
    <w:p>
      <w:pPr>
        <w:widowControl/>
        <w:jc w:val="center"/>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"C:\\Users\\John\\AppData\\Roaming\\Tencent\\Users\\1843267784\\QQ\\WinTemp\\RichOle\\08Q({5ATB1)Y]3`R5KQ8PPG.png" \* MERGEFORMATINET </w:instrText>
      </w:r>
      <w:r>
        <w:rPr>
          <w:rFonts w:ascii="宋体" w:hAnsi="宋体" w:cs="宋体"/>
          <w:kern w:val="0"/>
          <w:sz w:val="24"/>
        </w:rPr>
        <w:fldChar w:fldCharType="separate"/>
      </w:r>
      <w:r>
        <w:rPr>
          <w:rFonts w:ascii="宋体" w:hAnsi="宋体" w:cs="宋体"/>
          <w:kern w:val="0"/>
          <w:sz w:val="24"/>
        </w:rPr>
        <w:pict>
          <v:shape id="_x0000_i1025" o:spt="75" type="#_x0000_t75" style="height:144pt;width:463.5pt;" filled="f" o:preferrelative="t" stroked="f" coordsize="21600,21600">
            <v:path/>
            <v:fill on="f" focussize="0,0"/>
            <v:stroke on="f" joinstyle="miter"/>
            <v:imagedata r:id="rId6" r:href="rId7" o:title=""/>
            <o:lock v:ext="edit" aspectratio="t"/>
            <w10:wrap type="none"/>
            <w10:anchorlock/>
          </v:shape>
        </w:pict>
      </w:r>
      <w:r>
        <w:rPr>
          <w:rFonts w:ascii="宋体" w:hAnsi="宋体" w:cs="宋体"/>
          <w:kern w:val="0"/>
          <w:sz w:val="24"/>
        </w:rPr>
        <w:fldChar w:fldCharType="end"/>
      </w:r>
    </w:p>
    <w:p>
      <w:pPr>
        <w:pStyle w:val="11"/>
        <w:spacing w:line="360" w:lineRule="auto"/>
        <w:rPr>
          <w:rFonts w:hint="eastAsia"/>
          <w:color w:val="000000"/>
          <w:sz w:val="24"/>
        </w:rPr>
      </w:pPr>
      <w:r>
        <w:rPr>
          <w:rFonts w:hint="eastAsia"/>
          <w:color w:val="000000"/>
          <w:sz w:val="24"/>
        </w:rPr>
        <w:t>单位：毫米</w:t>
      </w:r>
    </w:p>
    <w:p>
      <w:pPr>
        <w:pStyle w:val="11"/>
        <w:spacing w:line="360" w:lineRule="auto"/>
        <w:rPr>
          <w:rFonts w:hint="eastAsia"/>
          <w:color w:val="000000"/>
          <w:sz w:val="24"/>
        </w:rPr>
      </w:pPr>
      <w:r>
        <w:rPr>
          <w:rFonts w:hint="eastAsia"/>
          <w:color w:val="000000"/>
          <w:sz w:val="24"/>
        </w:rPr>
        <w:t>5.2</w:t>
      </w:r>
      <w:r>
        <w:rPr>
          <w:color w:val="000000"/>
          <w:sz w:val="24"/>
        </w:rPr>
        <w:t>干度测试塞盖</w:t>
      </w:r>
      <w:r>
        <w:rPr>
          <w:rFonts w:hint="eastAsia"/>
          <w:color w:val="000000"/>
          <w:sz w:val="24"/>
        </w:rPr>
        <w:t>尺寸图</w:t>
      </w:r>
    </w:p>
    <w:p>
      <w:pPr>
        <w:pStyle w:val="11"/>
        <w:spacing w:line="360" w:lineRule="auto"/>
        <w:jc w:val="center"/>
        <w:rPr>
          <w:color w:val="000000"/>
          <w:sz w:val="24"/>
        </w:rPr>
      </w:pPr>
      <w:r>
        <w:rPr>
          <w:color w:val="000000"/>
          <w:sz w:val="24"/>
        </w:rPr>
        <w:pict>
          <v:shape id="_x0000_i1026" o:spt="75" type="#_x0000_t75" style="height:165.75pt;width:180.75pt;" filled="f" o:preferrelative="t" stroked="f" coordsize="21600,21600">
            <v:path/>
            <v:fill on="f" focussize="0,0"/>
            <v:stroke on="f" joinstyle="miter"/>
            <v:imagedata r:id="rId8" o:title="L%71HJC$2X`KH[PG1P4JC5L"/>
            <o:lock v:ext="edit" aspectratio="t"/>
            <w10:wrap type="none"/>
            <w10:anchorlock/>
          </v:shape>
        </w:pict>
      </w:r>
    </w:p>
    <w:p>
      <w:pPr>
        <w:pStyle w:val="11"/>
        <w:spacing w:line="360" w:lineRule="auto"/>
        <w:rPr>
          <w:rFonts w:hint="eastAsia"/>
          <w:color w:val="000000"/>
          <w:sz w:val="24"/>
        </w:rPr>
      </w:pPr>
      <w:r>
        <w:rPr>
          <w:rFonts w:hint="eastAsia"/>
          <w:color w:val="000000"/>
          <w:sz w:val="24"/>
        </w:rPr>
        <w:t>单位：毫米</w:t>
      </w:r>
      <w:r>
        <w:rPr>
          <w:color w:val="000000"/>
          <w:sz w:val="24"/>
        </w:rPr>
        <w:br w:type="page"/>
      </w:r>
      <w:r>
        <w:rPr>
          <w:rFonts w:hint="eastAsia"/>
          <w:color w:val="000000"/>
          <w:sz w:val="24"/>
        </w:rPr>
        <w:t>5.2膨胀管尺寸图</w:t>
      </w:r>
      <w:bookmarkStart w:id="20" w:name="_GoBack"/>
      <w:bookmarkEnd w:id="20"/>
    </w:p>
    <w:p>
      <w:pPr>
        <w:pStyle w:val="11"/>
        <w:spacing w:line="360" w:lineRule="auto"/>
        <w:rPr>
          <w:color w:val="000000"/>
          <w:sz w:val="24"/>
        </w:rPr>
      </w:pPr>
      <w:r>
        <w:rPr>
          <w:color w:val="000000"/>
          <w:sz w:val="24"/>
        </w:rPr>
        <w:pict>
          <v:shape id="_x0000_i1027" o:spt="75" type="#_x0000_t75" style="height:147pt;width:468pt;" filled="f" o:preferrelative="t" stroked="f" coordsize="21600,21600">
            <v:path/>
            <v:fill on="f" focussize="0,0"/>
            <v:stroke on="f" joinstyle="miter"/>
            <v:imagedata r:id="rId9" o:title="O])P{HBP)06ASVCV[WX_W7D"/>
            <o:lock v:ext="edit" aspectratio="t"/>
            <w10:wrap type="none"/>
            <w10:anchorlock/>
          </v:shape>
        </w:pict>
      </w:r>
    </w:p>
    <w:p>
      <w:pPr>
        <w:ind w:firstLine="420" w:firstLineChars="200"/>
      </w:pPr>
      <w:r>
        <w:rPr>
          <w:rFonts w:hint="eastAsia"/>
        </w:rPr>
        <w:t>单位:毫米</w:t>
      </w: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line id="_x0000_s3073" o:spid="_x0000_s3073" o:spt="20" style="position:absolute;left:0pt;margin-left:0pt;margin-top:0.05pt;height:0pt;width:477pt;z-index:1024;mso-width-relative:page;mso-height-relative:page;" coordsize="21600,21600">
          <v:path arrowok="t"/>
          <v:fill focussize="0,0"/>
          <v:stroke/>
          <v:imagedata o:title=""/>
          <o:lock v:ext="edit"/>
        </v:line>
      </w:pict>
    </w:r>
    <w:r>
      <w:rPr>
        <w:rFonts w:hint="eastAsia"/>
      </w:rPr>
      <w:t>本文件为受控文件，仅供武汉生物制品研究所有限责任公司使用并为版权所有，严禁无授权使用、泄露或复印，违者必究。</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812"/>
      <w:gridCol w:w="1315"/>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859" w:type="dxa"/>
          <w:vAlign w:val="center"/>
        </w:tcPr>
        <w:p>
          <w:pPr>
            <w:pStyle w:val="16"/>
          </w:pPr>
          <w:r>
            <w:pict>
              <v:shape id="_x0000_i1028" o:spt="75" type="#_x0000_t75" style="height:36pt;width:36pt;" filled="f" o:preferrelative="t" stroked="f" coordsize="21600,21600">
                <v:path/>
                <v:fill on="f" focussize="0,0"/>
                <v:stroke on="f" joinstyle="miter"/>
                <v:imagedata r:id="rId1" gain="2147483647f" o:title=""/>
                <o:lock v:ext="edit" aspectratio="t"/>
                <w10:wrap type="none"/>
                <w10:anchorlock/>
              </v:shape>
            </w:pict>
          </w:r>
        </w:p>
      </w:tc>
      <w:tc>
        <w:tcPr>
          <w:tcW w:w="5812" w:type="dxa"/>
          <w:vAlign w:val="center"/>
        </w:tcPr>
        <w:p>
          <w:pPr>
            <w:pStyle w:val="16"/>
            <w:rPr>
              <w:rFonts w:ascii="宋体"/>
              <w:b/>
              <w:sz w:val="21"/>
              <w:szCs w:val="21"/>
            </w:rPr>
          </w:pPr>
          <w:r>
            <w:rPr>
              <w:rFonts w:hint="eastAsia" w:ascii="宋体" w:hAnsi="宋体"/>
              <w:b/>
              <w:sz w:val="21"/>
              <w:szCs w:val="21"/>
            </w:rPr>
            <w:t>武汉生物制品研究所有限责任公司</w:t>
          </w:r>
        </w:p>
        <w:p>
          <w:pPr>
            <w:pStyle w:val="16"/>
          </w:pPr>
          <w:r>
            <w:rPr>
              <w:rFonts w:ascii="宋体" w:hAnsi="宋体"/>
              <w:b/>
              <w:sz w:val="21"/>
              <w:szCs w:val="21"/>
            </w:rPr>
            <w:t>Wuhan Institute of Biological Products Co.,Ltd.</w:t>
          </w:r>
        </w:p>
      </w:tc>
      <w:tc>
        <w:tcPr>
          <w:tcW w:w="3075" w:type="dxa"/>
          <w:gridSpan w:val="2"/>
          <w:vAlign w:val="center"/>
        </w:tcPr>
        <w:p>
          <w:pPr>
            <w:pStyle w:val="16"/>
            <w:jc w:val="both"/>
            <w:rPr>
              <w:rFonts w:ascii="宋体"/>
              <w:color w:val="FF0000"/>
            </w:rPr>
          </w:pPr>
          <w:r>
            <w:rPr>
              <w:rFonts w:hint="eastAsia" w:ascii="宋体" w:hAnsi="宋体"/>
              <w:sz w:val="21"/>
              <w:szCs w:val="21"/>
            </w:rPr>
            <w:t>文件编号：</w:t>
          </w:r>
          <w:r>
            <w:rPr>
              <w:rFonts w:ascii="宋体" w:hAnsi="宋体"/>
              <w:sz w:val="21"/>
              <w:szCs w:val="21"/>
            </w:rPr>
            <w:t>URS-12-03-001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1" w:type="dxa"/>
          <w:gridSpan w:val="2"/>
          <w:vMerge w:val="restart"/>
          <w:vAlign w:val="center"/>
        </w:tcPr>
        <w:p>
          <w:pPr>
            <w:pStyle w:val="16"/>
            <w:rPr>
              <w:sz w:val="28"/>
              <w:szCs w:val="28"/>
            </w:rPr>
          </w:pPr>
          <w:r>
            <w:rPr>
              <w:rFonts w:hint="eastAsia" w:ascii="宋体" w:hAnsi="宋体"/>
              <w:b/>
              <w:sz w:val="28"/>
              <w:szCs w:val="28"/>
            </w:rPr>
            <w:t>纯蒸汽质量检测仪</w:t>
          </w:r>
          <w:r>
            <w:rPr>
              <w:rFonts w:ascii="宋体" w:hAnsi="宋体"/>
              <w:b/>
              <w:sz w:val="28"/>
              <w:szCs w:val="28"/>
            </w:rPr>
            <w:t>URS</w:t>
          </w:r>
        </w:p>
      </w:tc>
      <w:tc>
        <w:tcPr>
          <w:tcW w:w="1315" w:type="dxa"/>
          <w:vAlign w:val="center"/>
        </w:tcPr>
        <w:p>
          <w:pPr>
            <w:pStyle w:val="16"/>
            <w:jc w:val="both"/>
            <w:rPr>
              <w:rFonts w:ascii="宋体"/>
            </w:rPr>
          </w:pPr>
          <w:r>
            <w:rPr>
              <w:rFonts w:hint="eastAsia" w:ascii="宋体" w:hAnsi="宋体"/>
              <w:sz w:val="21"/>
              <w:szCs w:val="21"/>
            </w:rPr>
            <w:t>修订号：</w:t>
          </w:r>
          <w:r>
            <w:rPr>
              <w:rFonts w:ascii="宋体"/>
              <w:sz w:val="21"/>
              <w:szCs w:val="21"/>
            </w:rPr>
            <w:t>01</w:t>
          </w:r>
        </w:p>
      </w:tc>
      <w:tc>
        <w:tcPr>
          <w:tcW w:w="1760" w:type="dxa"/>
          <w:vAlign w:val="center"/>
        </w:tcPr>
        <w:p>
          <w:pPr>
            <w:pStyle w:val="16"/>
            <w:spacing w:line="240" w:lineRule="atLeast"/>
            <w:rPr>
              <w:rFonts w:ascii="宋体"/>
              <w:sz w:val="21"/>
              <w:szCs w:val="21"/>
            </w:rPr>
          </w:pPr>
          <w:r>
            <w:rPr>
              <w:rStyle w:val="21"/>
              <w:rFonts w:hint="eastAsia" w:ascii="宋体" w:hAnsi="宋体"/>
              <w:sz w:val="21"/>
              <w:szCs w:val="21"/>
            </w:rPr>
            <w:t>第</w:t>
          </w:r>
          <w:r>
            <w:rPr>
              <w:rStyle w:val="21"/>
            </w:rPr>
            <w:fldChar w:fldCharType="begin"/>
          </w:r>
          <w:r>
            <w:rPr>
              <w:rStyle w:val="21"/>
            </w:rPr>
            <w:instrText xml:space="preserve"> PAGE </w:instrText>
          </w:r>
          <w:r>
            <w:rPr>
              <w:rStyle w:val="21"/>
            </w:rPr>
            <w:fldChar w:fldCharType="separate"/>
          </w:r>
          <w:r>
            <w:rPr>
              <w:rStyle w:val="21"/>
            </w:rPr>
            <w:t>9</w:t>
          </w:r>
          <w:r>
            <w:rPr>
              <w:rStyle w:val="21"/>
            </w:rPr>
            <w:fldChar w:fldCharType="end"/>
          </w:r>
          <w:r>
            <w:rPr>
              <w:rStyle w:val="21"/>
              <w:rFonts w:hint="eastAsia" w:ascii="宋体" w:hAnsi="宋体"/>
              <w:sz w:val="21"/>
              <w:szCs w:val="21"/>
            </w:rPr>
            <w:t>页</w:t>
          </w:r>
          <w:r>
            <w:rPr>
              <w:rStyle w:val="21"/>
              <w:rFonts w:ascii="宋体" w:hAnsi="宋体"/>
              <w:sz w:val="21"/>
              <w:szCs w:val="21"/>
            </w:rPr>
            <w:t xml:space="preserve"> </w:t>
          </w:r>
          <w:r>
            <w:rPr>
              <w:rStyle w:val="21"/>
              <w:rFonts w:hint="eastAsia" w:ascii="宋体" w:hAnsi="宋体"/>
              <w:sz w:val="21"/>
              <w:szCs w:val="21"/>
            </w:rPr>
            <w:t>共</w:t>
          </w:r>
          <w:r>
            <w:rPr>
              <w:rStyle w:val="21"/>
            </w:rPr>
            <w:fldChar w:fldCharType="begin"/>
          </w:r>
          <w:r>
            <w:rPr>
              <w:rStyle w:val="21"/>
            </w:rPr>
            <w:instrText xml:space="preserve"> NUMPAGES </w:instrText>
          </w:r>
          <w:r>
            <w:rPr>
              <w:rStyle w:val="21"/>
            </w:rPr>
            <w:fldChar w:fldCharType="separate"/>
          </w:r>
          <w:r>
            <w:rPr>
              <w:rStyle w:val="21"/>
            </w:rPr>
            <w:t>11</w:t>
          </w:r>
          <w:r>
            <w:rPr>
              <w:rStyle w:val="21"/>
            </w:rPr>
            <w:fldChar w:fldCharType="end"/>
          </w:r>
          <w:r>
            <w:rPr>
              <w:rStyle w:val="21"/>
              <w:rFonts w:hint="eastAsia" w:ascii="宋体" w:hAnsi="宋体"/>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1" w:type="dxa"/>
          <w:gridSpan w:val="2"/>
          <w:vMerge w:val="continue"/>
        </w:tcPr>
        <w:p>
          <w:pPr>
            <w:pStyle w:val="16"/>
          </w:pPr>
        </w:p>
      </w:tc>
      <w:tc>
        <w:tcPr>
          <w:tcW w:w="3075" w:type="dxa"/>
          <w:gridSpan w:val="2"/>
          <w:vAlign w:val="center"/>
        </w:tcPr>
        <w:p>
          <w:pPr>
            <w:pStyle w:val="16"/>
            <w:jc w:val="both"/>
            <w:rPr>
              <w:rFonts w:ascii="宋体"/>
              <w:color w:val="FF0000"/>
            </w:rPr>
          </w:pPr>
          <w:r>
            <w:rPr>
              <w:rFonts w:hint="eastAsia" w:ascii="宋体" w:hAnsi="宋体"/>
              <w:sz w:val="21"/>
              <w:szCs w:val="21"/>
            </w:rPr>
            <w:t>生效日期：</w:t>
          </w:r>
          <w:r>
            <w:rPr>
              <w:rFonts w:ascii="宋体" w:hAnsi="宋体"/>
              <w:sz w:val="21"/>
              <w:szCs w:val="21"/>
            </w:rPr>
            <w:t>2013</w:t>
          </w:r>
          <w:r>
            <w:rPr>
              <w:rFonts w:ascii="宋体"/>
              <w:sz w:val="21"/>
              <w:szCs w:val="21"/>
            </w:rPr>
            <w:t>.</w:t>
          </w:r>
          <w:r>
            <w:rPr>
              <w:rFonts w:ascii="宋体" w:hAnsi="宋体"/>
              <w:sz w:val="21"/>
              <w:szCs w:val="21"/>
            </w:rPr>
            <w:t>07</w:t>
          </w:r>
          <w:r>
            <w:rPr>
              <w:rFonts w:ascii="宋体"/>
              <w:sz w:val="21"/>
              <w:szCs w:val="21"/>
            </w:rPr>
            <w:t>.</w:t>
          </w:r>
          <w:r>
            <w:rPr>
              <w:rFonts w:ascii="宋体" w:hAnsi="宋体"/>
              <w:sz w:val="21"/>
              <w:szCs w:val="21"/>
            </w:rPr>
            <w:t>31</w:t>
          </w:r>
        </w:p>
      </w:tc>
    </w:tr>
  </w:tbl>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10"/>
      <w:lvlText w:val="%1."/>
      <w:lvlJc w:val="left"/>
      <w:pPr>
        <w:tabs>
          <w:tab w:val="left" w:pos="780"/>
        </w:tabs>
        <w:ind w:left="780" w:hanging="360"/>
      </w:pPr>
      <w:rPr>
        <w:rFonts w:cs="Times New Roman"/>
      </w:rPr>
    </w:lvl>
  </w:abstractNum>
  <w:abstractNum w:abstractNumId="1">
    <w:nsid w:val="1E2062A9"/>
    <w:multiLevelType w:val="multilevel"/>
    <w:tmpl w:val="1E2062A9"/>
    <w:lvl w:ilvl="0" w:tentative="0">
      <w:start w:val="1"/>
      <w:numFmt w:val="decimal"/>
      <w:pStyle w:val="2"/>
      <w:lvlText w:val="%1"/>
      <w:lvlJc w:val="left"/>
      <w:pPr>
        <w:tabs>
          <w:tab w:val="left" w:pos="851"/>
        </w:tabs>
        <w:ind w:left="851" w:hanging="851"/>
      </w:pPr>
      <w:rPr>
        <w:rFonts w:ascii="Arial" w:hAnsi="Arial" w:eastAsia="宋体" w:cs="Times New Roman"/>
        <w:b/>
        <w:bCs/>
        <w:i w:val="0"/>
        <w:iCs w:val="0"/>
        <w:caps/>
        <w:smallCaps w:val="0"/>
        <w:strike w:val="0"/>
        <w:dstrike w:val="0"/>
        <w:outline w:val="0"/>
        <w:shadow w:val="0"/>
        <w:emboss w:val="0"/>
        <w:imprint w:val="0"/>
        <w:vanish w:val="0"/>
        <w:color w:val="auto"/>
        <w:spacing w:val="0"/>
        <w:w w:val="100"/>
        <w:kern w:val="0"/>
        <w:position w:val="0"/>
        <w:sz w:val="24"/>
        <w:u w:val="none"/>
        <w:vertAlign w:val="baseline"/>
      </w:rPr>
    </w:lvl>
    <w:lvl w:ilvl="1" w:tentative="0">
      <w:start w:val="1"/>
      <w:numFmt w:val="decimal"/>
      <w:pStyle w:val="4"/>
      <w:lvlText w:val="%1.%2"/>
      <w:lvlJc w:val="left"/>
      <w:pPr>
        <w:tabs>
          <w:tab w:val="left" w:pos="851"/>
        </w:tabs>
        <w:ind w:left="851" w:hanging="851"/>
      </w:pPr>
      <w:rPr>
        <w:rFonts w:hint="default" w:ascii="Times New Roman" w:hAnsi="Times New Roman" w:cs="Times New Roman"/>
        <w:b/>
        <w:i w:val="0"/>
        <w:sz w:val="24"/>
        <w:szCs w:val="24"/>
      </w:rPr>
    </w:lvl>
    <w:lvl w:ilvl="2" w:tentative="0">
      <w:start w:val="1"/>
      <w:numFmt w:val="decimal"/>
      <w:pStyle w:val="5"/>
      <w:lvlText w:val="%1.%2.%3"/>
      <w:lvlJc w:val="left"/>
      <w:pPr>
        <w:tabs>
          <w:tab w:val="left" w:pos="851"/>
        </w:tabs>
        <w:ind w:left="851" w:hanging="851"/>
      </w:pPr>
      <w:rPr>
        <w:rFonts w:hint="default" w:ascii="Times New Roman" w:hAnsi="Times New Roman" w:eastAsia="宋体" w:cs="Times New Roman"/>
        <w:b/>
        <w:i w:val="0"/>
        <w:sz w:val="24"/>
        <w:szCs w:val="24"/>
      </w:rPr>
    </w:lvl>
    <w:lvl w:ilvl="3" w:tentative="0">
      <w:start w:val="1"/>
      <w:numFmt w:val="decimal"/>
      <w:pStyle w:val="7"/>
      <w:lvlText w:val="%1.%2.%3.%4"/>
      <w:lvlJc w:val="left"/>
      <w:pPr>
        <w:tabs>
          <w:tab w:val="left" w:pos="851"/>
        </w:tabs>
        <w:ind w:left="851" w:hanging="851"/>
      </w:pPr>
      <w:rPr>
        <w:rFonts w:hint="default" w:ascii="Tahoma" w:hAnsi="Tahoma" w:cs="Times New Roman"/>
        <w:b/>
        <w:i w:val="0"/>
        <w:sz w:val="16"/>
      </w:rPr>
    </w:lvl>
    <w:lvl w:ilvl="4" w:tentative="0">
      <w:start w:val="1"/>
      <w:numFmt w:val="decimal"/>
      <w:lvlText w:val="%1.%2.%3.%4.%5"/>
      <w:lvlJc w:val="left"/>
      <w:pPr>
        <w:tabs>
          <w:tab w:val="left" w:pos="1008"/>
        </w:tabs>
        <w:ind w:left="1008" w:hanging="1008"/>
      </w:pPr>
      <w:rPr>
        <w:rFonts w:hint="default" w:cs="Times New Roman"/>
      </w:rPr>
    </w:lvl>
    <w:lvl w:ilvl="5" w:tentative="0">
      <w:start w:val="1"/>
      <w:numFmt w:val="decimal"/>
      <w:lvlText w:val="%1.%2.%3.%4.%5.%6"/>
      <w:lvlJc w:val="left"/>
      <w:pPr>
        <w:tabs>
          <w:tab w:val="left" w:pos="1152"/>
        </w:tabs>
        <w:ind w:left="1152" w:hanging="1152"/>
      </w:pPr>
      <w:rPr>
        <w:rFonts w:hint="default" w:cs="Times New Roman"/>
      </w:rPr>
    </w:lvl>
    <w:lvl w:ilvl="6" w:tentative="0">
      <w:start w:val="1"/>
      <w:numFmt w:val="decimal"/>
      <w:lvlText w:val="%1.%2.%3.%4.%5.%6.%7"/>
      <w:lvlJc w:val="left"/>
      <w:pPr>
        <w:tabs>
          <w:tab w:val="left" w:pos="1296"/>
        </w:tabs>
        <w:ind w:left="1296" w:hanging="1296"/>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584"/>
        </w:tabs>
        <w:ind w:left="1584" w:hanging="1584"/>
      </w:pPr>
      <w:rPr>
        <w:rFonts w:hint="default" w:cs="Times New Roman"/>
      </w:rPr>
    </w:lvl>
  </w:abstractNum>
  <w:abstractNum w:abstractNumId="2">
    <w:nsid w:val="77CB68CA"/>
    <w:multiLevelType w:val="multilevel"/>
    <w:tmpl w:val="77CB68CA"/>
    <w:lvl w:ilvl="0" w:tentative="0">
      <w:start w:val="1"/>
      <w:numFmt w:val="decimal"/>
      <w:pStyle w:val="44"/>
      <w:lvlText w:val="%1."/>
      <w:lvlJc w:val="left"/>
      <w:pPr>
        <w:tabs>
          <w:tab w:val="left" w:pos="567"/>
        </w:tabs>
        <w:ind w:left="567" w:hanging="567"/>
      </w:pPr>
      <w:rPr>
        <w:rFonts w:hint="eastAsia" w:ascii="黑体" w:hAnsi="Arial" w:eastAsia="黑体" w:cs="Times New Roman"/>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cs="Times New Roman"/>
        <w:b w:val="0"/>
      </w:rPr>
    </w:lvl>
    <w:lvl w:ilvl="2" w:tentative="0">
      <w:start w:val="1"/>
      <w:numFmt w:val="decimal"/>
      <w:pStyle w:val="43"/>
      <w:lvlText w:val="%1.%2.%3"/>
      <w:lvlJc w:val="left"/>
      <w:pPr>
        <w:tabs>
          <w:tab w:val="left" w:pos="1247"/>
        </w:tabs>
        <w:ind w:left="567"/>
      </w:pPr>
      <w:rPr>
        <w:rFonts w:hint="eastAsia" w:ascii="黑体" w:eastAsia="黑体" w:cs="Times New Roman"/>
        <w:b w:val="0"/>
        <w:sz w:val="21"/>
        <w:szCs w:val="21"/>
      </w:rPr>
    </w:lvl>
    <w:lvl w:ilvl="3" w:tentative="0">
      <w:start w:val="1"/>
      <w:numFmt w:val="decimal"/>
      <w:lvlText w:val="%1.%2.%3.%4"/>
      <w:lvlJc w:val="left"/>
      <w:pPr>
        <w:tabs>
          <w:tab w:val="left" w:pos="864"/>
        </w:tabs>
        <w:ind w:left="864" w:hanging="864"/>
      </w:pPr>
      <w:rPr>
        <w:rFonts w:hint="eastAsia" w:ascii="黑体" w:eastAsia="黑体" w:cs="Times New Roman"/>
        <w:b w:val="0"/>
      </w:rPr>
    </w:lvl>
    <w:lvl w:ilvl="4" w:tentative="0">
      <w:start w:val="1"/>
      <w:numFmt w:val="upperLetter"/>
      <w:lvlText w:val="%5"/>
      <w:lvlJc w:val="left"/>
      <w:pPr>
        <w:tabs>
          <w:tab w:val="left" w:pos="2835"/>
        </w:tabs>
        <w:ind w:left="3175" w:hanging="340"/>
      </w:pPr>
      <w:rPr>
        <w:rFonts w:hint="eastAsia" w:ascii="黑体" w:eastAsia="黑体" w:cs="Times New Roman"/>
      </w:rPr>
    </w:lvl>
    <w:lvl w:ilvl="5" w:tentative="0">
      <w:start w:val="1"/>
      <w:numFmt w:val="lowerLetter"/>
      <w:lvlText w:val="%6)"/>
      <w:lvlJc w:val="left"/>
      <w:pPr>
        <w:tabs>
          <w:tab w:val="left" w:pos="1800"/>
        </w:tabs>
        <w:ind w:left="1152" w:hanging="1152"/>
      </w:pPr>
      <w:rPr>
        <w:rFonts w:hint="eastAsia" w:ascii="黑体" w:eastAsia="黑体" w:cs="Times New Roman"/>
      </w:rPr>
    </w:lvl>
    <w:lvl w:ilvl="6" w:tentative="0">
      <w:start w:val="1"/>
      <w:numFmt w:val="decimal"/>
      <w:lvlText w:val="%1.%2.%3.%4.%5.%6.%7"/>
      <w:lvlJc w:val="left"/>
      <w:pPr>
        <w:tabs>
          <w:tab w:val="left" w:pos="1800"/>
        </w:tabs>
        <w:ind w:left="1296" w:hanging="1296"/>
      </w:pPr>
      <w:rPr>
        <w:rFonts w:hint="default" w:cs="Times New Roman"/>
      </w:rPr>
    </w:lvl>
    <w:lvl w:ilvl="7" w:tentative="0">
      <w:start w:val="1"/>
      <w:numFmt w:val="decimal"/>
      <w:lvlText w:val="%1.%2.%3.%4.%5.%6.%7.%8"/>
      <w:lvlJc w:val="left"/>
      <w:pPr>
        <w:tabs>
          <w:tab w:val="left" w:pos="2160"/>
        </w:tabs>
        <w:ind w:left="1440" w:hanging="1440"/>
      </w:pPr>
      <w:rPr>
        <w:rFonts w:hint="default" w:cs="Times New Roman"/>
      </w:rPr>
    </w:lvl>
    <w:lvl w:ilvl="8" w:tentative="0">
      <w:start w:val="1"/>
      <w:numFmt w:val="decimal"/>
      <w:lvlText w:val="%1.%2.%3.%4.%5.%6.%7.%8.%9"/>
      <w:lvlJc w:val="left"/>
      <w:pPr>
        <w:tabs>
          <w:tab w:val="left" w:pos="2520"/>
        </w:tabs>
        <w:ind w:left="1584" w:hanging="1584"/>
      </w:pPr>
      <w:rPr>
        <w:rFonts w:hint="default"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705"/>
    <w:rsid w:val="0000000D"/>
    <w:rsid w:val="0000090E"/>
    <w:rsid w:val="00003E02"/>
    <w:rsid w:val="000117F8"/>
    <w:rsid w:val="00012282"/>
    <w:rsid w:val="0001237C"/>
    <w:rsid w:val="00015621"/>
    <w:rsid w:val="0002008B"/>
    <w:rsid w:val="00020708"/>
    <w:rsid w:val="000225B1"/>
    <w:rsid w:val="0002470A"/>
    <w:rsid w:val="00025F75"/>
    <w:rsid w:val="00027B2E"/>
    <w:rsid w:val="00031235"/>
    <w:rsid w:val="000334B2"/>
    <w:rsid w:val="00036B20"/>
    <w:rsid w:val="00037E31"/>
    <w:rsid w:val="0004155A"/>
    <w:rsid w:val="00042181"/>
    <w:rsid w:val="000440EE"/>
    <w:rsid w:val="00044BC4"/>
    <w:rsid w:val="000466BF"/>
    <w:rsid w:val="00047876"/>
    <w:rsid w:val="00060051"/>
    <w:rsid w:val="00065BAE"/>
    <w:rsid w:val="00066033"/>
    <w:rsid w:val="00066476"/>
    <w:rsid w:val="00067E2B"/>
    <w:rsid w:val="0007164C"/>
    <w:rsid w:val="00072E78"/>
    <w:rsid w:val="0007316F"/>
    <w:rsid w:val="00074406"/>
    <w:rsid w:val="00074FA6"/>
    <w:rsid w:val="00082CCD"/>
    <w:rsid w:val="00086E4A"/>
    <w:rsid w:val="00086F9F"/>
    <w:rsid w:val="000904DC"/>
    <w:rsid w:val="00092052"/>
    <w:rsid w:val="00092A59"/>
    <w:rsid w:val="00093A9D"/>
    <w:rsid w:val="000A3388"/>
    <w:rsid w:val="000A35C1"/>
    <w:rsid w:val="000A4A8F"/>
    <w:rsid w:val="000A4D03"/>
    <w:rsid w:val="000A7FEB"/>
    <w:rsid w:val="000B0B60"/>
    <w:rsid w:val="000B0B94"/>
    <w:rsid w:val="000B2759"/>
    <w:rsid w:val="000B4FD3"/>
    <w:rsid w:val="000B6756"/>
    <w:rsid w:val="000B6B25"/>
    <w:rsid w:val="000C38AD"/>
    <w:rsid w:val="000C4BD7"/>
    <w:rsid w:val="000C4F11"/>
    <w:rsid w:val="000C6F0E"/>
    <w:rsid w:val="000C7651"/>
    <w:rsid w:val="000C7A00"/>
    <w:rsid w:val="000D1B01"/>
    <w:rsid w:val="000D52BC"/>
    <w:rsid w:val="000D595C"/>
    <w:rsid w:val="000E1B50"/>
    <w:rsid w:val="000E459A"/>
    <w:rsid w:val="000E6947"/>
    <w:rsid w:val="000F040C"/>
    <w:rsid w:val="000F1066"/>
    <w:rsid w:val="000F16B8"/>
    <w:rsid w:val="000F44E7"/>
    <w:rsid w:val="000F4F04"/>
    <w:rsid w:val="000F6D09"/>
    <w:rsid w:val="00102034"/>
    <w:rsid w:val="0010268A"/>
    <w:rsid w:val="001057D8"/>
    <w:rsid w:val="00107A1C"/>
    <w:rsid w:val="00117F0B"/>
    <w:rsid w:val="00121784"/>
    <w:rsid w:val="0012577C"/>
    <w:rsid w:val="001273AF"/>
    <w:rsid w:val="001314E7"/>
    <w:rsid w:val="00134E17"/>
    <w:rsid w:val="00140A5B"/>
    <w:rsid w:val="00142F92"/>
    <w:rsid w:val="00146646"/>
    <w:rsid w:val="00146C1A"/>
    <w:rsid w:val="001479D9"/>
    <w:rsid w:val="00151793"/>
    <w:rsid w:val="0015315A"/>
    <w:rsid w:val="0015372D"/>
    <w:rsid w:val="00154281"/>
    <w:rsid w:val="00154ADD"/>
    <w:rsid w:val="0015556F"/>
    <w:rsid w:val="00155EA1"/>
    <w:rsid w:val="00156711"/>
    <w:rsid w:val="00157D50"/>
    <w:rsid w:val="00161BB3"/>
    <w:rsid w:val="00163380"/>
    <w:rsid w:val="00164BB7"/>
    <w:rsid w:val="0017249B"/>
    <w:rsid w:val="001761AA"/>
    <w:rsid w:val="00183195"/>
    <w:rsid w:val="00186FC8"/>
    <w:rsid w:val="00190821"/>
    <w:rsid w:val="001908BA"/>
    <w:rsid w:val="00191231"/>
    <w:rsid w:val="00191397"/>
    <w:rsid w:val="00192800"/>
    <w:rsid w:val="00196DD3"/>
    <w:rsid w:val="001A01C2"/>
    <w:rsid w:val="001A032A"/>
    <w:rsid w:val="001A4ECC"/>
    <w:rsid w:val="001A5AA0"/>
    <w:rsid w:val="001A75FD"/>
    <w:rsid w:val="001A7C38"/>
    <w:rsid w:val="001B07BC"/>
    <w:rsid w:val="001B2983"/>
    <w:rsid w:val="001C0B53"/>
    <w:rsid w:val="001C1555"/>
    <w:rsid w:val="001C1A5C"/>
    <w:rsid w:val="001C2C80"/>
    <w:rsid w:val="001C40DC"/>
    <w:rsid w:val="001C4741"/>
    <w:rsid w:val="001C6D9D"/>
    <w:rsid w:val="001C7795"/>
    <w:rsid w:val="001D0504"/>
    <w:rsid w:val="001D40B3"/>
    <w:rsid w:val="001D5499"/>
    <w:rsid w:val="001E32F6"/>
    <w:rsid w:val="001E5014"/>
    <w:rsid w:val="001E6706"/>
    <w:rsid w:val="001F00E6"/>
    <w:rsid w:val="001F0BBD"/>
    <w:rsid w:val="001F2B52"/>
    <w:rsid w:val="001F5C14"/>
    <w:rsid w:val="001F5D3A"/>
    <w:rsid w:val="001F5D6F"/>
    <w:rsid w:val="001F6891"/>
    <w:rsid w:val="001F6DB4"/>
    <w:rsid w:val="001F7120"/>
    <w:rsid w:val="0020078B"/>
    <w:rsid w:val="00202083"/>
    <w:rsid w:val="0020213B"/>
    <w:rsid w:val="0020234D"/>
    <w:rsid w:val="00202C33"/>
    <w:rsid w:val="00203899"/>
    <w:rsid w:val="00204FF4"/>
    <w:rsid w:val="00205629"/>
    <w:rsid w:val="002067BF"/>
    <w:rsid w:val="00206DF5"/>
    <w:rsid w:val="0021232E"/>
    <w:rsid w:val="00215B0D"/>
    <w:rsid w:val="002178A6"/>
    <w:rsid w:val="00223DD6"/>
    <w:rsid w:val="00224769"/>
    <w:rsid w:val="002258E9"/>
    <w:rsid w:val="00225B6E"/>
    <w:rsid w:val="0022705F"/>
    <w:rsid w:val="0023043D"/>
    <w:rsid w:val="00232463"/>
    <w:rsid w:val="00233A87"/>
    <w:rsid w:val="002343EC"/>
    <w:rsid w:val="00234FA8"/>
    <w:rsid w:val="002364E1"/>
    <w:rsid w:val="002373C4"/>
    <w:rsid w:val="00250EDA"/>
    <w:rsid w:val="002513E5"/>
    <w:rsid w:val="00252CA3"/>
    <w:rsid w:val="00252ED0"/>
    <w:rsid w:val="00252FD9"/>
    <w:rsid w:val="00257327"/>
    <w:rsid w:val="002610C3"/>
    <w:rsid w:val="00265013"/>
    <w:rsid w:val="00265FE2"/>
    <w:rsid w:val="00266614"/>
    <w:rsid w:val="00266632"/>
    <w:rsid w:val="002677C2"/>
    <w:rsid w:val="0027206E"/>
    <w:rsid w:val="00275A96"/>
    <w:rsid w:val="00275B77"/>
    <w:rsid w:val="00275C31"/>
    <w:rsid w:val="00280916"/>
    <w:rsid w:val="002811EB"/>
    <w:rsid w:val="00283A5C"/>
    <w:rsid w:val="00286C21"/>
    <w:rsid w:val="002914B2"/>
    <w:rsid w:val="00293558"/>
    <w:rsid w:val="00295E5D"/>
    <w:rsid w:val="0029769D"/>
    <w:rsid w:val="002A1DB6"/>
    <w:rsid w:val="002A2221"/>
    <w:rsid w:val="002A28C0"/>
    <w:rsid w:val="002A3EB3"/>
    <w:rsid w:val="002A76D2"/>
    <w:rsid w:val="002A7F00"/>
    <w:rsid w:val="002B1109"/>
    <w:rsid w:val="002B6CC0"/>
    <w:rsid w:val="002C2809"/>
    <w:rsid w:val="002C2B56"/>
    <w:rsid w:val="002C4AC2"/>
    <w:rsid w:val="002D1037"/>
    <w:rsid w:val="002D6839"/>
    <w:rsid w:val="002D6B6D"/>
    <w:rsid w:val="002E0062"/>
    <w:rsid w:val="002E0199"/>
    <w:rsid w:val="002E08FE"/>
    <w:rsid w:val="002E0C97"/>
    <w:rsid w:val="002E1298"/>
    <w:rsid w:val="002E26F1"/>
    <w:rsid w:val="002E4201"/>
    <w:rsid w:val="002E4560"/>
    <w:rsid w:val="002E47DE"/>
    <w:rsid w:val="002E6BC6"/>
    <w:rsid w:val="002F1E69"/>
    <w:rsid w:val="002F26EA"/>
    <w:rsid w:val="002F34B9"/>
    <w:rsid w:val="002F45CC"/>
    <w:rsid w:val="002F551E"/>
    <w:rsid w:val="002F5E2A"/>
    <w:rsid w:val="003047FB"/>
    <w:rsid w:val="00311D8C"/>
    <w:rsid w:val="00312506"/>
    <w:rsid w:val="00312BBE"/>
    <w:rsid w:val="00324C7B"/>
    <w:rsid w:val="00325E06"/>
    <w:rsid w:val="00326CE5"/>
    <w:rsid w:val="0032735F"/>
    <w:rsid w:val="00337677"/>
    <w:rsid w:val="00340299"/>
    <w:rsid w:val="00340318"/>
    <w:rsid w:val="00342D99"/>
    <w:rsid w:val="003441D6"/>
    <w:rsid w:val="00353963"/>
    <w:rsid w:val="003543DB"/>
    <w:rsid w:val="003579C2"/>
    <w:rsid w:val="00362B79"/>
    <w:rsid w:val="00365D2F"/>
    <w:rsid w:val="00366C7F"/>
    <w:rsid w:val="00367683"/>
    <w:rsid w:val="00367752"/>
    <w:rsid w:val="00367EEE"/>
    <w:rsid w:val="0037132C"/>
    <w:rsid w:val="00375BDB"/>
    <w:rsid w:val="0038446E"/>
    <w:rsid w:val="00390FE4"/>
    <w:rsid w:val="0039214E"/>
    <w:rsid w:val="003979B9"/>
    <w:rsid w:val="003A1859"/>
    <w:rsid w:val="003A1BD6"/>
    <w:rsid w:val="003A3CA1"/>
    <w:rsid w:val="003A4D3A"/>
    <w:rsid w:val="003A55B8"/>
    <w:rsid w:val="003A6B53"/>
    <w:rsid w:val="003A7A34"/>
    <w:rsid w:val="003A7B7C"/>
    <w:rsid w:val="003A7B99"/>
    <w:rsid w:val="003B1EE2"/>
    <w:rsid w:val="003B324E"/>
    <w:rsid w:val="003B46A0"/>
    <w:rsid w:val="003B6ABF"/>
    <w:rsid w:val="003C1694"/>
    <w:rsid w:val="003C2A81"/>
    <w:rsid w:val="003C3DD8"/>
    <w:rsid w:val="003C5666"/>
    <w:rsid w:val="003C5814"/>
    <w:rsid w:val="003C6A14"/>
    <w:rsid w:val="003C6CF7"/>
    <w:rsid w:val="003D06FA"/>
    <w:rsid w:val="003D1607"/>
    <w:rsid w:val="003D1D0C"/>
    <w:rsid w:val="003D41E1"/>
    <w:rsid w:val="003D4D96"/>
    <w:rsid w:val="003D7E48"/>
    <w:rsid w:val="003E0173"/>
    <w:rsid w:val="003E17D3"/>
    <w:rsid w:val="003E24A4"/>
    <w:rsid w:val="003E26FC"/>
    <w:rsid w:val="003E3262"/>
    <w:rsid w:val="003F298B"/>
    <w:rsid w:val="003F4F09"/>
    <w:rsid w:val="003F5CE5"/>
    <w:rsid w:val="003F7C45"/>
    <w:rsid w:val="00401EBE"/>
    <w:rsid w:val="0040304C"/>
    <w:rsid w:val="004031E6"/>
    <w:rsid w:val="00405DE0"/>
    <w:rsid w:val="00407022"/>
    <w:rsid w:val="00413096"/>
    <w:rsid w:val="00415D9A"/>
    <w:rsid w:val="00415F1A"/>
    <w:rsid w:val="004169BD"/>
    <w:rsid w:val="00417283"/>
    <w:rsid w:val="0042182E"/>
    <w:rsid w:val="00421AB1"/>
    <w:rsid w:val="00422916"/>
    <w:rsid w:val="00427664"/>
    <w:rsid w:val="00430276"/>
    <w:rsid w:val="00431C73"/>
    <w:rsid w:val="0043242B"/>
    <w:rsid w:val="004329F8"/>
    <w:rsid w:val="00434377"/>
    <w:rsid w:val="00434DB2"/>
    <w:rsid w:val="0043575A"/>
    <w:rsid w:val="00436EC9"/>
    <w:rsid w:val="00437421"/>
    <w:rsid w:val="00437B01"/>
    <w:rsid w:val="00441B66"/>
    <w:rsid w:val="00442062"/>
    <w:rsid w:val="00442310"/>
    <w:rsid w:val="00443943"/>
    <w:rsid w:val="00444F16"/>
    <w:rsid w:val="0044717C"/>
    <w:rsid w:val="004472C5"/>
    <w:rsid w:val="00447388"/>
    <w:rsid w:val="00450CB8"/>
    <w:rsid w:val="004524BC"/>
    <w:rsid w:val="00457041"/>
    <w:rsid w:val="004577F1"/>
    <w:rsid w:val="00460B7D"/>
    <w:rsid w:val="0046148B"/>
    <w:rsid w:val="004643B9"/>
    <w:rsid w:val="00465DB2"/>
    <w:rsid w:val="00467D91"/>
    <w:rsid w:val="0047066E"/>
    <w:rsid w:val="00470EB3"/>
    <w:rsid w:val="0047111E"/>
    <w:rsid w:val="004758FF"/>
    <w:rsid w:val="004761D6"/>
    <w:rsid w:val="00476A91"/>
    <w:rsid w:val="004810C5"/>
    <w:rsid w:val="00481869"/>
    <w:rsid w:val="004848E3"/>
    <w:rsid w:val="00487056"/>
    <w:rsid w:val="00491101"/>
    <w:rsid w:val="00492DB8"/>
    <w:rsid w:val="00496C5E"/>
    <w:rsid w:val="00497D94"/>
    <w:rsid w:val="004A0B97"/>
    <w:rsid w:val="004A2A10"/>
    <w:rsid w:val="004A32DE"/>
    <w:rsid w:val="004A4A93"/>
    <w:rsid w:val="004A52C6"/>
    <w:rsid w:val="004A6213"/>
    <w:rsid w:val="004B20C8"/>
    <w:rsid w:val="004C0523"/>
    <w:rsid w:val="004C06B5"/>
    <w:rsid w:val="004C4FEF"/>
    <w:rsid w:val="004C5B6D"/>
    <w:rsid w:val="004D2915"/>
    <w:rsid w:val="004D36EA"/>
    <w:rsid w:val="004E21F3"/>
    <w:rsid w:val="004E2424"/>
    <w:rsid w:val="004E2591"/>
    <w:rsid w:val="004E5093"/>
    <w:rsid w:val="004E665C"/>
    <w:rsid w:val="004E7415"/>
    <w:rsid w:val="004F1BDE"/>
    <w:rsid w:val="004F247A"/>
    <w:rsid w:val="004F5CB2"/>
    <w:rsid w:val="00500A6F"/>
    <w:rsid w:val="0050361A"/>
    <w:rsid w:val="00503BC0"/>
    <w:rsid w:val="005053F2"/>
    <w:rsid w:val="005059F6"/>
    <w:rsid w:val="00512C02"/>
    <w:rsid w:val="005134C4"/>
    <w:rsid w:val="00516DBA"/>
    <w:rsid w:val="00520A06"/>
    <w:rsid w:val="00521DC1"/>
    <w:rsid w:val="00522A87"/>
    <w:rsid w:val="00525E90"/>
    <w:rsid w:val="00526011"/>
    <w:rsid w:val="00533130"/>
    <w:rsid w:val="005331EB"/>
    <w:rsid w:val="0053582A"/>
    <w:rsid w:val="005369E5"/>
    <w:rsid w:val="005373FA"/>
    <w:rsid w:val="0054154A"/>
    <w:rsid w:val="005425F3"/>
    <w:rsid w:val="00542AE6"/>
    <w:rsid w:val="00543379"/>
    <w:rsid w:val="00546B3F"/>
    <w:rsid w:val="00551E9E"/>
    <w:rsid w:val="0055406D"/>
    <w:rsid w:val="005565DC"/>
    <w:rsid w:val="005568B8"/>
    <w:rsid w:val="00556D60"/>
    <w:rsid w:val="00557D7D"/>
    <w:rsid w:val="00561B53"/>
    <w:rsid w:val="0056554A"/>
    <w:rsid w:val="00570B37"/>
    <w:rsid w:val="00572083"/>
    <w:rsid w:val="0057237A"/>
    <w:rsid w:val="00573338"/>
    <w:rsid w:val="00574619"/>
    <w:rsid w:val="00581E3A"/>
    <w:rsid w:val="00583A76"/>
    <w:rsid w:val="00587032"/>
    <w:rsid w:val="0058723B"/>
    <w:rsid w:val="00587801"/>
    <w:rsid w:val="00587DA7"/>
    <w:rsid w:val="00587FFB"/>
    <w:rsid w:val="005944F1"/>
    <w:rsid w:val="00595E16"/>
    <w:rsid w:val="0059609E"/>
    <w:rsid w:val="005A077F"/>
    <w:rsid w:val="005A2135"/>
    <w:rsid w:val="005A3D55"/>
    <w:rsid w:val="005B3AC2"/>
    <w:rsid w:val="005B50EA"/>
    <w:rsid w:val="005B6875"/>
    <w:rsid w:val="005B7092"/>
    <w:rsid w:val="005B7B15"/>
    <w:rsid w:val="005C33C8"/>
    <w:rsid w:val="005C4F28"/>
    <w:rsid w:val="005C5157"/>
    <w:rsid w:val="005D41A3"/>
    <w:rsid w:val="005D4959"/>
    <w:rsid w:val="005D5770"/>
    <w:rsid w:val="005E154C"/>
    <w:rsid w:val="005E4E8B"/>
    <w:rsid w:val="005E5FC2"/>
    <w:rsid w:val="005F0F3E"/>
    <w:rsid w:val="005F1FB1"/>
    <w:rsid w:val="005F43AA"/>
    <w:rsid w:val="006030FF"/>
    <w:rsid w:val="00605206"/>
    <w:rsid w:val="00606A3F"/>
    <w:rsid w:val="00614C1E"/>
    <w:rsid w:val="00620205"/>
    <w:rsid w:val="0062105D"/>
    <w:rsid w:val="006213BE"/>
    <w:rsid w:val="00621850"/>
    <w:rsid w:val="00623554"/>
    <w:rsid w:val="00623DCD"/>
    <w:rsid w:val="006314CB"/>
    <w:rsid w:val="0063720F"/>
    <w:rsid w:val="0064410A"/>
    <w:rsid w:val="006455BD"/>
    <w:rsid w:val="006455FD"/>
    <w:rsid w:val="00646147"/>
    <w:rsid w:val="00647944"/>
    <w:rsid w:val="00647E86"/>
    <w:rsid w:val="00650459"/>
    <w:rsid w:val="00652E7B"/>
    <w:rsid w:val="006539D8"/>
    <w:rsid w:val="0065465F"/>
    <w:rsid w:val="006668DD"/>
    <w:rsid w:val="00671C73"/>
    <w:rsid w:val="00672E66"/>
    <w:rsid w:val="00675133"/>
    <w:rsid w:val="006760AB"/>
    <w:rsid w:val="00677AF2"/>
    <w:rsid w:val="006802AF"/>
    <w:rsid w:val="006841C3"/>
    <w:rsid w:val="0068523D"/>
    <w:rsid w:val="00685E3E"/>
    <w:rsid w:val="006868ED"/>
    <w:rsid w:val="00687EF0"/>
    <w:rsid w:val="00687F63"/>
    <w:rsid w:val="00690CEC"/>
    <w:rsid w:val="006A13AF"/>
    <w:rsid w:val="006A1B43"/>
    <w:rsid w:val="006A4FE2"/>
    <w:rsid w:val="006A57C6"/>
    <w:rsid w:val="006A7E6B"/>
    <w:rsid w:val="006B1BF1"/>
    <w:rsid w:val="006B1FDA"/>
    <w:rsid w:val="006B30B1"/>
    <w:rsid w:val="006B3248"/>
    <w:rsid w:val="006B4A76"/>
    <w:rsid w:val="006B6ADC"/>
    <w:rsid w:val="006C29F4"/>
    <w:rsid w:val="006C6122"/>
    <w:rsid w:val="006C614C"/>
    <w:rsid w:val="006C7157"/>
    <w:rsid w:val="006C7FCD"/>
    <w:rsid w:val="006D592B"/>
    <w:rsid w:val="006D70D0"/>
    <w:rsid w:val="006E0624"/>
    <w:rsid w:val="006E1DE7"/>
    <w:rsid w:val="006E2D20"/>
    <w:rsid w:val="006E6263"/>
    <w:rsid w:val="006E740E"/>
    <w:rsid w:val="006F0646"/>
    <w:rsid w:val="006F144C"/>
    <w:rsid w:val="006F1F47"/>
    <w:rsid w:val="006F2F2A"/>
    <w:rsid w:val="006F3644"/>
    <w:rsid w:val="006F40ED"/>
    <w:rsid w:val="006F42E5"/>
    <w:rsid w:val="006F5E8F"/>
    <w:rsid w:val="00702F81"/>
    <w:rsid w:val="00703727"/>
    <w:rsid w:val="0070405D"/>
    <w:rsid w:val="007049A4"/>
    <w:rsid w:val="00706DA2"/>
    <w:rsid w:val="0071028A"/>
    <w:rsid w:val="00711F7C"/>
    <w:rsid w:val="00712227"/>
    <w:rsid w:val="007150E5"/>
    <w:rsid w:val="0072414B"/>
    <w:rsid w:val="00724FD6"/>
    <w:rsid w:val="00726127"/>
    <w:rsid w:val="00727A50"/>
    <w:rsid w:val="00731BB2"/>
    <w:rsid w:val="00731C6A"/>
    <w:rsid w:val="00734B1D"/>
    <w:rsid w:val="00734C73"/>
    <w:rsid w:val="00736113"/>
    <w:rsid w:val="00736D84"/>
    <w:rsid w:val="00741341"/>
    <w:rsid w:val="00742181"/>
    <w:rsid w:val="007423FB"/>
    <w:rsid w:val="00745141"/>
    <w:rsid w:val="00750773"/>
    <w:rsid w:val="00750880"/>
    <w:rsid w:val="0075160C"/>
    <w:rsid w:val="00754A02"/>
    <w:rsid w:val="00756112"/>
    <w:rsid w:val="007718D6"/>
    <w:rsid w:val="0077375A"/>
    <w:rsid w:val="0077460F"/>
    <w:rsid w:val="00774995"/>
    <w:rsid w:val="00781706"/>
    <w:rsid w:val="0078488D"/>
    <w:rsid w:val="007A37DF"/>
    <w:rsid w:val="007A4AAD"/>
    <w:rsid w:val="007B11B4"/>
    <w:rsid w:val="007B159E"/>
    <w:rsid w:val="007B1773"/>
    <w:rsid w:val="007B46AE"/>
    <w:rsid w:val="007B6974"/>
    <w:rsid w:val="007C10C2"/>
    <w:rsid w:val="007C395C"/>
    <w:rsid w:val="007C4CEB"/>
    <w:rsid w:val="007C5AAF"/>
    <w:rsid w:val="007C70FE"/>
    <w:rsid w:val="007D3020"/>
    <w:rsid w:val="007D75A9"/>
    <w:rsid w:val="007D7AE7"/>
    <w:rsid w:val="007E0366"/>
    <w:rsid w:val="007E4C52"/>
    <w:rsid w:val="007E4E2C"/>
    <w:rsid w:val="007E6DF2"/>
    <w:rsid w:val="007F07CE"/>
    <w:rsid w:val="007F1A77"/>
    <w:rsid w:val="007F1AF4"/>
    <w:rsid w:val="007F447E"/>
    <w:rsid w:val="007F6833"/>
    <w:rsid w:val="007F7C3E"/>
    <w:rsid w:val="00802AAE"/>
    <w:rsid w:val="0080368F"/>
    <w:rsid w:val="008061BF"/>
    <w:rsid w:val="00806B6B"/>
    <w:rsid w:val="00806C12"/>
    <w:rsid w:val="00806D3A"/>
    <w:rsid w:val="00807A86"/>
    <w:rsid w:val="0081175A"/>
    <w:rsid w:val="0081268A"/>
    <w:rsid w:val="008149DA"/>
    <w:rsid w:val="00814BC4"/>
    <w:rsid w:val="008177E2"/>
    <w:rsid w:val="00822676"/>
    <w:rsid w:val="00822991"/>
    <w:rsid w:val="00822C71"/>
    <w:rsid w:val="00827F94"/>
    <w:rsid w:val="008328C8"/>
    <w:rsid w:val="008358C7"/>
    <w:rsid w:val="00837304"/>
    <w:rsid w:val="0084052A"/>
    <w:rsid w:val="00841C02"/>
    <w:rsid w:val="0084256B"/>
    <w:rsid w:val="008436CA"/>
    <w:rsid w:val="00852A67"/>
    <w:rsid w:val="008550A5"/>
    <w:rsid w:val="0085737E"/>
    <w:rsid w:val="00861601"/>
    <w:rsid w:val="00863050"/>
    <w:rsid w:val="00865A98"/>
    <w:rsid w:val="00866914"/>
    <w:rsid w:val="00867AE7"/>
    <w:rsid w:val="00872296"/>
    <w:rsid w:val="0087360F"/>
    <w:rsid w:val="00874C79"/>
    <w:rsid w:val="00874F57"/>
    <w:rsid w:val="00875A34"/>
    <w:rsid w:val="00875FED"/>
    <w:rsid w:val="008818EC"/>
    <w:rsid w:val="00883FE7"/>
    <w:rsid w:val="008849BE"/>
    <w:rsid w:val="0088523F"/>
    <w:rsid w:val="008852C2"/>
    <w:rsid w:val="00885543"/>
    <w:rsid w:val="00892E1C"/>
    <w:rsid w:val="00895167"/>
    <w:rsid w:val="0089762D"/>
    <w:rsid w:val="008A2A1C"/>
    <w:rsid w:val="008A436F"/>
    <w:rsid w:val="008A64CA"/>
    <w:rsid w:val="008A68D4"/>
    <w:rsid w:val="008B0574"/>
    <w:rsid w:val="008B0F4E"/>
    <w:rsid w:val="008B1D8F"/>
    <w:rsid w:val="008B486E"/>
    <w:rsid w:val="008B5002"/>
    <w:rsid w:val="008C03D3"/>
    <w:rsid w:val="008C130A"/>
    <w:rsid w:val="008C15B7"/>
    <w:rsid w:val="008C2130"/>
    <w:rsid w:val="008C4417"/>
    <w:rsid w:val="008C47DE"/>
    <w:rsid w:val="008E1D51"/>
    <w:rsid w:val="008E40A4"/>
    <w:rsid w:val="008E5693"/>
    <w:rsid w:val="008E77CE"/>
    <w:rsid w:val="008E78B2"/>
    <w:rsid w:val="008E7B23"/>
    <w:rsid w:val="008F1437"/>
    <w:rsid w:val="008F25E2"/>
    <w:rsid w:val="009031FF"/>
    <w:rsid w:val="009034DB"/>
    <w:rsid w:val="0090433E"/>
    <w:rsid w:val="0090548F"/>
    <w:rsid w:val="00906D86"/>
    <w:rsid w:val="0091031F"/>
    <w:rsid w:val="00910D0A"/>
    <w:rsid w:val="00911E41"/>
    <w:rsid w:val="00913F92"/>
    <w:rsid w:val="00914C35"/>
    <w:rsid w:val="00914D44"/>
    <w:rsid w:val="00914E73"/>
    <w:rsid w:val="0091607E"/>
    <w:rsid w:val="00916840"/>
    <w:rsid w:val="00916E47"/>
    <w:rsid w:val="009215A1"/>
    <w:rsid w:val="00921C90"/>
    <w:rsid w:val="0092388B"/>
    <w:rsid w:val="0092586B"/>
    <w:rsid w:val="009259AC"/>
    <w:rsid w:val="00927873"/>
    <w:rsid w:val="00927B81"/>
    <w:rsid w:val="00933DF6"/>
    <w:rsid w:val="00937690"/>
    <w:rsid w:val="00937F9C"/>
    <w:rsid w:val="0094351F"/>
    <w:rsid w:val="00943D6D"/>
    <w:rsid w:val="00951EC8"/>
    <w:rsid w:val="009530C6"/>
    <w:rsid w:val="00954DFC"/>
    <w:rsid w:val="00955281"/>
    <w:rsid w:val="009554C9"/>
    <w:rsid w:val="00961FF2"/>
    <w:rsid w:val="00963AC0"/>
    <w:rsid w:val="00964165"/>
    <w:rsid w:val="00966C5E"/>
    <w:rsid w:val="0097232C"/>
    <w:rsid w:val="00972BD8"/>
    <w:rsid w:val="0097392D"/>
    <w:rsid w:val="00973F51"/>
    <w:rsid w:val="009752AC"/>
    <w:rsid w:val="00976AE6"/>
    <w:rsid w:val="009771BA"/>
    <w:rsid w:val="009775E0"/>
    <w:rsid w:val="00977F22"/>
    <w:rsid w:val="00980A25"/>
    <w:rsid w:val="0098123C"/>
    <w:rsid w:val="00982EAA"/>
    <w:rsid w:val="00983B61"/>
    <w:rsid w:val="009859E8"/>
    <w:rsid w:val="00992FE1"/>
    <w:rsid w:val="009943D3"/>
    <w:rsid w:val="00996A74"/>
    <w:rsid w:val="009A2368"/>
    <w:rsid w:val="009A5005"/>
    <w:rsid w:val="009A547E"/>
    <w:rsid w:val="009A5C7D"/>
    <w:rsid w:val="009B1204"/>
    <w:rsid w:val="009B1D0A"/>
    <w:rsid w:val="009B5975"/>
    <w:rsid w:val="009B5F29"/>
    <w:rsid w:val="009C0B42"/>
    <w:rsid w:val="009C1394"/>
    <w:rsid w:val="009C2D15"/>
    <w:rsid w:val="009C55E4"/>
    <w:rsid w:val="009C57F9"/>
    <w:rsid w:val="009C6A7C"/>
    <w:rsid w:val="009D1009"/>
    <w:rsid w:val="009D4333"/>
    <w:rsid w:val="009D5287"/>
    <w:rsid w:val="009E4182"/>
    <w:rsid w:val="009E506A"/>
    <w:rsid w:val="009E734C"/>
    <w:rsid w:val="009F0F8D"/>
    <w:rsid w:val="009F2153"/>
    <w:rsid w:val="009F5076"/>
    <w:rsid w:val="009F50C3"/>
    <w:rsid w:val="009F654E"/>
    <w:rsid w:val="00A0333C"/>
    <w:rsid w:val="00A053AC"/>
    <w:rsid w:val="00A06E6C"/>
    <w:rsid w:val="00A07F09"/>
    <w:rsid w:val="00A107A7"/>
    <w:rsid w:val="00A1112E"/>
    <w:rsid w:val="00A1175D"/>
    <w:rsid w:val="00A12681"/>
    <w:rsid w:val="00A162FB"/>
    <w:rsid w:val="00A1638A"/>
    <w:rsid w:val="00A21975"/>
    <w:rsid w:val="00A22AA7"/>
    <w:rsid w:val="00A26A38"/>
    <w:rsid w:val="00A26E7A"/>
    <w:rsid w:val="00A273A9"/>
    <w:rsid w:val="00A31166"/>
    <w:rsid w:val="00A348B9"/>
    <w:rsid w:val="00A34DB3"/>
    <w:rsid w:val="00A35B88"/>
    <w:rsid w:val="00A406AB"/>
    <w:rsid w:val="00A406D2"/>
    <w:rsid w:val="00A47716"/>
    <w:rsid w:val="00A47A19"/>
    <w:rsid w:val="00A47E02"/>
    <w:rsid w:val="00A521B0"/>
    <w:rsid w:val="00A528BC"/>
    <w:rsid w:val="00A55B27"/>
    <w:rsid w:val="00A56831"/>
    <w:rsid w:val="00A5732F"/>
    <w:rsid w:val="00A576F5"/>
    <w:rsid w:val="00A6276E"/>
    <w:rsid w:val="00A6325C"/>
    <w:rsid w:val="00A64301"/>
    <w:rsid w:val="00A645AE"/>
    <w:rsid w:val="00A649B2"/>
    <w:rsid w:val="00A657C2"/>
    <w:rsid w:val="00A66A7C"/>
    <w:rsid w:val="00A66AF8"/>
    <w:rsid w:val="00A67BB1"/>
    <w:rsid w:val="00A7186D"/>
    <w:rsid w:val="00A730B9"/>
    <w:rsid w:val="00A738BF"/>
    <w:rsid w:val="00A75C5B"/>
    <w:rsid w:val="00A76CAB"/>
    <w:rsid w:val="00A820DC"/>
    <w:rsid w:val="00A87F0D"/>
    <w:rsid w:val="00A935DB"/>
    <w:rsid w:val="00A93EC5"/>
    <w:rsid w:val="00A940A2"/>
    <w:rsid w:val="00A975D5"/>
    <w:rsid w:val="00AA2119"/>
    <w:rsid w:val="00AA5243"/>
    <w:rsid w:val="00AA6158"/>
    <w:rsid w:val="00AA7FBB"/>
    <w:rsid w:val="00AB0599"/>
    <w:rsid w:val="00AB08FC"/>
    <w:rsid w:val="00AB299E"/>
    <w:rsid w:val="00AB32A9"/>
    <w:rsid w:val="00AB3996"/>
    <w:rsid w:val="00AB50F2"/>
    <w:rsid w:val="00AB6DBD"/>
    <w:rsid w:val="00AC13F7"/>
    <w:rsid w:val="00AC50EF"/>
    <w:rsid w:val="00AC515C"/>
    <w:rsid w:val="00AD0C90"/>
    <w:rsid w:val="00AD177B"/>
    <w:rsid w:val="00AD425F"/>
    <w:rsid w:val="00AD70B1"/>
    <w:rsid w:val="00AE0296"/>
    <w:rsid w:val="00AE0EC3"/>
    <w:rsid w:val="00AE3292"/>
    <w:rsid w:val="00AE5557"/>
    <w:rsid w:val="00AE7836"/>
    <w:rsid w:val="00AF11C7"/>
    <w:rsid w:val="00AF7BDC"/>
    <w:rsid w:val="00B04BEA"/>
    <w:rsid w:val="00B04DBA"/>
    <w:rsid w:val="00B07CC3"/>
    <w:rsid w:val="00B15386"/>
    <w:rsid w:val="00B157DB"/>
    <w:rsid w:val="00B1689A"/>
    <w:rsid w:val="00B17FE2"/>
    <w:rsid w:val="00B264A3"/>
    <w:rsid w:val="00B276DB"/>
    <w:rsid w:val="00B313B3"/>
    <w:rsid w:val="00B3364B"/>
    <w:rsid w:val="00B34133"/>
    <w:rsid w:val="00B36F8F"/>
    <w:rsid w:val="00B43B4A"/>
    <w:rsid w:val="00B44391"/>
    <w:rsid w:val="00B45078"/>
    <w:rsid w:val="00B469D6"/>
    <w:rsid w:val="00B47B8D"/>
    <w:rsid w:val="00B50069"/>
    <w:rsid w:val="00B521DC"/>
    <w:rsid w:val="00B57BA8"/>
    <w:rsid w:val="00B604C1"/>
    <w:rsid w:val="00B61089"/>
    <w:rsid w:val="00B62DAA"/>
    <w:rsid w:val="00B63AAB"/>
    <w:rsid w:val="00B657D1"/>
    <w:rsid w:val="00B6597D"/>
    <w:rsid w:val="00B66728"/>
    <w:rsid w:val="00B67163"/>
    <w:rsid w:val="00B6793A"/>
    <w:rsid w:val="00B705BB"/>
    <w:rsid w:val="00B73594"/>
    <w:rsid w:val="00B7470A"/>
    <w:rsid w:val="00B762BB"/>
    <w:rsid w:val="00B765A1"/>
    <w:rsid w:val="00B7706E"/>
    <w:rsid w:val="00B80978"/>
    <w:rsid w:val="00B860BD"/>
    <w:rsid w:val="00B8752C"/>
    <w:rsid w:val="00B93F92"/>
    <w:rsid w:val="00B95266"/>
    <w:rsid w:val="00B95684"/>
    <w:rsid w:val="00BA1632"/>
    <w:rsid w:val="00BA1AF4"/>
    <w:rsid w:val="00BA439D"/>
    <w:rsid w:val="00BA6C6E"/>
    <w:rsid w:val="00BA7485"/>
    <w:rsid w:val="00BB0168"/>
    <w:rsid w:val="00BB31DF"/>
    <w:rsid w:val="00BB32FA"/>
    <w:rsid w:val="00BB3C5E"/>
    <w:rsid w:val="00BB62AE"/>
    <w:rsid w:val="00BB6305"/>
    <w:rsid w:val="00BB69F3"/>
    <w:rsid w:val="00BB6A6B"/>
    <w:rsid w:val="00BB7289"/>
    <w:rsid w:val="00BC2759"/>
    <w:rsid w:val="00BC36A8"/>
    <w:rsid w:val="00BC68B9"/>
    <w:rsid w:val="00BD164E"/>
    <w:rsid w:val="00BD45C7"/>
    <w:rsid w:val="00BD7AD0"/>
    <w:rsid w:val="00BE0F91"/>
    <w:rsid w:val="00BE6CCF"/>
    <w:rsid w:val="00BF0691"/>
    <w:rsid w:val="00BF2D64"/>
    <w:rsid w:val="00BF3D1C"/>
    <w:rsid w:val="00C01A94"/>
    <w:rsid w:val="00C01B17"/>
    <w:rsid w:val="00C041C6"/>
    <w:rsid w:val="00C052B3"/>
    <w:rsid w:val="00C05777"/>
    <w:rsid w:val="00C058B9"/>
    <w:rsid w:val="00C06535"/>
    <w:rsid w:val="00C10D0D"/>
    <w:rsid w:val="00C12F70"/>
    <w:rsid w:val="00C12FFE"/>
    <w:rsid w:val="00C130D3"/>
    <w:rsid w:val="00C1583D"/>
    <w:rsid w:val="00C20069"/>
    <w:rsid w:val="00C20A17"/>
    <w:rsid w:val="00C20CD2"/>
    <w:rsid w:val="00C23928"/>
    <w:rsid w:val="00C24606"/>
    <w:rsid w:val="00C24FF4"/>
    <w:rsid w:val="00C26A81"/>
    <w:rsid w:val="00C3122F"/>
    <w:rsid w:val="00C32787"/>
    <w:rsid w:val="00C33894"/>
    <w:rsid w:val="00C34B6D"/>
    <w:rsid w:val="00C34EC4"/>
    <w:rsid w:val="00C364D8"/>
    <w:rsid w:val="00C37851"/>
    <w:rsid w:val="00C402BD"/>
    <w:rsid w:val="00C439B4"/>
    <w:rsid w:val="00C43B15"/>
    <w:rsid w:val="00C445D9"/>
    <w:rsid w:val="00C55AFB"/>
    <w:rsid w:val="00C55E17"/>
    <w:rsid w:val="00C57BC7"/>
    <w:rsid w:val="00C6455A"/>
    <w:rsid w:val="00C67E56"/>
    <w:rsid w:val="00C73885"/>
    <w:rsid w:val="00C742F8"/>
    <w:rsid w:val="00C7552A"/>
    <w:rsid w:val="00C80B7D"/>
    <w:rsid w:val="00C82EE2"/>
    <w:rsid w:val="00C875F8"/>
    <w:rsid w:val="00C87C9B"/>
    <w:rsid w:val="00C909FE"/>
    <w:rsid w:val="00C9136A"/>
    <w:rsid w:val="00C9695C"/>
    <w:rsid w:val="00C97345"/>
    <w:rsid w:val="00CA144F"/>
    <w:rsid w:val="00CA1D51"/>
    <w:rsid w:val="00CA575B"/>
    <w:rsid w:val="00CA6B5D"/>
    <w:rsid w:val="00CB3C76"/>
    <w:rsid w:val="00CB4C7A"/>
    <w:rsid w:val="00CB4D2C"/>
    <w:rsid w:val="00CB4FC8"/>
    <w:rsid w:val="00CB505B"/>
    <w:rsid w:val="00CB59CD"/>
    <w:rsid w:val="00CC01EE"/>
    <w:rsid w:val="00CC51F7"/>
    <w:rsid w:val="00CC6F8D"/>
    <w:rsid w:val="00CC7CF9"/>
    <w:rsid w:val="00CD27B2"/>
    <w:rsid w:val="00CD38F7"/>
    <w:rsid w:val="00CD46A4"/>
    <w:rsid w:val="00CD4DEE"/>
    <w:rsid w:val="00CD7A15"/>
    <w:rsid w:val="00CE18D1"/>
    <w:rsid w:val="00CE31D7"/>
    <w:rsid w:val="00CE44F9"/>
    <w:rsid w:val="00CE537A"/>
    <w:rsid w:val="00CF0725"/>
    <w:rsid w:val="00D00580"/>
    <w:rsid w:val="00D013C1"/>
    <w:rsid w:val="00D07441"/>
    <w:rsid w:val="00D103CA"/>
    <w:rsid w:val="00D10578"/>
    <w:rsid w:val="00D11D95"/>
    <w:rsid w:val="00D15EB3"/>
    <w:rsid w:val="00D23475"/>
    <w:rsid w:val="00D265D6"/>
    <w:rsid w:val="00D26BB5"/>
    <w:rsid w:val="00D31E58"/>
    <w:rsid w:val="00D32BF1"/>
    <w:rsid w:val="00D33011"/>
    <w:rsid w:val="00D409AF"/>
    <w:rsid w:val="00D420AE"/>
    <w:rsid w:val="00D4365F"/>
    <w:rsid w:val="00D43807"/>
    <w:rsid w:val="00D45B3B"/>
    <w:rsid w:val="00D46AD0"/>
    <w:rsid w:val="00D47927"/>
    <w:rsid w:val="00D51093"/>
    <w:rsid w:val="00D52132"/>
    <w:rsid w:val="00D54966"/>
    <w:rsid w:val="00D5702A"/>
    <w:rsid w:val="00D57782"/>
    <w:rsid w:val="00D627CB"/>
    <w:rsid w:val="00D65AD5"/>
    <w:rsid w:val="00D6698B"/>
    <w:rsid w:val="00D673DF"/>
    <w:rsid w:val="00D75E66"/>
    <w:rsid w:val="00D7726A"/>
    <w:rsid w:val="00D77488"/>
    <w:rsid w:val="00D8189D"/>
    <w:rsid w:val="00D81ADF"/>
    <w:rsid w:val="00D82C35"/>
    <w:rsid w:val="00D8329A"/>
    <w:rsid w:val="00D83794"/>
    <w:rsid w:val="00D84D4A"/>
    <w:rsid w:val="00D904C6"/>
    <w:rsid w:val="00D908C8"/>
    <w:rsid w:val="00D94CD7"/>
    <w:rsid w:val="00D956E5"/>
    <w:rsid w:val="00D958BE"/>
    <w:rsid w:val="00D962D8"/>
    <w:rsid w:val="00DA24A6"/>
    <w:rsid w:val="00DA368A"/>
    <w:rsid w:val="00DA55C8"/>
    <w:rsid w:val="00DA674D"/>
    <w:rsid w:val="00DB19C1"/>
    <w:rsid w:val="00DB2639"/>
    <w:rsid w:val="00DB336D"/>
    <w:rsid w:val="00DB6A17"/>
    <w:rsid w:val="00DB7764"/>
    <w:rsid w:val="00DB7AAE"/>
    <w:rsid w:val="00DC045A"/>
    <w:rsid w:val="00DC05EC"/>
    <w:rsid w:val="00DC098B"/>
    <w:rsid w:val="00DC2218"/>
    <w:rsid w:val="00DC2358"/>
    <w:rsid w:val="00DC235C"/>
    <w:rsid w:val="00DC5AAF"/>
    <w:rsid w:val="00DC69A9"/>
    <w:rsid w:val="00DC7137"/>
    <w:rsid w:val="00DD10EC"/>
    <w:rsid w:val="00DD1655"/>
    <w:rsid w:val="00DD2F83"/>
    <w:rsid w:val="00DD5FD2"/>
    <w:rsid w:val="00DE04EF"/>
    <w:rsid w:val="00DE6028"/>
    <w:rsid w:val="00DF135C"/>
    <w:rsid w:val="00DF3E8F"/>
    <w:rsid w:val="00DF57B9"/>
    <w:rsid w:val="00DF59BE"/>
    <w:rsid w:val="00DF7331"/>
    <w:rsid w:val="00DF7C87"/>
    <w:rsid w:val="00DF7CFB"/>
    <w:rsid w:val="00E00877"/>
    <w:rsid w:val="00E02B94"/>
    <w:rsid w:val="00E0672E"/>
    <w:rsid w:val="00E06A83"/>
    <w:rsid w:val="00E07A60"/>
    <w:rsid w:val="00E129AA"/>
    <w:rsid w:val="00E132CE"/>
    <w:rsid w:val="00E1369F"/>
    <w:rsid w:val="00E16B35"/>
    <w:rsid w:val="00E214F7"/>
    <w:rsid w:val="00E23B7C"/>
    <w:rsid w:val="00E24705"/>
    <w:rsid w:val="00E3393E"/>
    <w:rsid w:val="00E36954"/>
    <w:rsid w:val="00E37773"/>
    <w:rsid w:val="00E425ED"/>
    <w:rsid w:val="00E42D47"/>
    <w:rsid w:val="00E43051"/>
    <w:rsid w:val="00E43233"/>
    <w:rsid w:val="00E43983"/>
    <w:rsid w:val="00E45FD4"/>
    <w:rsid w:val="00E47730"/>
    <w:rsid w:val="00E5287E"/>
    <w:rsid w:val="00E5338C"/>
    <w:rsid w:val="00E53E30"/>
    <w:rsid w:val="00E57593"/>
    <w:rsid w:val="00E60C28"/>
    <w:rsid w:val="00E656EA"/>
    <w:rsid w:val="00E65B68"/>
    <w:rsid w:val="00E674CF"/>
    <w:rsid w:val="00E7463C"/>
    <w:rsid w:val="00E74A90"/>
    <w:rsid w:val="00E74CC3"/>
    <w:rsid w:val="00E754D7"/>
    <w:rsid w:val="00E77422"/>
    <w:rsid w:val="00E80EB2"/>
    <w:rsid w:val="00E81DF7"/>
    <w:rsid w:val="00E84E03"/>
    <w:rsid w:val="00E86B22"/>
    <w:rsid w:val="00E90198"/>
    <w:rsid w:val="00E91330"/>
    <w:rsid w:val="00E9372C"/>
    <w:rsid w:val="00E94D03"/>
    <w:rsid w:val="00EA07A8"/>
    <w:rsid w:val="00EA09FD"/>
    <w:rsid w:val="00EA445A"/>
    <w:rsid w:val="00EA4C27"/>
    <w:rsid w:val="00EB2D8D"/>
    <w:rsid w:val="00EB6B48"/>
    <w:rsid w:val="00EC0097"/>
    <w:rsid w:val="00EC1948"/>
    <w:rsid w:val="00EC29B0"/>
    <w:rsid w:val="00EC3F64"/>
    <w:rsid w:val="00EC5B8B"/>
    <w:rsid w:val="00ED2906"/>
    <w:rsid w:val="00ED4D6B"/>
    <w:rsid w:val="00ED6123"/>
    <w:rsid w:val="00ED625F"/>
    <w:rsid w:val="00EE1E71"/>
    <w:rsid w:val="00EE29ED"/>
    <w:rsid w:val="00EE3C29"/>
    <w:rsid w:val="00EE5959"/>
    <w:rsid w:val="00EE68F1"/>
    <w:rsid w:val="00EE6B12"/>
    <w:rsid w:val="00EE6B6E"/>
    <w:rsid w:val="00EF3312"/>
    <w:rsid w:val="00EF3A66"/>
    <w:rsid w:val="00EF712D"/>
    <w:rsid w:val="00F0103E"/>
    <w:rsid w:val="00F019AB"/>
    <w:rsid w:val="00F0283F"/>
    <w:rsid w:val="00F07000"/>
    <w:rsid w:val="00F11A42"/>
    <w:rsid w:val="00F14B05"/>
    <w:rsid w:val="00F1516B"/>
    <w:rsid w:val="00F153FD"/>
    <w:rsid w:val="00F15AD5"/>
    <w:rsid w:val="00F166EE"/>
    <w:rsid w:val="00F20701"/>
    <w:rsid w:val="00F2150B"/>
    <w:rsid w:val="00F259CB"/>
    <w:rsid w:val="00F2735C"/>
    <w:rsid w:val="00F27B39"/>
    <w:rsid w:val="00F3305C"/>
    <w:rsid w:val="00F372DF"/>
    <w:rsid w:val="00F4172C"/>
    <w:rsid w:val="00F43F16"/>
    <w:rsid w:val="00F441C6"/>
    <w:rsid w:val="00F4423B"/>
    <w:rsid w:val="00F44E90"/>
    <w:rsid w:val="00F4763A"/>
    <w:rsid w:val="00F502E0"/>
    <w:rsid w:val="00F50421"/>
    <w:rsid w:val="00F5167F"/>
    <w:rsid w:val="00F55428"/>
    <w:rsid w:val="00F555B8"/>
    <w:rsid w:val="00F55B32"/>
    <w:rsid w:val="00F568A3"/>
    <w:rsid w:val="00F609A5"/>
    <w:rsid w:val="00F60A9C"/>
    <w:rsid w:val="00F60FD1"/>
    <w:rsid w:val="00F65372"/>
    <w:rsid w:val="00F7053B"/>
    <w:rsid w:val="00F70D4C"/>
    <w:rsid w:val="00F750D8"/>
    <w:rsid w:val="00F812BC"/>
    <w:rsid w:val="00F84568"/>
    <w:rsid w:val="00F86B2B"/>
    <w:rsid w:val="00F87BEE"/>
    <w:rsid w:val="00F90E60"/>
    <w:rsid w:val="00F91DCC"/>
    <w:rsid w:val="00F92785"/>
    <w:rsid w:val="00F93C41"/>
    <w:rsid w:val="00F93D2C"/>
    <w:rsid w:val="00F95981"/>
    <w:rsid w:val="00F97487"/>
    <w:rsid w:val="00FA15E0"/>
    <w:rsid w:val="00FA3D93"/>
    <w:rsid w:val="00FA42FC"/>
    <w:rsid w:val="00FA4B81"/>
    <w:rsid w:val="00FA5383"/>
    <w:rsid w:val="00FB2BE2"/>
    <w:rsid w:val="00FB35BB"/>
    <w:rsid w:val="00FB3702"/>
    <w:rsid w:val="00FB3D92"/>
    <w:rsid w:val="00FB580E"/>
    <w:rsid w:val="00FC1C0D"/>
    <w:rsid w:val="00FC3BE3"/>
    <w:rsid w:val="00FC5E76"/>
    <w:rsid w:val="00FC6F62"/>
    <w:rsid w:val="00FD12F2"/>
    <w:rsid w:val="00FD164E"/>
    <w:rsid w:val="00FD2BD8"/>
    <w:rsid w:val="00FD3F83"/>
    <w:rsid w:val="00FD788B"/>
    <w:rsid w:val="00FD7B19"/>
    <w:rsid w:val="00FE27FB"/>
    <w:rsid w:val="00FE2AEA"/>
    <w:rsid w:val="00FE3983"/>
    <w:rsid w:val="00FF0CDC"/>
    <w:rsid w:val="00FF1E7E"/>
    <w:rsid w:val="00FF3277"/>
    <w:rsid w:val="00FF6FDD"/>
    <w:rsid w:val="00FF7658"/>
    <w:rsid w:val="1ABA7BFE"/>
    <w:rsid w:val="1EF47BD2"/>
    <w:rsid w:val="2BB01E27"/>
    <w:rsid w:val="31F91DF0"/>
    <w:rsid w:val="4FA76733"/>
    <w:rsid w:val="55F82D7A"/>
    <w:rsid w:val="5CED345F"/>
    <w:rsid w:val="7ACC02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qFormat="1" w:unhideWhenUsed="0" w:uiPriority="99" w:semiHidden="0" w:name="List Number 2"/>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link w:val="26"/>
    <w:qFormat/>
    <w:uiPriority w:val="99"/>
    <w:pPr>
      <w:keepNext/>
      <w:numPr>
        <w:ilvl w:val="0"/>
        <w:numId w:val="1"/>
      </w:numPr>
      <w:spacing w:before="120" w:after="120"/>
      <w:outlineLvl w:val="0"/>
    </w:pPr>
    <w:rPr>
      <w:rFonts w:ascii="Arial" w:hAnsi="Arial"/>
      <w:b/>
      <w:bCs/>
      <w:caps/>
      <w:sz w:val="22"/>
      <w:lang w:eastAsia="it-IT"/>
    </w:rPr>
  </w:style>
  <w:style w:type="paragraph" w:styleId="4">
    <w:name w:val="heading 2"/>
    <w:basedOn w:val="2"/>
    <w:next w:val="3"/>
    <w:link w:val="27"/>
    <w:qFormat/>
    <w:uiPriority w:val="99"/>
    <w:pPr>
      <w:numPr>
        <w:ilvl w:val="1"/>
      </w:numPr>
      <w:tabs>
        <w:tab w:val="left" w:pos="780"/>
      </w:tabs>
      <w:ind w:left="780" w:hanging="360"/>
      <w:outlineLvl w:val="1"/>
    </w:pPr>
    <w:rPr>
      <w:sz w:val="24"/>
    </w:rPr>
  </w:style>
  <w:style w:type="paragraph" w:styleId="5">
    <w:name w:val="heading 3"/>
    <w:basedOn w:val="1"/>
    <w:next w:val="6"/>
    <w:link w:val="28"/>
    <w:qFormat/>
    <w:uiPriority w:val="99"/>
    <w:pPr>
      <w:keepNext/>
      <w:widowControl/>
      <w:numPr>
        <w:ilvl w:val="2"/>
        <w:numId w:val="1"/>
      </w:numPr>
      <w:tabs>
        <w:tab w:val="left" w:pos="1418"/>
      </w:tabs>
      <w:spacing w:before="120" w:after="120"/>
      <w:outlineLvl w:val="2"/>
    </w:pPr>
    <w:rPr>
      <w:rFonts w:ascii="Arial" w:hAnsi="Arial"/>
      <w:b/>
      <w:smallCaps/>
      <w:kern w:val="0"/>
      <w:sz w:val="20"/>
      <w:szCs w:val="20"/>
      <w:lang w:eastAsia="it-IT"/>
    </w:rPr>
  </w:style>
  <w:style w:type="paragraph" w:styleId="7">
    <w:name w:val="heading 4"/>
    <w:basedOn w:val="1"/>
    <w:next w:val="1"/>
    <w:link w:val="29"/>
    <w:qFormat/>
    <w:uiPriority w:val="99"/>
    <w:pPr>
      <w:keepNext/>
      <w:widowControl/>
      <w:numPr>
        <w:ilvl w:val="3"/>
        <w:numId w:val="1"/>
      </w:numPr>
      <w:tabs>
        <w:tab w:val="left" w:pos="1418"/>
        <w:tab w:val="right" w:pos="10206"/>
      </w:tabs>
      <w:spacing w:after="120" w:line="240" w:lineRule="atLeast"/>
      <w:outlineLvl w:val="3"/>
    </w:pPr>
    <w:rPr>
      <w:rFonts w:ascii="Arial" w:hAnsi="Arial" w:eastAsia="??"/>
      <w:kern w:val="0"/>
      <w:sz w:val="18"/>
      <w:szCs w:val="20"/>
      <w:lang w:eastAsia="it-IT"/>
    </w:rPr>
  </w:style>
  <w:style w:type="character" w:default="1" w:styleId="20">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Text"/>
    <w:basedOn w:val="1"/>
    <w:qFormat/>
    <w:uiPriority w:val="99"/>
    <w:pPr>
      <w:widowControl/>
      <w:spacing w:after="240" w:line="312" w:lineRule="atLeast"/>
      <w:jc w:val="left"/>
    </w:pPr>
    <w:rPr>
      <w:kern w:val="0"/>
      <w:sz w:val="24"/>
      <w:szCs w:val="20"/>
      <w:lang w:val="en-GB" w:eastAsia="ja-JP"/>
    </w:rPr>
  </w:style>
  <w:style w:type="paragraph" w:styleId="6">
    <w:name w:val="Body Text"/>
    <w:basedOn w:val="1"/>
    <w:link w:val="47"/>
    <w:qFormat/>
    <w:uiPriority w:val="99"/>
    <w:pPr>
      <w:spacing w:after="120"/>
    </w:pPr>
  </w:style>
  <w:style w:type="paragraph" w:styleId="8">
    <w:name w:val="annotation subject"/>
    <w:basedOn w:val="9"/>
    <w:next w:val="9"/>
    <w:link w:val="32"/>
    <w:semiHidden/>
    <w:qFormat/>
    <w:uiPriority w:val="99"/>
    <w:rPr>
      <w:b/>
      <w:bCs/>
    </w:rPr>
  </w:style>
  <w:style w:type="paragraph" w:styleId="9">
    <w:name w:val="annotation text"/>
    <w:basedOn w:val="1"/>
    <w:link w:val="31"/>
    <w:semiHidden/>
    <w:qFormat/>
    <w:uiPriority w:val="99"/>
    <w:pPr>
      <w:jc w:val="left"/>
    </w:pPr>
  </w:style>
  <w:style w:type="paragraph" w:styleId="10">
    <w:name w:val="List Number 2"/>
    <w:basedOn w:val="1"/>
    <w:qFormat/>
    <w:uiPriority w:val="99"/>
    <w:pPr>
      <w:widowControl/>
      <w:numPr>
        <w:ilvl w:val="0"/>
        <w:numId w:val="2"/>
      </w:numPr>
      <w:tabs>
        <w:tab w:val="left" w:pos="851"/>
        <w:tab w:val="right" w:pos="10206"/>
        <w:tab w:val="clear" w:pos="780"/>
      </w:tabs>
      <w:spacing w:after="120" w:line="240" w:lineRule="atLeast"/>
      <w:ind w:left="851" w:hanging="426"/>
    </w:pPr>
    <w:rPr>
      <w:rFonts w:ascii="Arial" w:hAnsi="Arial"/>
      <w:kern w:val="0"/>
      <w:sz w:val="18"/>
      <w:szCs w:val="20"/>
      <w:lang w:eastAsia="it-IT"/>
    </w:rPr>
  </w:style>
  <w:style w:type="paragraph" w:styleId="11">
    <w:name w:val="Body Text 3"/>
    <w:basedOn w:val="1"/>
    <w:link w:val="45"/>
    <w:qFormat/>
    <w:uiPriority w:val="99"/>
    <w:rPr>
      <w:sz w:val="28"/>
    </w:rPr>
  </w:style>
  <w:style w:type="paragraph" w:styleId="12">
    <w:name w:val="Plain Text"/>
    <w:basedOn w:val="1"/>
    <w:link w:val="34"/>
    <w:qFormat/>
    <w:uiPriority w:val="99"/>
    <w:rPr>
      <w:rFonts w:ascii="宋体" w:hAnsi="Courier New"/>
      <w:szCs w:val="20"/>
    </w:rPr>
  </w:style>
  <w:style w:type="paragraph" w:styleId="13">
    <w:name w:val="Date"/>
    <w:basedOn w:val="1"/>
    <w:next w:val="1"/>
    <w:link w:val="42"/>
    <w:qFormat/>
    <w:uiPriority w:val="99"/>
    <w:pPr>
      <w:ind w:left="100" w:leftChars="2500"/>
    </w:pPr>
  </w:style>
  <w:style w:type="paragraph" w:styleId="14">
    <w:name w:val="Balloon Text"/>
    <w:basedOn w:val="1"/>
    <w:link w:val="36"/>
    <w:qFormat/>
    <w:uiPriority w:val="99"/>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link w:val="46"/>
    <w:qFormat/>
    <w:uiPriority w:val="99"/>
    <w:pPr>
      <w:tabs>
        <w:tab w:val="center" w:pos="4153"/>
        <w:tab w:val="right" w:pos="8306"/>
      </w:tabs>
      <w:snapToGrid w:val="0"/>
      <w:jc w:val="center"/>
    </w:pPr>
    <w:rPr>
      <w:sz w:val="18"/>
      <w:szCs w:val="18"/>
    </w:rPr>
  </w:style>
  <w:style w:type="paragraph" w:styleId="17">
    <w:name w:val="toc 1"/>
    <w:basedOn w:val="1"/>
    <w:next w:val="1"/>
    <w:qFormat/>
    <w:uiPriority w:val="99"/>
  </w:style>
  <w:style w:type="paragraph" w:styleId="18">
    <w:name w:val="toc 2"/>
    <w:basedOn w:val="1"/>
    <w:next w:val="1"/>
    <w:qFormat/>
    <w:uiPriority w:val="99"/>
    <w:pPr>
      <w:tabs>
        <w:tab w:val="left" w:pos="945"/>
        <w:tab w:val="right" w:leader="dot" w:pos="9628"/>
      </w:tabs>
      <w:ind w:left="420" w:leftChars="200"/>
    </w:pPr>
  </w:style>
  <w:style w:type="paragraph" w:styleId="19">
    <w:name w:val="HTML Preformatted"/>
    <w:basedOn w:val="1"/>
    <w:link w:val="3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21">
    <w:name w:val="page number"/>
    <w:qFormat/>
    <w:uiPriority w:val="99"/>
    <w:rPr>
      <w:rFonts w:cs="Times New Roman"/>
    </w:rPr>
  </w:style>
  <w:style w:type="character" w:styleId="22">
    <w:name w:val="Hyperlink"/>
    <w:qFormat/>
    <w:uiPriority w:val="99"/>
    <w:rPr>
      <w:rFonts w:cs="Times New Roman"/>
      <w:color w:val="0000FF"/>
      <w:u w:val="single"/>
    </w:rPr>
  </w:style>
  <w:style w:type="character" w:styleId="23">
    <w:name w:val="annotation reference"/>
    <w:semiHidden/>
    <w:qFormat/>
    <w:uiPriority w:val="99"/>
    <w:rPr>
      <w:rFonts w:cs="Times New Roman"/>
      <w:sz w:val="21"/>
      <w:szCs w:val="21"/>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6">
    <w:name w:val="标题 1 Char"/>
    <w:link w:val="2"/>
    <w:qFormat/>
    <w:locked/>
    <w:uiPriority w:val="99"/>
    <w:rPr>
      <w:rFonts w:ascii="Arial" w:hAnsi="Arial"/>
      <w:b/>
      <w:bCs/>
      <w:caps/>
      <w:kern w:val="0"/>
      <w:sz w:val="22"/>
      <w:szCs w:val="20"/>
      <w:lang w:val="en-GB" w:eastAsia="it-IT"/>
    </w:rPr>
  </w:style>
  <w:style w:type="character" w:customStyle="1" w:styleId="27">
    <w:name w:val="标题 2 Char"/>
    <w:link w:val="4"/>
    <w:qFormat/>
    <w:locked/>
    <w:uiPriority w:val="99"/>
    <w:rPr>
      <w:rFonts w:ascii="Arial" w:hAnsi="Arial"/>
      <w:b/>
      <w:bCs/>
      <w:caps/>
      <w:kern w:val="0"/>
      <w:sz w:val="24"/>
      <w:szCs w:val="20"/>
      <w:lang w:val="en-GB" w:eastAsia="it-IT"/>
    </w:rPr>
  </w:style>
  <w:style w:type="character" w:customStyle="1" w:styleId="28">
    <w:name w:val="标题 3 Char"/>
    <w:link w:val="5"/>
    <w:qFormat/>
    <w:locked/>
    <w:uiPriority w:val="99"/>
    <w:rPr>
      <w:rFonts w:ascii="Arial" w:hAnsi="Arial"/>
      <w:b/>
      <w:smallCaps/>
      <w:kern w:val="0"/>
      <w:sz w:val="20"/>
      <w:szCs w:val="20"/>
      <w:lang w:eastAsia="it-IT"/>
    </w:rPr>
  </w:style>
  <w:style w:type="character" w:customStyle="1" w:styleId="29">
    <w:name w:val="标题 4 Char"/>
    <w:link w:val="7"/>
    <w:qFormat/>
    <w:locked/>
    <w:uiPriority w:val="99"/>
    <w:rPr>
      <w:rFonts w:ascii="Arial" w:hAnsi="Arial" w:eastAsia="??"/>
      <w:kern w:val="0"/>
      <w:sz w:val="18"/>
      <w:szCs w:val="20"/>
      <w:lang w:eastAsia="it-IT"/>
    </w:rPr>
  </w:style>
  <w:style w:type="character" w:customStyle="1" w:styleId="30">
    <w:name w:val="Body Text Char"/>
    <w:qFormat/>
    <w:locked/>
    <w:uiPriority w:val="99"/>
    <w:rPr>
      <w:rFonts w:eastAsia="宋体" w:cs="Times New Roman"/>
      <w:kern w:val="2"/>
      <w:sz w:val="24"/>
      <w:lang w:val="en-US" w:eastAsia="zh-CN"/>
    </w:rPr>
  </w:style>
  <w:style w:type="character" w:customStyle="1" w:styleId="31">
    <w:name w:val="批注文字 Char"/>
    <w:link w:val="9"/>
    <w:semiHidden/>
    <w:qFormat/>
    <w:locked/>
    <w:uiPriority w:val="99"/>
    <w:rPr>
      <w:rFonts w:cs="Times New Roman"/>
      <w:sz w:val="24"/>
      <w:szCs w:val="24"/>
    </w:rPr>
  </w:style>
  <w:style w:type="character" w:customStyle="1" w:styleId="32">
    <w:name w:val="批注主题 Char"/>
    <w:link w:val="8"/>
    <w:semiHidden/>
    <w:qFormat/>
    <w:locked/>
    <w:uiPriority w:val="99"/>
    <w:rPr>
      <w:rFonts w:cs="Times New Roman"/>
      <w:b/>
      <w:bCs/>
      <w:sz w:val="24"/>
      <w:szCs w:val="24"/>
    </w:rPr>
  </w:style>
  <w:style w:type="character" w:customStyle="1" w:styleId="33">
    <w:name w:val="Body Text 3 Char"/>
    <w:qFormat/>
    <w:locked/>
    <w:uiPriority w:val="99"/>
    <w:rPr>
      <w:rFonts w:cs="Times New Roman"/>
      <w:kern w:val="2"/>
      <w:sz w:val="24"/>
    </w:rPr>
  </w:style>
  <w:style w:type="character" w:customStyle="1" w:styleId="34">
    <w:name w:val="纯文本 Char"/>
    <w:link w:val="12"/>
    <w:qFormat/>
    <w:locked/>
    <w:uiPriority w:val="99"/>
    <w:rPr>
      <w:rFonts w:ascii="宋体" w:hAnsi="Courier New" w:cs="Times New Roman"/>
      <w:kern w:val="2"/>
      <w:sz w:val="21"/>
    </w:rPr>
  </w:style>
  <w:style w:type="character" w:customStyle="1" w:styleId="35">
    <w:name w:val="Date Char"/>
    <w:qFormat/>
    <w:locked/>
    <w:uiPriority w:val="99"/>
    <w:rPr>
      <w:rFonts w:cs="Times New Roman"/>
      <w:kern w:val="2"/>
      <w:sz w:val="24"/>
    </w:rPr>
  </w:style>
  <w:style w:type="character" w:customStyle="1" w:styleId="36">
    <w:name w:val="批注框文本 Char"/>
    <w:link w:val="14"/>
    <w:qFormat/>
    <w:locked/>
    <w:uiPriority w:val="99"/>
    <w:rPr>
      <w:rFonts w:cs="Times New Roman"/>
      <w:kern w:val="2"/>
      <w:sz w:val="18"/>
      <w:szCs w:val="18"/>
    </w:rPr>
  </w:style>
  <w:style w:type="character" w:customStyle="1" w:styleId="37">
    <w:name w:val="页脚 Char"/>
    <w:link w:val="15"/>
    <w:qFormat/>
    <w:locked/>
    <w:uiPriority w:val="99"/>
    <w:rPr>
      <w:rFonts w:cs="Times New Roman"/>
      <w:kern w:val="2"/>
      <w:sz w:val="18"/>
      <w:szCs w:val="18"/>
    </w:rPr>
  </w:style>
  <w:style w:type="character" w:customStyle="1" w:styleId="38">
    <w:name w:val="Header Char"/>
    <w:semiHidden/>
    <w:qFormat/>
    <w:locked/>
    <w:uiPriority w:val="99"/>
    <w:rPr>
      <w:rFonts w:cs="Times New Roman"/>
      <w:kern w:val="0"/>
      <w:sz w:val="18"/>
      <w:szCs w:val="18"/>
    </w:rPr>
  </w:style>
  <w:style w:type="character" w:customStyle="1" w:styleId="39">
    <w:name w:val="HTML 预设格式 Char"/>
    <w:link w:val="19"/>
    <w:qFormat/>
    <w:locked/>
    <w:uiPriority w:val="99"/>
    <w:rPr>
      <w:rFonts w:ascii="宋体" w:eastAsia="宋体" w:cs="Times New Roman"/>
      <w:sz w:val="24"/>
      <w:szCs w:val="24"/>
    </w:rPr>
  </w:style>
  <w:style w:type="paragraph" w:styleId="40">
    <w:name w:val="List Paragraph"/>
    <w:basedOn w:val="1"/>
    <w:qFormat/>
    <w:uiPriority w:val="99"/>
    <w:pPr>
      <w:ind w:firstLine="420" w:firstLineChars="200"/>
    </w:pPr>
  </w:style>
  <w:style w:type="paragraph" w:customStyle="1" w:styleId="41">
    <w:name w:val="Revision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日期 Char"/>
    <w:link w:val="13"/>
    <w:qFormat/>
    <w:locked/>
    <w:uiPriority w:val="99"/>
    <w:rPr>
      <w:rFonts w:cs="Times New Roman"/>
      <w:kern w:val="2"/>
      <w:sz w:val="24"/>
      <w:szCs w:val="24"/>
    </w:rPr>
  </w:style>
  <w:style w:type="paragraph" w:customStyle="1" w:styleId="43">
    <w:name w:val="SOP body 1"/>
    <w:basedOn w:val="44"/>
    <w:qFormat/>
    <w:uiPriority w:val="99"/>
    <w:pPr>
      <w:numPr>
        <w:ilvl w:val="2"/>
      </w:numPr>
      <w:tabs>
        <w:tab w:val="left" w:pos="567"/>
        <w:tab w:val="left" w:pos="780"/>
        <w:tab w:val="left" w:pos="1208"/>
        <w:tab w:val="left" w:pos="1930"/>
      </w:tabs>
      <w:ind w:left="780" w:firstLine="0"/>
    </w:pPr>
  </w:style>
  <w:style w:type="paragraph" w:customStyle="1" w:styleId="44">
    <w:name w:val="SOP body"/>
    <w:basedOn w:val="1"/>
    <w:qFormat/>
    <w:uiPriority w:val="99"/>
    <w:pPr>
      <w:widowControl/>
      <w:numPr>
        <w:ilvl w:val="0"/>
        <w:numId w:val="3"/>
      </w:numPr>
      <w:tabs>
        <w:tab w:val="left" w:pos="1208"/>
      </w:tabs>
      <w:spacing w:line="312" w:lineRule="auto"/>
    </w:pPr>
    <w:rPr>
      <w:rFonts w:ascii="Arial" w:hAnsi="Arial" w:cs="Arial"/>
      <w:kern w:val="0"/>
      <w:sz w:val="20"/>
      <w:lang w:val="en-GB" w:eastAsia="en-US"/>
    </w:rPr>
  </w:style>
  <w:style w:type="character" w:customStyle="1" w:styleId="45">
    <w:name w:val="正文文本 3 Char"/>
    <w:link w:val="11"/>
    <w:qFormat/>
    <w:locked/>
    <w:uiPriority w:val="99"/>
    <w:rPr>
      <w:rFonts w:cs="Times New Roman"/>
      <w:kern w:val="2"/>
      <w:sz w:val="24"/>
      <w:szCs w:val="24"/>
    </w:rPr>
  </w:style>
  <w:style w:type="character" w:customStyle="1" w:styleId="46">
    <w:name w:val="页眉 Char"/>
    <w:link w:val="16"/>
    <w:qFormat/>
    <w:locked/>
    <w:uiPriority w:val="99"/>
    <w:rPr>
      <w:rFonts w:cs="Times New Roman"/>
      <w:kern w:val="2"/>
      <w:sz w:val="18"/>
      <w:szCs w:val="18"/>
    </w:rPr>
  </w:style>
  <w:style w:type="character" w:customStyle="1" w:styleId="47">
    <w:name w:val="正文文本 Char"/>
    <w:link w:val="6"/>
    <w:qFormat/>
    <w:locked/>
    <w:uiPriority w:val="99"/>
    <w:rPr>
      <w:rFonts w:cs="Times New Roman"/>
      <w:kern w:val="2"/>
      <w:sz w:val="24"/>
      <w:szCs w:val="24"/>
    </w:rPr>
  </w:style>
  <w:style w:type="paragraph" w:customStyle="1" w:styleId="48">
    <w:name w:val="Table text"/>
    <w:basedOn w:val="1"/>
    <w:qFormat/>
    <w:uiPriority w:val="99"/>
    <w:pPr>
      <w:widowControl/>
      <w:spacing w:before="120" w:after="120"/>
    </w:pPr>
    <w:rPr>
      <w:kern w:val="0"/>
      <w:sz w:val="24"/>
      <w:szCs w:val="20"/>
      <w:lang w:eastAsia="en-US"/>
    </w:rPr>
  </w:style>
  <w:style w:type="character" w:customStyle="1" w:styleId="49">
    <w:name w:val="Char Char4"/>
    <w:qFormat/>
    <w:uiPriority w:val="99"/>
    <w:rPr>
      <w:kern w:val="2"/>
      <w:sz w:val="24"/>
    </w:rPr>
  </w:style>
  <w:style w:type="character" w:customStyle="1" w:styleId="50">
    <w:name w:val="Char Char5"/>
    <w:qFormat/>
    <w:uiPriority w:val="99"/>
    <w:rPr>
      <w:kern w:val="2"/>
      <w:sz w:val="18"/>
    </w:rPr>
  </w:style>
  <w:style w:type="paragraph" w:customStyle="1" w:styleId="5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AppData/Roaming/Tencent/Users/1843267784/QQ/WinTemp/RichOle/08Q(%257b5ATB1)Y%255d3%2560R5KQ8PPG.png" TargetMode="Externa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812</Words>
  <Characters>4629</Characters>
  <Lines>38</Lines>
  <Paragraphs>10</Paragraphs>
  <TotalTime>40</TotalTime>
  <ScaleCrop>false</ScaleCrop>
  <LinksUpToDate>false</LinksUpToDate>
  <CharactersWithSpaces>5431</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2014-01-10T05:40:00Z</dcterms:created>
  <dc:creator>walkinnet</dc:creator>
  <cp:lastModifiedBy>Administrator</cp:lastModifiedBy>
  <cp:lastPrinted>2018-09-20T03:33:34Z</cp:lastPrinted>
  <dcterms:modified xsi:type="dcterms:W3CDTF">2018-09-20T06:48:06Z</dcterms:modified>
  <dc:title>分发部门：</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