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4532399"/>
      <w:bookmarkStart w:id="2" w:name="_Toc483400307"/>
      <w:bookmarkStart w:id="3" w:name="_Toc483227223"/>
      <w:bookmarkStart w:id="4" w:name="_Toc482717189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菌苗楼单螺杆冷水机组</w:t>
      </w:r>
      <w:r>
        <w:rPr>
          <w:rFonts w:hint="eastAsia"/>
          <w:b/>
          <w:sz w:val="28"/>
          <w:szCs w:val="28"/>
          <w:lang w:eastAsia="zh-CN"/>
        </w:rPr>
        <w:t>冷却塔</w:t>
      </w:r>
      <w:permEnd w:id="0"/>
      <w:r>
        <w:rPr>
          <w:rFonts w:hint="eastAsia"/>
          <w:b/>
          <w:sz w:val="28"/>
          <w:szCs w:val="28"/>
          <w:lang w:eastAsia="zh-CN"/>
        </w:rPr>
        <w:t>用户需求说明（</w:t>
      </w:r>
      <w:r>
        <w:rPr>
          <w:b/>
          <w:sz w:val="28"/>
          <w:szCs w:val="28"/>
          <w:lang w:eastAsia="zh-CN"/>
        </w:rPr>
        <w:t>URS</w:t>
      </w:r>
      <w:r>
        <w:rPr>
          <w:rFonts w:hint="eastAsia"/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Lines="50"/>
        <w:jc w:val="both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spacing w:afterLines="50"/>
        <w:rPr>
          <w:b/>
          <w:szCs w:val="21"/>
          <w:lang w:eastAsia="zh-CN"/>
        </w:rPr>
      </w:pPr>
    </w:p>
    <w:tbl>
      <w:tblPr>
        <w:tblStyle w:val="23"/>
        <w:tblW w:w="10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1"/>
        <w:gridCol w:w="5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1" w:type="dxa"/>
            <w:shd w:val="clear" w:color="auto" w:fill="D9D9D9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设备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设施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系统名称：</w:t>
            </w:r>
          </w:p>
        </w:tc>
        <w:tc>
          <w:tcPr>
            <w:tcW w:w="5282" w:type="dxa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2" w:edGrp="everyone"/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菌苗楼单螺杆冷水机组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冷却塔</w:t>
            </w:r>
            <w:perm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1" w:type="dxa"/>
            <w:shd w:val="clear" w:color="auto" w:fill="D9D9D9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用户需求编号：</w:t>
            </w:r>
          </w:p>
        </w:tc>
        <w:tc>
          <w:tcPr>
            <w:tcW w:w="5282" w:type="dxa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3" w:edGrp="everyone"/>
            <w:r>
              <w:rPr>
                <w:b w:val="0"/>
                <w:sz w:val="21"/>
                <w:szCs w:val="21"/>
                <w:lang w:eastAsia="zh-CN"/>
              </w:rPr>
              <w:t>URS</w:t>
            </w:r>
            <w:r>
              <w:rPr>
                <w:b w:val="0"/>
                <w:color w:val="auto"/>
                <w:sz w:val="21"/>
                <w:szCs w:val="21"/>
                <w:lang w:eastAsia="zh-CN"/>
              </w:rPr>
              <w:t>—09—CTSCUJMB—001</w:t>
            </w:r>
            <w:r>
              <w:rPr>
                <w:rFonts w:ascii="宋体" w:hAnsi="宋体" w:cs="宋体"/>
                <w:iCs/>
                <w:vanish/>
                <w:color w:val="FF0000"/>
                <w:szCs w:val="21"/>
                <w:lang w:eastAsia="zh-CN"/>
              </w:rPr>
              <w:t>_</w:t>
            </w:r>
            <w:perm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1" w:type="dxa"/>
            <w:shd w:val="clear" w:color="auto" w:fill="D9D9D9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用户需求修订号：</w:t>
            </w:r>
          </w:p>
        </w:tc>
        <w:tc>
          <w:tcPr>
            <w:tcW w:w="5282" w:type="dxa"/>
            <w:vAlign w:val="center"/>
          </w:tcPr>
          <w:p>
            <w:pPr>
              <w:pStyle w:val="31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4" w:edGrp="everyone"/>
            <w:r>
              <w:rPr>
                <w:b w:val="0"/>
                <w:color w:val="auto"/>
                <w:sz w:val="21"/>
                <w:szCs w:val="21"/>
                <w:lang w:eastAsia="zh-CN"/>
              </w:rPr>
              <w:t>00</w:t>
            </w:r>
            <w:permEnd w:id="4"/>
          </w:p>
        </w:tc>
      </w:tr>
    </w:tbl>
    <w:p>
      <w:pPr>
        <w:pStyle w:val="31"/>
        <w:widowControl w:val="0"/>
        <w:spacing w:afterLines="50" w:line="240" w:lineRule="auto"/>
        <w:rPr>
          <w:sz w:val="21"/>
          <w:szCs w:val="21"/>
          <w:lang w:eastAsia="zh-CN"/>
        </w:rPr>
      </w:pPr>
    </w:p>
    <w:p>
      <w:pPr>
        <w:pStyle w:val="31"/>
        <w:widowControl w:val="0"/>
        <w:spacing w:afterLines="50" w:line="240" w:lineRule="auto"/>
        <w:rPr>
          <w:sz w:val="21"/>
          <w:szCs w:val="21"/>
          <w:lang w:eastAsia="zh-CN"/>
        </w:rPr>
      </w:pPr>
    </w:p>
    <w:tbl>
      <w:tblPr>
        <w:tblStyle w:val="23"/>
        <w:tblW w:w="105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2334"/>
        <w:gridCol w:w="2604"/>
        <w:gridCol w:w="2239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起草、审核及批准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部</w:t>
            </w:r>
            <w:r>
              <w:rPr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责任人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签</w:t>
            </w:r>
            <w:r>
              <w:rPr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日</w:t>
            </w:r>
            <w:r>
              <w:rPr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b/>
                <w:iCs/>
                <w:szCs w:val="21"/>
                <w:lang w:eastAsia="zh-CN"/>
              </w:rPr>
            </w:pPr>
            <w:permStart w:id="5" w:edGrp="everyone"/>
            <w:r>
              <w:rPr>
                <w:rFonts w:hint="eastAsia"/>
                <w:b/>
                <w:iCs/>
                <w:szCs w:val="21"/>
                <w:lang w:eastAsia="zh-CN"/>
              </w:rPr>
              <w:t>起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草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高谋兵</w:t>
            </w:r>
            <w:bookmarkStart w:id="52" w:name="_GoBack"/>
            <w:bookmarkEnd w:id="52"/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permEnd w:id="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b/>
                <w:iCs/>
                <w:szCs w:val="21"/>
                <w:lang w:eastAsia="zh-CN"/>
              </w:rPr>
            </w:pPr>
            <w:permStart w:id="6" w:edGrp="everyone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徐</w:t>
            </w:r>
            <w:r>
              <w:rPr>
                <w:iCs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iCs/>
                <w:szCs w:val="21"/>
                <w:lang w:eastAsia="zh-CN"/>
              </w:rPr>
              <w:t>砾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安全管理部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冯建强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permEnd w:id="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b/>
                <w:iCs/>
                <w:szCs w:val="21"/>
                <w:lang w:eastAsia="zh-CN"/>
              </w:rPr>
            </w:pPr>
            <w:permStart w:id="7" w:edGrp="everyone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鲁</w:t>
            </w:r>
            <w:r>
              <w:rPr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潇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permEnd w:id="7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b/>
                <w:iCs/>
                <w:szCs w:val="21"/>
                <w:lang w:eastAsia="zh-CN"/>
              </w:rPr>
            </w:pPr>
            <w:permStart w:id="8" w:edGrp="everyone"/>
            <w:r>
              <w:rPr>
                <w:rFonts w:hint="eastAsia"/>
                <w:b/>
                <w:iCs/>
                <w:szCs w:val="21"/>
                <w:lang w:eastAsia="zh-CN"/>
              </w:rPr>
              <w:t>批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准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34" w:rightChars="16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聂希霖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permEnd w:id="8"/>
    </w:tbl>
    <w:p>
      <w:pPr>
        <w:pStyle w:val="31"/>
        <w:widowControl w:val="0"/>
        <w:spacing w:afterLines="50" w:line="24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rFonts w:hint="eastAsia"/>
          <w:sz w:val="21"/>
          <w:szCs w:val="21"/>
          <w:lang w:val="zh-CN" w:eastAsia="zh-CN"/>
        </w:rPr>
        <w:t>目录</w:t>
      </w:r>
      <w:r>
        <w:rPr>
          <w:sz w:val="21"/>
          <w:szCs w:val="21"/>
          <w:lang w:val="zh-CN" w:eastAsia="zh-CN"/>
        </w:rPr>
        <w:t xml:space="preserve"> </w:t>
      </w:r>
    </w:p>
    <w:p>
      <w:pPr>
        <w:rPr>
          <w:i/>
          <w:color w:val="00B0F0"/>
          <w:lang w:val="zh-CN" w:eastAsia="zh-CN"/>
        </w:rPr>
      </w:pPr>
      <w:permStart w:id="9" w:edGrp="everyone"/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  <w:rFonts w:hint="eastAsia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系统描述</w:t>
      </w:r>
      <w:r>
        <w:tab/>
      </w:r>
      <w:r>
        <w:t>4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安装要求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电气、自动控制要求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安全要求</w:t>
      </w:r>
      <w:r>
        <w:tab/>
      </w:r>
      <w:r>
        <w:t>7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文件要求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服务要求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rFonts w:hint="eastAsia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9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p>
      <w:pPr>
        <w:rPr>
          <w:lang w:val="en-US" w:eastAsia="zh-CN"/>
        </w:rPr>
      </w:pPr>
    </w:p>
    <w:p>
      <w:pPr>
        <w:jc w:val="center"/>
        <w:outlineLvl w:val="0"/>
        <w:rPr>
          <w:b/>
          <w:lang w:eastAsia="zh-CN"/>
        </w:rPr>
      </w:pPr>
      <w:bookmarkStart w:id="7" w:name="_Toc522716114"/>
      <w:r>
        <w:rPr>
          <w:rFonts w:hint="eastAsia"/>
          <w:b/>
          <w:lang w:eastAsia="zh-CN"/>
        </w:rPr>
        <w:t>修订历史</w:t>
      </w:r>
      <w:bookmarkEnd w:id="6"/>
      <w:bookmarkEnd w:id="7"/>
    </w:p>
    <w:p>
      <w:pPr>
        <w:rPr>
          <w:b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941"/>
        <w:gridCol w:w="1772"/>
        <w:gridCol w:w="5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2" w:type="dxa"/>
            <w:shd w:val="clear" w:color="auto" w:fill="BFBFBF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版本</w:t>
            </w:r>
          </w:p>
        </w:tc>
        <w:tc>
          <w:tcPr>
            <w:tcW w:w="1941" w:type="dxa"/>
            <w:shd w:val="clear" w:color="auto" w:fill="BFBFBF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72" w:type="dxa"/>
            <w:shd w:val="clear" w:color="auto" w:fill="BFBFBF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作者</w:t>
            </w:r>
          </w:p>
        </w:tc>
        <w:tc>
          <w:tcPr>
            <w:tcW w:w="5028" w:type="dxa"/>
            <w:shd w:val="clear" w:color="auto" w:fill="BFBFBF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更新原因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2" w:type="dxa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permStart w:id="10" w:edGrp="everyone"/>
            <w:r>
              <w:rPr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1941" w:type="dxa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2019.02.15</w:t>
            </w:r>
          </w:p>
        </w:tc>
        <w:tc>
          <w:tcPr>
            <w:tcW w:w="1772" w:type="dxa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高谋兵</w:t>
            </w:r>
          </w:p>
        </w:tc>
        <w:tc>
          <w:tcPr>
            <w:tcW w:w="5028" w:type="dxa"/>
            <w:vAlign w:val="center"/>
          </w:tcPr>
          <w:p>
            <w:pPr>
              <w:pStyle w:val="34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新建</w:t>
            </w:r>
          </w:p>
        </w:tc>
      </w:tr>
      <w:permEnd w:id="10"/>
    </w:tbl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8" w:name="_Toc522716115"/>
      <w:bookmarkStart w:id="9" w:name="_Toc522107735"/>
      <w:r>
        <w:rPr>
          <w:rFonts w:hint="eastAsia" w:ascii="Times New Roman" w:hAnsi="Times New Roman"/>
          <w:b/>
        </w:rPr>
        <w:t>目的</w:t>
      </w:r>
      <w:bookmarkEnd w:id="8"/>
      <w:bookmarkEnd w:id="9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10" w:name="_Toc482370349"/>
      <w:bookmarkStart w:id="11" w:name="_Toc482370757"/>
      <w:bookmarkStart w:id="12" w:name="_Toc482370141"/>
      <w:bookmarkStart w:id="13" w:name="_Toc482370061"/>
      <w:bookmarkStart w:id="14" w:name="_Toc482359936"/>
      <w:bookmarkStart w:id="15" w:name="_Toc482625279"/>
      <w:bookmarkStart w:id="16" w:name="_Toc481702475"/>
      <w:bookmarkStart w:id="17" w:name="_Toc482360281"/>
      <w:bookmarkStart w:id="18" w:name="_Toc482369805"/>
      <w:r>
        <w:rPr>
          <w:rFonts w:hint="eastAsia"/>
          <w:szCs w:val="21"/>
          <w:lang w:eastAsia="zh-CN"/>
        </w:rPr>
        <w:t>本文件的目的是描述武汉生物制品研究所有限责任公司</w:t>
      </w:r>
      <w:permStart w:id="11" w:edGrp="everyone"/>
      <w:r>
        <w:rPr>
          <w:rFonts w:hint="eastAsia"/>
          <w:sz w:val="24"/>
          <w:szCs w:val="24"/>
          <w:lang w:eastAsia="zh-CN"/>
        </w:rPr>
        <w:t>菌苗楼单螺杆冷水机组冷却塔</w:t>
      </w:r>
      <w:permEnd w:id="11"/>
      <w:r>
        <w:rPr>
          <w:rFonts w:hint="eastAsia"/>
          <w:szCs w:val="21"/>
          <w:lang w:eastAsia="zh-CN"/>
        </w:rPr>
        <w:t>的用户需求说明（</w:t>
      </w:r>
      <w:r>
        <w:rPr>
          <w:szCs w:val="21"/>
          <w:lang w:eastAsia="zh-CN"/>
        </w:rPr>
        <w:t>URS</w:t>
      </w:r>
      <w:r>
        <w:rPr>
          <w:rFonts w:hint="eastAsia"/>
          <w:szCs w:val="21"/>
          <w:lang w:eastAsia="zh-CN"/>
        </w:rPr>
        <w:t>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6"/>
      <w:bookmarkStart w:id="20" w:name="_Toc522716116"/>
      <w:r>
        <w:rPr>
          <w:rFonts w:hint="eastAsia" w:ascii="Times New Roman" w:hAnsi="Times New Roman"/>
          <w:b/>
        </w:rPr>
        <w:t>范围</w:t>
      </w:r>
      <w:bookmarkEnd w:id="19"/>
      <w:bookmarkEnd w:id="20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</w:t>
      </w:r>
      <w:r>
        <w:rPr>
          <w:szCs w:val="21"/>
          <w:lang w:eastAsia="zh-CN"/>
        </w:rPr>
        <w:t>URS</w:t>
      </w:r>
      <w:r>
        <w:rPr>
          <w:rFonts w:hint="eastAsia"/>
          <w:szCs w:val="21"/>
          <w:lang w:eastAsia="zh-CN"/>
        </w:rPr>
        <w:t>适用于武汉生物制品研究所有限责任公司</w:t>
      </w:r>
      <w:permStart w:id="12" w:edGrp="everyone"/>
      <w:r>
        <w:rPr>
          <w:rFonts w:hint="eastAsia"/>
          <w:sz w:val="24"/>
          <w:szCs w:val="24"/>
          <w:lang w:eastAsia="zh-CN"/>
        </w:rPr>
        <w:t>菌苗楼单螺杆冷水机组冷却塔</w:t>
      </w:r>
      <w:permEnd w:id="12"/>
      <w:r>
        <w:rPr>
          <w:rFonts w:hint="eastAsia"/>
          <w:szCs w:val="21"/>
          <w:lang w:eastAsia="zh-CN"/>
        </w:rPr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7"/>
      <w:bookmarkStart w:id="22" w:name="_Toc522107737"/>
      <w:r>
        <w:rPr>
          <w:rFonts w:hint="eastAsia" w:ascii="Times New Roman" w:hAnsi="Times New Roman"/>
          <w:b/>
        </w:rPr>
        <w:t>参考文件</w:t>
      </w:r>
      <w:bookmarkEnd w:id="21"/>
      <w:bookmarkEnd w:id="22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法规指南和</w:t>
      </w:r>
      <w:r>
        <w:rPr>
          <w:color w:val="000000"/>
          <w:szCs w:val="21"/>
          <w:lang w:eastAsia="zh-CN"/>
        </w:rPr>
        <w:t>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SOP-06-12-0005 </w:t>
      </w:r>
      <w:r>
        <w:rPr>
          <w:rFonts w:hint="eastAsia"/>
          <w:color w:val="000000"/>
          <w:szCs w:val="21"/>
          <w:lang w:eastAsia="zh-CN"/>
        </w:rPr>
        <w:t>用户需求编写审批</w:t>
      </w:r>
      <w:r>
        <w:rPr>
          <w:color w:val="000000"/>
          <w:szCs w:val="21"/>
          <w:lang w:eastAsia="zh-CN"/>
        </w:rPr>
        <w:t>SOP</w:t>
      </w:r>
    </w:p>
    <w:p>
      <w:pPr>
        <w:pStyle w:val="34"/>
        <w:numPr>
          <w:ilvl w:val="0"/>
          <w:numId w:val="6"/>
        </w:numPr>
        <w:spacing w:before="0" w:line="360" w:lineRule="auto"/>
        <w:jc w:val="left"/>
        <w:rPr>
          <w:color w:val="auto"/>
          <w:szCs w:val="21"/>
          <w:lang w:eastAsia="zh-CN"/>
        </w:rPr>
      </w:pPr>
      <w:permStart w:id="13" w:edGrp="everyone"/>
      <w:r>
        <w:rPr>
          <w:rFonts w:hint="eastAsia"/>
          <w:color w:val="auto"/>
          <w:szCs w:val="21"/>
          <w:lang w:eastAsia="zh-CN"/>
        </w:rPr>
        <w:t>《药品生产质量管理规范》（</w:t>
      </w:r>
      <w:r>
        <w:rPr>
          <w:color w:val="auto"/>
          <w:szCs w:val="21"/>
          <w:lang w:eastAsia="zh-CN"/>
        </w:rPr>
        <w:t>2010</w:t>
      </w:r>
      <w:r>
        <w:rPr>
          <w:rFonts w:hint="eastAsia"/>
          <w:color w:val="auto"/>
          <w:szCs w:val="21"/>
          <w:lang w:eastAsia="zh-CN"/>
        </w:rPr>
        <w:t>修订版）及附录</w:t>
      </w:r>
    </w:p>
    <w:p>
      <w:pPr>
        <w:pStyle w:val="34"/>
        <w:numPr>
          <w:ilvl w:val="0"/>
          <w:numId w:val="6"/>
        </w:numPr>
        <w:spacing w:before="0" w:line="360" w:lineRule="auto"/>
        <w:jc w:val="left"/>
        <w:rPr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lang w:eastAsia="zh-CN"/>
        </w:rPr>
        <w:t>《药品</w:t>
      </w:r>
      <w:r>
        <w:rPr>
          <w:rFonts w:ascii="宋体" w:hAnsi="宋体"/>
          <w:color w:val="auto"/>
          <w:lang w:eastAsia="zh-CN"/>
        </w:rPr>
        <w:t>GMP</w:t>
      </w:r>
      <w:r>
        <w:rPr>
          <w:rFonts w:hint="eastAsia" w:ascii="宋体" w:hAnsi="宋体"/>
          <w:color w:val="auto"/>
          <w:lang w:eastAsia="zh-CN"/>
        </w:rPr>
        <w:t>指南》无菌药品（</w:t>
      </w:r>
      <w:r>
        <w:rPr>
          <w:rFonts w:ascii="宋体" w:hAnsi="宋体"/>
          <w:color w:val="auto"/>
          <w:lang w:eastAsia="zh-CN"/>
        </w:rPr>
        <w:t>2011</w:t>
      </w:r>
      <w:r>
        <w:rPr>
          <w:rFonts w:hint="eastAsia" w:ascii="宋体" w:hAnsi="宋体"/>
          <w:color w:val="auto"/>
          <w:lang w:eastAsia="zh-CN"/>
        </w:rPr>
        <w:t>版）</w:t>
      </w:r>
    </w:p>
    <w:permEnd w:id="13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cs="宋体"/>
          <w:iCs/>
          <w:szCs w:val="21"/>
          <w:lang w:eastAsia="zh-CN"/>
        </w:rPr>
      </w:pPr>
      <w:permStart w:id="14" w:edGrp="everyone"/>
      <w:r>
        <w:rPr>
          <w:rFonts w:hint="eastAsia" w:ascii="宋体" w:hAnsi="宋体" w:cs="宋体"/>
          <w:iCs/>
          <w:szCs w:val="21"/>
          <w:lang w:eastAsia="zh-CN"/>
        </w:rPr>
        <w:t>电气安全应符合</w:t>
      </w:r>
      <w:r>
        <w:rPr>
          <w:rFonts w:ascii="宋体" w:hAnsi="宋体" w:cs="宋体"/>
          <w:iCs/>
          <w:szCs w:val="21"/>
          <w:lang w:eastAsia="zh-CN"/>
        </w:rPr>
        <w:t>GB4793.1</w:t>
      </w:r>
      <w:r>
        <w:rPr>
          <w:rFonts w:hint="eastAsia" w:ascii="宋体" w:hAnsi="宋体" w:cs="宋体"/>
          <w:iCs/>
          <w:szCs w:val="21"/>
          <w:lang w:eastAsia="zh-CN"/>
        </w:rPr>
        <w:t>和</w:t>
      </w:r>
      <w:r>
        <w:rPr>
          <w:rFonts w:ascii="宋体" w:hAnsi="宋体" w:cs="宋体"/>
          <w:iCs/>
          <w:szCs w:val="21"/>
          <w:lang w:eastAsia="zh-CN"/>
        </w:rPr>
        <w:t>GB4793.4</w:t>
      </w:r>
      <w:r>
        <w:rPr>
          <w:rFonts w:hint="eastAsia" w:ascii="宋体" w:hAnsi="宋体" w:cs="宋体"/>
          <w:iCs/>
          <w:szCs w:val="21"/>
          <w:lang w:eastAsia="zh-CN"/>
        </w:rPr>
        <w:t>的要求。</w:t>
      </w:r>
    </w:p>
    <w:permEnd w:id="14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3" w:name="_Toc522107738"/>
      <w:bookmarkStart w:id="24" w:name="_Toc522716118"/>
      <w:r>
        <w:rPr>
          <w:rFonts w:hint="eastAsia" w:ascii="Times New Roman" w:hAnsi="Times New Roman"/>
          <w:b/>
        </w:rPr>
        <w:t>职责</w:t>
      </w:r>
      <w:bookmarkEnd w:id="23"/>
      <w:bookmarkEnd w:id="24"/>
    </w:p>
    <w:tbl>
      <w:tblPr>
        <w:tblStyle w:val="23"/>
        <w:tblW w:w="10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3"/>
        <w:gridCol w:w="8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atLeast"/>
          <w:tblHeader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部</w:t>
            </w:r>
            <w:r>
              <w:rPr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门</w:t>
            </w:r>
          </w:p>
        </w:tc>
        <w:tc>
          <w:tcPr>
            <w:tcW w:w="8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职</w:t>
            </w:r>
            <w:r>
              <w:rPr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i/>
                <w:color w:val="0070C0"/>
                <w:szCs w:val="21"/>
                <w:lang w:eastAsia="zh-CN"/>
              </w:rPr>
            </w:pPr>
            <w:permStart w:id="15" w:edGrp="everyone"/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负责从用户的角度起草并审核本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文件。</w:t>
            </w:r>
          </w:p>
          <w:p>
            <w:pPr>
              <w:pStyle w:val="35"/>
              <w:spacing w:before="0" w:after="0"/>
              <w:ind w:right="-6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文件的修改、打印，并将纸质版送各相关部门签字。</w:t>
            </w:r>
          </w:p>
        </w:tc>
      </w:tr>
      <w:permEnd w:id="1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i/>
                <w:color w:val="0070C0"/>
                <w:szCs w:val="21"/>
                <w:lang w:eastAsia="zh-CN"/>
              </w:rPr>
            </w:pPr>
            <w:permStart w:id="16" w:edGrp="everyone"/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负责从工程技术角度审核本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文件。</w:t>
            </w:r>
          </w:p>
          <w:p>
            <w:pPr>
              <w:pStyle w:val="35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负责补充工程技术及维护维修相关内容。</w:t>
            </w:r>
          </w:p>
          <w:p>
            <w:pPr>
              <w:pStyle w:val="35"/>
              <w:spacing w:before="0" w:after="0"/>
              <w:ind w:right="-6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文件归档。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  <w:t>安全管理部</w:t>
            </w:r>
          </w:p>
        </w:tc>
        <w:tc>
          <w:tcPr>
            <w:tcW w:w="8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  <w:t>负责从安全管理角度审核本URS文件。</w:t>
            </w:r>
          </w:p>
          <w:p>
            <w:pPr>
              <w:pStyle w:val="35"/>
              <w:spacing w:before="0" w:after="0"/>
              <w:ind w:right="-6"/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Cs w:val="21"/>
                <w:lang w:eastAsia="zh-CN"/>
              </w:rPr>
              <w:t>负责补充安全管理相关内容。</w:t>
            </w:r>
          </w:p>
        </w:tc>
      </w:tr>
      <w:permEnd w:id="1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jc w:val="center"/>
              <w:rPr>
                <w:i/>
                <w:color w:val="0070C0"/>
                <w:szCs w:val="21"/>
                <w:lang w:eastAsia="zh-CN"/>
              </w:rPr>
            </w:pPr>
            <w:permStart w:id="17" w:edGrp="everyone" w:colFirst="0" w:colLast="0"/>
            <w:permStart w:id="18" w:edGrp="everyone" w:colFirst="1" w:colLast="1"/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8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5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负责提供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文件模板。</w:t>
            </w:r>
          </w:p>
          <w:p>
            <w:pPr>
              <w:pStyle w:val="35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负责从质量管理法规角度审核本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文件。</w:t>
            </w:r>
          </w:p>
          <w:p>
            <w:pPr>
              <w:pStyle w:val="35"/>
              <w:spacing w:before="0" w:after="0"/>
              <w:ind w:right="-6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负责批准本</w:t>
            </w:r>
            <w:r>
              <w:rPr>
                <w:iCs/>
                <w:szCs w:val="21"/>
                <w:lang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文件。</w:t>
            </w:r>
          </w:p>
        </w:tc>
      </w:tr>
      <w:permEnd w:id="17"/>
      <w:permEnd w:id="18"/>
    </w:tbl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19" w:edGrp="everyone"/>
    </w:p>
    <w:permEnd w:id="19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39"/>
      <w:bookmarkStart w:id="26" w:name="_Toc522716119"/>
      <w:r>
        <w:rPr>
          <w:rFonts w:hint="eastAsia" w:ascii="Times New Roman" w:hAnsi="Times New Roman"/>
          <w:b/>
        </w:rPr>
        <w:t>系统描述</w:t>
      </w:r>
      <w:bookmarkEnd w:id="25"/>
      <w:bookmarkEnd w:id="26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0" w:edGrp="everyone"/>
      <w:r>
        <w:rPr>
          <w:rFonts w:hint="eastAsia" w:ascii="宋体" w:hAnsi="宋体" w:cs="宋体"/>
          <w:iCs/>
          <w:szCs w:val="21"/>
          <w:lang w:eastAsia="zh-CN"/>
        </w:rPr>
        <w:t>拆除菌苗楼原废旧单螺杆冷水机组圆形冷却塔，在原位置安装本</w:t>
      </w:r>
      <w:r>
        <w:rPr>
          <w:rFonts w:ascii="宋体" w:hAnsi="宋体" w:cs="宋体"/>
          <w:iCs/>
          <w:szCs w:val="21"/>
          <w:lang w:eastAsia="zh-CN"/>
        </w:rPr>
        <w:t>URS</w:t>
      </w:r>
      <w:r>
        <w:rPr>
          <w:rFonts w:hint="eastAsia" w:ascii="宋体" w:hAnsi="宋体" w:cs="宋体"/>
          <w:iCs/>
          <w:szCs w:val="21"/>
          <w:lang w:eastAsia="zh-CN"/>
        </w:rPr>
        <w:t>的冷却塔，供菌苗楼两台单螺杆冷水机组冷凝器散热用。使用原设备的电气控制部分和自来水补水管路</w:t>
      </w:r>
      <w:r>
        <w:rPr>
          <w:rFonts w:hint="eastAsia"/>
          <w:i/>
          <w:color w:val="4472C4"/>
          <w:szCs w:val="21"/>
          <w:lang w:eastAsia="zh-CN"/>
        </w:rPr>
        <w:t>。</w:t>
      </w:r>
      <w:permEnd w:id="20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7" w:name="_Toc522716120"/>
      <w:r>
        <w:rPr>
          <w:rFonts w:hint="eastAsia" w:ascii="Times New Roman" w:hAnsi="Times New Roman"/>
          <w:b/>
          <w:szCs w:val="21"/>
        </w:rPr>
        <w:t>安装要求</w:t>
      </w:r>
      <w:bookmarkEnd w:id="27"/>
    </w:p>
    <w:p>
      <w:pPr>
        <w:pStyle w:val="30"/>
        <w:spacing w:afterLines="50"/>
        <w:rPr>
          <w:rFonts w:ascii="Times New Roman" w:hAnsi="Times New Roman"/>
          <w:szCs w:val="21"/>
        </w:rPr>
      </w:pPr>
      <w:permStart w:id="21" w:edGrp="everyone"/>
      <w:permEnd w:id="21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8" w:name="OLE_LINK1"/>
            <w:bookmarkStart w:id="29" w:name="OLE_LINK2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冷却塔安装在菌苗楼楼顶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屋面安装，采用工字钢做设备底座放置在屋面现有的立柱上，不满足支撑的地方应增加支柱。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施工方提前现场勘查</w:t>
            </w:r>
            <w:r>
              <w:rPr>
                <w:rFonts w:hint="eastAsia"/>
                <w:iCs/>
                <w:szCs w:val="21"/>
                <w:lang w:eastAsia="zh-CN"/>
              </w:rPr>
              <w:t>实际设备放置位置填写地面承重或桌面承重重量。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楼顶自来水管接入冷却塔补水。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7" w:edGrp="everyone"/>
            <w:permEnd w:id="2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lang w:eastAsia="zh-CN"/>
              </w:rPr>
              <w:t>工作环境温度：能适应</w:t>
            </w:r>
            <w:r>
              <w:rPr>
                <w:rFonts w:hint="eastAsia" w:ascii="宋体" w:hAnsi="宋体" w:cs="宋体"/>
                <w:iCs/>
                <w:lang w:val="en-US" w:eastAsia="zh-CN"/>
              </w:rPr>
              <w:t>≤</w:t>
            </w:r>
            <w:r>
              <w:rPr>
                <w:rFonts w:ascii="宋体" w:hAnsi="宋体" w:cs="宋体"/>
                <w:iCs/>
                <w:lang w:eastAsia="zh-CN"/>
              </w:rPr>
              <w:t>3</w:t>
            </w:r>
            <w:r>
              <w:rPr>
                <w:rFonts w:hint="eastAsia" w:ascii="宋体" w:hAnsi="宋体" w:cs="宋体"/>
                <w:iCs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Cs/>
                <w:lang w:eastAsia="zh-CN"/>
              </w:rPr>
              <w:t>℃环境。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工作环境湿度：</w:t>
            </w:r>
            <w:r>
              <w:rPr>
                <w:rFonts w:hint="eastAsia" w:ascii="宋体" w:hAnsi="宋体" w:cs="宋体"/>
                <w:lang w:val="en-US" w:eastAsia="zh-CN"/>
              </w:rPr>
              <w:t>室外普通大气湿度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iCs/>
                <w:lang w:eastAsia="zh-CN"/>
              </w:rPr>
              <w:t>普通区域</w:t>
            </w:r>
            <w:r>
              <w:rPr>
                <w:iCs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交流电电源：</w:t>
            </w:r>
            <w:r>
              <w:rPr>
                <w:rFonts w:hint="eastAsia"/>
                <w:iCs/>
                <w:lang w:eastAsia="zh-CN"/>
              </w:rPr>
              <w:t>～</w:t>
            </w:r>
            <w:r>
              <w:rPr>
                <w:iCs/>
                <w:lang w:eastAsia="zh-CN"/>
              </w:rPr>
              <w:t>380±10%V</w:t>
            </w:r>
            <w:r>
              <w:rPr>
                <w:rFonts w:hint="eastAsia"/>
                <w:iCs/>
                <w:lang w:eastAsia="zh-CN"/>
              </w:rPr>
              <w:t>，</w:t>
            </w:r>
            <w:r>
              <w:rPr>
                <w:iCs/>
                <w:lang w:eastAsia="zh-CN"/>
              </w:rPr>
              <w:t xml:space="preserve">50±1Hz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类型：低噪音、横流；</w:t>
            </w:r>
          </w:p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材质：玻璃钢；</w:t>
            </w:r>
          </w:p>
          <w:p>
            <w:pPr>
              <w:spacing w:line="276" w:lineRule="auto"/>
              <w:jc w:val="both"/>
              <w:rPr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填料：整体式蜂窝状。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标识</w:t>
            </w:r>
            <w:r>
              <w:rPr>
                <w:rFonts w:hint="eastAsia"/>
                <w:szCs w:val="21"/>
                <w:lang w:eastAsia="zh-CN"/>
              </w:rPr>
              <w:t>：至少应有以下永久贴牢和清楚易认的标识：</w:t>
            </w:r>
            <w:r>
              <w:rPr>
                <w:szCs w:val="21"/>
                <w:lang w:eastAsia="zh-CN"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）制造</w:t>
            </w:r>
            <w:r>
              <w:rPr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bookmarkEnd w:id="28"/>
      <w:bookmarkEnd w:id="29"/>
      <w:permEnd w:id="32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107740"/>
      <w:bookmarkStart w:id="31" w:name="_Toc522716121"/>
      <w:r>
        <w:rPr>
          <w:rFonts w:hint="eastAsia" w:ascii="Times New Roman" w:hAnsi="Times New Roman"/>
          <w:b/>
        </w:rPr>
        <w:t>运行要求</w:t>
      </w:r>
      <w:bookmarkEnd w:id="30"/>
      <w:bookmarkEnd w:id="31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外形尺寸：</w:t>
            </w:r>
            <w:r>
              <w:rPr>
                <w:lang w:eastAsia="zh-CN"/>
              </w:rPr>
              <w:t>4000*2400*3760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包装方式：木箱；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塔身构件：</w:t>
            </w:r>
            <w:r>
              <w:rPr>
                <w:szCs w:val="21"/>
                <w:lang w:eastAsia="zh-CN"/>
              </w:rPr>
              <w:t>H.D.G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围板：</w:t>
            </w:r>
            <w:r>
              <w:rPr>
                <w:szCs w:val="21"/>
                <w:lang w:eastAsia="zh-CN"/>
              </w:rPr>
              <w:t>F.R.P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循环水量</w:t>
            </w:r>
            <w:r>
              <w:rPr>
                <w:lang w:eastAsia="zh-CN"/>
              </w:rPr>
              <w:t>/150Ton/Hr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交换热量：</w:t>
            </w:r>
            <w:r>
              <w:rPr>
                <w:lang w:eastAsia="zh-CN"/>
              </w:rPr>
              <w:t>750000Kcal/Hr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进水温度：</w:t>
            </w:r>
            <w:r>
              <w:rPr>
                <w:szCs w:val="21"/>
                <w:lang w:eastAsia="zh-CN"/>
              </w:rPr>
              <w:t>37</w:t>
            </w:r>
            <w:r>
              <w:rPr>
                <w:rFonts w:hint="eastAsia"/>
                <w:szCs w:val="21"/>
                <w:lang w:eastAsia="zh-CN"/>
              </w:rPr>
              <w:t>℃；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出水温度：</w:t>
            </w:r>
            <w:r>
              <w:rPr>
                <w:szCs w:val="21"/>
                <w:lang w:eastAsia="zh-CN"/>
              </w:rPr>
              <w:t>32</w:t>
            </w:r>
            <w:r>
              <w:rPr>
                <w:rFonts w:hint="eastAsia"/>
                <w:szCs w:val="21"/>
                <w:lang w:eastAsia="zh-CN"/>
              </w:rPr>
              <w:t>℃；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湿球温度：</w:t>
            </w:r>
            <w:r>
              <w:rPr>
                <w:szCs w:val="21"/>
                <w:lang w:eastAsia="zh-CN"/>
              </w:rPr>
              <w:t>28</w:t>
            </w:r>
            <w:r>
              <w:rPr>
                <w:rFonts w:hint="eastAsia"/>
                <w:szCs w:val="21"/>
                <w:lang w:eastAsia="zh-CN"/>
              </w:rPr>
              <w:t>℃；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大气温度：</w:t>
            </w:r>
            <w:r>
              <w:rPr>
                <w:szCs w:val="21"/>
                <w:lang w:eastAsia="zh-CN"/>
              </w:rPr>
              <w:t>31.5</w:t>
            </w:r>
            <w:r>
              <w:rPr>
                <w:rFonts w:hint="eastAsia"/>
                <w:szCs w:val="21"/>
                <w:lang w:eastAsia="zh-CN"/>
              </w:rPr>
              <w:t>℃；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风机风量：</w:t>
            </w:r>
            <w:r>
              <w:rPr>
                <w:szCs w:val="21"/>
                <w:lang w:eastAsia="zh-CN"/>
              </w:rPr>
              <w:t>90000M^3/h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转速：</w:t>
            </w:r>
            <w:r>
              <w:rPr>
                <w:szCs w:val="21"/>
                <w:lang w:eastAsia="zh-CN"/>
              </w:rPr>
              <w:t>1460RPM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  <w:permEnd w:id="3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设计的抗风强度：</w:t>
            </w:r>
            <w:r>
              <w:rPr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  <w:lang w:eastAsia="zh-CN"/>
              </w:rPr>
              <w:t>级抗风强度。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设计的抗地震强度：</w:t>
            </w:r>
            <w:r>
              <w:rPr>
                <w:szCs w:val="21"/>
                <w:lang w:eastAsia="zh-CN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级抗震强度。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38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2" w:name="_Toc522716122"/>
      <w:bookmarkStart w:id="33" w:name="_Toc522107742"/>
      <w:bookmarkStart w:id="34" w:name="_Toc482360291"/>
      <w:bookmarkStart w:id="35" w:name="_Toc482359946"/>
      <w:bookmarkStart w:id="36" w:name="_Toc482370151"/>
      <w:bookmarkStart w:id="37" w:name="_Toc482717202"/>
      <w:bookmarkStart w:id="38" w:name="_Toc482369815"/>
      <w:bookmarkStart w:id="39" w:name="_Toc481702480"/>
      <w:bookmarkStart w:id="40" w:name="_Toc483227237"/>
      <w:bookmarkStart w:id="41" w:name="_Toc482370359"/>
      <w:bookmarkStart w:id="42" w:name="_Toc482370767"/>
      <w:bookmarkStart w:id="43" w:name="_Toc483400317"/>
      <w:bookmarkStart w:id="44" w:name="_Toc482625289"/>
      <w:bookmarkStart w:id="45" w:name="_Toc482370071"/>
      <w:r>
        <w:rPr>
          <w:rFonts w:hint="eastAsia" w:ascii="Times New Roman" w:hAnsi="Times New Roman"/>
          <w:b/>
        </w:rPr>
        <w:t>电气、自动控制要求</w:t>
      </w:r>
      <w:bookmarkEnd w:id="3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9" w:edGrp="everyone"/>
            <w:permEnd w:id="39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NA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NA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41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3"/>
      <w:r>
        <w:rPr>
          <w:rFonts w:hint="eastAsia" w:ascii="Times New Roman" w:hAnsi="Times New Roman"/>
          <w:b/>
        </w:rPr>
        <w:t>安全要求</w:t>
      </w:r>
      <w:bookmarkEnd w:id="33"/>
      <w:bookmarkEnd w:id="46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2" w:edGrp="everyone"/>
            <w:permEnd w:id="42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NA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4" w:edGrp="everyone"/>
            <w:permEnd w:id="44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风机过载保护。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45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4"/>
      <w:bookmarkStart w:id="48" w:name="_Toc522107743"/>
      <w:r>
        <w:rPr>
          <w:rFonts w:hint="eastAsia" w:ascii="Times New Roman" w:hAnsi="Times New Roman"/>
          <w:b/>
        </w:rPr>
        <w:t>文件要求</w:t>
      </w:r>
      <w:bookmarkEnd w:id="47"/>
      <w:bookmarkEnd w:id="48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46" w:edGrp="everyone"/>
    </w:p>
    <w:permEnd w:id="46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投标文件、合同及订单。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设计选型文件。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图纸：竣工蓝图，各种维修活动所需的设备尺寸图、必要的设备局部图、电气图等。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组件及备件清单：包括名称、编号、对应厂家名称、规格及必要说明等。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设备厂家文件：出厂测试合格证、相关检测报告、各种标示、保修卡等。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设备操作手册（</w:t>
            </w:r>
            <w:r>
              <w:rPr>
                <w:rFonts w:ascii="宋体" w:hAnsi="宋体" w:cs="宋体"/>
                <w:szCs w:val="21"/>
                <w:lang w:eastAsia="zh-CN"/>
              </w:rPr>
              <w:t>SOP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）：语言为中文。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材料合格证、检测报告。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调试文件：调试计划（调试说明、调试清单、现场验收测试、保修信息、培训计划等），调试方案，调试记录，调试报告等。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</w:p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设备交付计划表。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设备的使用操作说明书及维护保养说明。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提供必要的设备及其零部件使用寿命说明。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现场验收报告。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验证文件：（</w:t>
            </w:r>
            <w:r>
              <w:rPr>
                <w:rFonts w:ascii="宋体" w:hAnsi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）设计确认及文件（</w:t>
            </w:r>
            <w:r>
              <w:rPr>
                <w:rFonts w:ascii="宋体" w:hAnsi="宋体" w:cs="宋体"/>
                <w:szCs w:val="21"/>
                <w:lang w:eastAsia="zh-CN"/>
              </w:rPr>
              <w:t>DQ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）；（</w:t>
            </w:r>
            <w:r>
              <w:rPr>
                <w:rFonts w:ascii="宋体" w:hAnsi="宋体" w:cs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）安装确认及文件（</w:t>
            </w:r>
            <w:r>
              <w:rPr>
                <w:rFonts w:ascii="宋体" w:hAnsi="宋体" w:cs="宋体"/>
                <w:szCs w:val="21"/>
                <w:lang w:eastAsia="zh-CN"/>
              </w:rPr>
              <w:t>IQ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）；（</w:t>
            </w:r>
            <w:r>
              <w:rPr>
                <w:rFonts w:ascii="宋体" w:hAnsi="宋体" w:cs="宋体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）运行确认及文件（</w:t>
            </w:r>
            <w:r>
              <w:rPr>
                <w:rFonts w:ascii="宋体" w:hAnsi="宋体" w:cs="宋体"/>
                <w:szCs w:val="21"/>
                <w:lang w:eastAsia="zh-CN"/>
              </w:rPr>
              <w:t>OQ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48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9" w:name="_Toc522716125"/>
      <w:r>
        <w:rPr>
          <w:rFonts w:hint="eastAsia" w:ascii="Times New Roman" w:hAnsi="Times New Roman"/>
          <w:b/>
          <w:szCs w:val="21"/>
        </w:rPr>
        <w:t>服务要求</w:t>
      </w:r>
      <w:bookmarkEnd w:id="4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9" w:edGrp="everyone"/>
            <w:permEnd w:id="49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设备供应商应免费对设备使用方人员进行全面培训，包括对操作人员及设备维护、维修人员，并填写培训记录。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操作人员培训包括设备结构原理、性能、操作、清洗消毒、故障排除等基本</w:t>
            </w:r>
            <w:r>
              <w:rPr>
                <w:rFonts w:hint="eastAsia"/>
                <w:szCs w:val="21"/>
                <w:lang w:eastAsia="zh-CN"/>
              </w:rPr>
              <w:t>知识</w:t>
            </w:r>
            <w:r>
              <w:rPr>
                <w:rFonts w:hint="eastAsia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设备运输在运输途中需做好防护措施，不得有任何损伤</w:t>
            </w:r>
            <w:r>
              <w:rPr>
                <w:rFonts w:hint="eastAsia"/>
                <w:color w:val="0070C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NA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质保期至少为一年，一年内整机免费保修，一年后应提供良好的售后服务。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供应商能够每年提供至少一次回访服务。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 w:cs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 w:cs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一年免费保修期后，供应商应终生提供及时的维修、维护，供应商应定期回访，解决设备运行当中可能出现的疑问，排除潜在故障，使设备保持良好工作状态。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5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供应商应提供合格的备件，用于设备相应部件的维修、更换。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期望</w:t>
            </w:r>
          </w:p>
        </w:tc>
      </w:tr>
      <w:permEnd w:id="6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6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供应商进厂安装需遵守安全和安装规定。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确认试车验收合格后，买卖双方签订验收报告。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62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0" w:name="_Toc522716126"/>
      <w:bookmarkStart w:id="51" w:name="_Toc522107746"/>
      <w:r>
        <w:rPr>
          <w:rFonts w:hint="eastAsia" w:ascii="Times New Roman" w:hAnsi="Times New Roman"/>
          <w:b/>
        </w:rPr>
        <w:t>附件</w:t>
      </w:r>
      <w:bookmarkEnd w:id="50"/>
      <w:bookmarkEnd w:id="51"/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>
      <w:pPr>
        <w:pStyle w:val="34"/>
        <w:spacing w:before="0" w:line="360" w:lineRule="auto"/>
        <w:ind w:firstLine="240" w:firstLineChars="100"/>
        <w:jc w:val="left"/>
        <w:rPr>
          <w:color w:val="4472C4"/>
          <w:szCs w:val="21"/>
          <w:lang w:eastAsia="zh-CN"/>
        </w:rPr>
      </w:pPr>
      <w:permStart w:id="63" w:edGrp="everyone"/>
      <w:r>
        <w:rPr>
          <w:rFonts w:hint="eastAsia"/>
          <w:szCs w:val="21"/>
          <w:lang w:eastAsia="zh-CN"/>
        </w:rPr>
        <w:t>不适用。</w:t>
      </w:r>
      <w:permEnd w:id="63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jc w:val="center"/>
      <w:rPr>
        <w:sz w:val="18"/>
        <w:szCs w:val="18"/>
      </w:rPr>
    </w:pPr>
    <w:r>
      <w:rPr>
        <w:rFonts w:ascii="Times New Roman" w:hAnsi="Times New Roman" w:eastAsia="宋体" w:cs="Times New Roman"/>
        <w:kern w:val="0"/>
        <w:sz w:val="24"/>
        <w:szCs w:val="20"/>
        <w:lang w:val="en-US" w:eastAsia="zh-CN" w:bidi="ar-SA"/>
      </w:rPr>
      <w:pict>
        <v:line id="Line 3073" o:spid="_x0000_s1026" style="position:absolute;left:0;margin-left:0pt;margin-top:0.05pt;height:0.05pt;width:510.25pt;rotation:0f;z-index:251658240;" o:ole="f" fillcolor="#FFFFFF" filled="f" o:preferrelative="t" stroked="t" coordsize="21600,21600">
          <v:fill on="f" color2="#FFFFFF" focus="0%"/>
          <v:stroke color="#000000" color2="#FFFFFF" miterlimit="2"/>
          <v:imagedata gain="65536f" blacklevel="0f" gamma="0"/>
          <o:lock v:ext="edit" position="f" selection="f" grouping="f" rotation="f" cropping="f" text="f" aspectratio="f"/>
        </v:line>
      </w:pict>
    </w:r>
    <w:r>
      <w:rPr>
        <w:rFonts w:hint="eastAsia"/>
        <w:sz w:val="18"/>
        <w:szCs w:val="18"/>
      </w:rPr>
      <w:t>本文件为受控文件，仅供武汉生物制品研究所有限责任公司使用并为版权所有，严禁无授权使用、泄露或复印，违者必究。</w:t>
    </w:r>
  </w:p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23"/>
      <w:tblW w:w="1066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37"/>
      <w:gridCol w:w="5291"/>
      <w:gridCol w:w="2160"/>
      <w:gridCol w:w="228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</w:tblPrEx>
      <w:trPr>
        <w:trHeight w:val="340" w:hRule="atLeast"/>
      </w:trPr>
      <w:tc>
        <w:tcPr>
          <w:tcW w:w="937" w:type="dxa"/>
          <w:vAlign w:val="center"/>
        </w:tcPr>
        <w:p>
          <w:pPr>
            <w:pStyle w:val="15"/>
            <w:rPr>
              <w:sz w:val="21"/>
            </w:rPr>
          </w:pPr>
          <w:r>
            <w:rPr>
              <w:rFonts w:ascii="Times New Roman" w:hAnsi="Times New Roman" w:eastAsia="宋体" w:cs="Times New Roman"/>
              <w:kern w:val="0"/>
              <w:sz w:val="21"/>
              <w:szCs w:val="20"/>
              <w:lang w:val="en-US" w:eastAsia="zh-CN" w:bidi="ar-SA"/>
            </w:rPr>
            <w:pict>
              <v:shape id="Picture 1" o:spid="_x0000_s1025" type="#_x0000_t75" style="height:36pt;width:36pt;rotation:0f;" o:ole="f" fillcolor="#FFFFFF" filled="f" o:preferrelative="t" stroked="f" coordorigin="0,0" coordsize="21600,21600">
                <v:fill on="f" color2="#FFFFFF" focus="0%"/>
                <v:imagedata gain="2147483647f" blacklevel="0f" gamma="0" o:title="" r:id="rId1"/>
                <o:lock v:ext="edit" position="f" selection="f" grouping="f" rotation="f" cropping="f" text="f" aspectratio="t"/>
                <w10:wrap type="none"/>
                <w10:anchorlock/>
              </v:shape>
            </w:pict>
          </w:r>
        </w:p>
      </w:tc>
      <w:tc>
        <w:tcPr>
          <w:tcW w:w="5291" w:type="dxa"/>
          <w:vAlign w:val="center"/>
        </w:tcPr>
        <w:p>
          <w:pPr>
            <w:pStyle w:val="15"/>
            <w:jc w:val="center"/>
            <w:rPr>
              <w:rFonts w:ascii="宋体"/>
              <w:b/>
              <w:sz w:val="21"/>
              <w:szCs w:val="21"/>
              <w:lang w:eastAsia="zh-CN"/>
            </w:rPr>
          </w:pPr>
          <w:r>
            <w:rPr>
              <w:rFonts w:hint="eastAsia" w:ascii="宋体" w:hAnsi="宋体"/>
              <w:b/>
              <w:sz w:val="21"/>
              <w:szCs w:val="21"/>
              <w:lang w:eastAsia="zh-CN"/>
            </w:rPr>
            <w:t>武汉生物制品研究所有限责任公司</w:t>
          </w:r>
        </w:p>
        <w:p>
          <w:pPr>
            <w:pStyle w:val="15"/>
            <w:jc w:val="center"/>
            <w:rPr>
              <w:sz w:val="21"/>
            </w:rPr>
          </w:pPr>
          <w:r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4440" w:type="dxa"/>
          <w:gridSpan w:val="2"/>
          <w:vAlign w:val="center"/>
        </w:tcPr>
        <w:p>
          <w:pPr>
            <w:pStyle w:val="15"/>
            <w:jc w:val="both"/>
            <w:rPr>
              <w:rStyle w:val="20"/>
              <w:rFonts w:ascii="宋体"/>
              <w:sz w:val="21"/>
              <w:szCs w:val="21"/>
            </w:rPr>
          </w:pPr>
          <w:r>
            <w:rPr>
              <w:rStyle w:val="20"/>
              <w:rFonts w:hint="eastAsia" w:ascii="宋体" w:hAnsi="宋体"/>
              <w:sz w:val="21"/>
              <w:szCs w:val="21"/>
            </w:rPr>
            <w:t>文件编号：</w:t>
          </w:r>
          <w:r>
            <w:rPr>
              <w:rFonts w:ascii="宋体" w:hAnsi="宋体"/>
              <w:color w:val="000000"/>
              <w:sz w:val="21"/>
              <w:szCs w:val="21"/>
            </w:rPr>
            <w:t>E(SOP-06-12-0005)01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</w:tblPrEx>
      <w:trPr>
        <w:trHeight w:val="340" w:hRule="atLeast"/>
      </w:trPr>
      <w:tc>
        <w:tcPr>
          <w:tcW w:w="6228" w:type="dxa"/>
          <w:gridSpan w:val="2"/>
          <w:vMerge w:val="restart"/>
          <w:vAlign w:val="center"/>
        </w:tcPr>
        <w:p>
          <w:pPr>
            <w:pStyle w:val="15"/>
            <w:jc w:val="center"/>
            <w:rPr>
              <w:sz w:val="21"/>
              <w:szCs w:val="21"/>
              <w:lang w:eastAsia="zh-CN"/>
            </w:rPr>
          </w:pPr>
          <w:r>
            <w:rPr>
              <w:rFonts w:hint="eastAsia"/>
              <w:b/>
              <w:bCs/>
              <w:sz w:val="21"/>
              <w:szCs w:val="21"/>
              <w:lang w:val="en-US" w:eastAsia="zh-CN"/>
            </w:rPr>
            <w:t>菌苗楼单螺杆冷水机组</w:t>
          </w:r>
          <w:r>
            <w:rPr>
              <w:rFonts w:hint="eastAsia"/>
              <w:b/>
              <w:bCs/>
              <w:sz w:val="21"/>
              <w:szCs w:val="21"/>
              <w:lang w:eastAsia="zh-CN"/>
            </w:rPr>
            <w:t>冷却塔</w:t>
          </w:r>
          <w:r>
            <w:rPr>
              <w:rFonts w:hint="eastAsia" w:ascii="宋体" w:hAnsi="宋体"/>
              <w:b/>
              <w:sz w:val="21"/>
              <w:szCs w:val="21"/>
              <w:lang w:eastAsia="zh-CN"/>
            </w:rPr>
            <w:t>用户需求说明（</w:t>
          </w:r>
          <w:r>
            <w:rPr>
              <w:rFonts w:ascii="宋体" w:hAnsi="宋体"/>
              <w:b/>
              <w:sz w:val="21"/>
              <w:szCs w:val="21"/>
              <w:lang w:eastAsia="zh-CN"/>
            </w:rPr>
            <w:t>URS</w:t>
          </w:r>
          <w:r>
            <w:rPr>
              <w:rFonts w:hint="eastAsia" w:ascii="宋体" w:hAnsi="宋体"/>
              <w:b/>
              <w:sz w:val="21"/>
              <w:szCs w:val="21"/>
              <w:lang w:eastAsia="zh-CN"/>
            </w:rPr>
            <w:t>）</w:t>
          </w:r>
        </w:p>
      </w:tc>
      <w:tc>
        <w:tcPr>
          <w:tcW w:w="2160" w:type="dxa"/>
          <w:vAlign w:val="center"/>
        </w:tcPr>
        <w:p>
          <w:pPr>
            <w:pStyle w:val="15"/>
            <w:jc w:val="both"/>
            <w:rPr>
              <w:rStyle w:val="20"/>
              <w:rFonts w:ascii="宋体"/>
              <w:sz w:val="21"/>
              <w:szCs w:val="21"/>
              <w:lang w:eastAsia="zh-CN"/>
            </w:rPr>
          </w:pPr>
          <w:r>
            <w:rPr>
              <w:rStyle w:val="20"/>
              <w:rFonts w:hint="eastAsia"/>
              <w:sz w:val="21"/>
            </w:rPr>
            <w:t>修订号：</w:t>
          </w:r>
          <w:r>
            <w:rPr>
              <w:rFonts w:ascii="宋体" w:hAnsi="宋体"/>
              <w:sz w:val="21"/>
              <w:szCs w:val="21"/>
            </w:rPr>
            <w:t>4.00</w:t>
          </w:r>
        </w:p>
      </w:tc>
      <w:tc>
        <w:tcPr>
          <w:tcW w:w="2280" w:type="dxa"/>
          <w:vAlign w:val="center"/>
        </w:tcPr>
        <w:p>
          <w:pPr>
            <w:pStyle w:val="15"/>
            <w:jc w:val="both"/>
            <w:rPr>
              <w:rStyle w:val="20"/>
              <w:rFonts w:ascii="宋体"/>
              <w:sz w:val="21"/>
              <w:szCs w:val="21"/>
            </w:rPr>
          </w:pPr>
          <w:r>
            <w:rPr>
              <w:rStyle w:val="20"/>
              <w:rFonts w:hint="eastAsia"/>
              <w:sz w:val="21"/>
              <w:lang w:eastAsia="zh-CN"/>
            </w:rPr>
            <w:t>页码：</w:t>
          </w:r>
          <w:r>
            <w:rPr>
              <w:rStyle w:val="20"/>
              <w:rFonts w:hint="eastAsia" w:ascii="宋体" w:hAnsi="宋体"/>
              <w:sz w:val="21"/>
              <w:szCs w:val="21"/>
            </w:rPr>
            <w:t>第</w: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20"/>
              <w:rFonts w:ascii="宋体" w:hAnsi="宋体"/>
              <w:sz w:val="21"/>
              <w:szCs w:val="21"/>
            </w:rPr>
            <w:instrText xml:space="preserve"> PAGE </w:instrTex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separate"/>
          </w:r>
          <w:r>
            <w:rPr>
              <w:rStyle w:val="20"/>
              <w:rFonts w:ascii="宋体" w:hAnsi="宋体"/>
              <w:sz w:val="21"/>
              <w:szCs w:val="21"/>
            </w:rPr>
            <w:t>9</w: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20"/>
              <w:rFonts w:hint="eastAsia" w:ascii="宋体" w:hAnsi="宋体"/>
              <w:sz w:val="21"/>
              <w:szCs w:val="21"/>
            </w:rPr>
            <w:t>页</w:t>
          </w:r>
          <w:r>
            <w:rPr>
              <w:rStyle w:val="20"/>
              <w:rFonts w:ascii="宋体" w:hAnsi="宋体"/>
              <w:sz w:val="21"/>
              <w:szCs w:val="21"/>
            </w:rPr>
            <w:t xml:space="preserve"> </w:t>
          </w:r>
          <w:r>
            <w:rPr>
              <w:rStyle w:val="20"/>
              <w:rFonts w:hint="eastAsia" w:ascii="宋体" w:hAnsi="宋体"/>
              <w:sz w:val="21"/>
              <w:szCs w:val="21"/>
            </w:rPr>
            <w:t>共</w:t>
          </w:r>
          <w:r>
            <w:rPr>
              <w:rStyle w:val="20"/>
              <w:rFonts w:ascii="宋体" w:hAnsi="宋体"/>
              <w:sz w:val="21"/>
              <w:szCs w:val="21"/>
            </w:rPr>
            <w:t xml:space="preserve"> </w: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20"/>
              <w:rFonts w:ascii="宋体" w:hAnsi="宋体"/>
              <w:sz w:val="21"/>
              <w:szCs w:val="21"/>
            </w:rPr>
            <w:instrText xml:space="preserve"> NUMPAGES </w:instrTex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separate"/>
          </w:r>
          <w:r>
            <w:rPr>
              <w:rStyle w:val="20"/>
              <w:rFonts w:ascii="宋体" w:hAnsi="宋体"/>
              <w:sz w:val="21"/>
              <w:szCs w:val="21"/>
            </w:rPr>
            <w:t>10</w:t>
          </w:r>
          <w:r>
            <w:rPr>
              <w:rStyle w:val="20"/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20"/>
              <w:rFonts w:hint="eastAsia" w:ascii="宋体" w:hAnsi="宋体"/>
              <w:sz w:val="21"/>
              <w:szCs w:val="21"/>
            </w:rPr>
            <w:t>页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228" w:type="dxa"/>
          <w:gridSpan w:val="2"/>
          <w:vMerge w:val="continue"/>
          <w:vAlign w:val="top"/>
        </w:tcPr>
        <w:p>
          <w:pPr>
            <w:pStyle w:val="15"/>
            <w:rPr>
              <w:sz w:val="21"/>
            </w:rPr>
          </w:pPr>
        </w:p>
      </w:tc>
      <w:tc>
        <w:tcPr>
          <w:tcW w:w="4440" w:type="dxa"/>
          <w:gridSpan w:val="2"/>
          <w:vAlign w:val="center"/>
        </w:tcPr>
        <w:p>
          <w:pPr>
            <w:pStyle w:val="15"/>
            <w:jc w:val="both"/>
            <w:rPr>
              <w:rStyle w:val="20"/>
              <w:rFonts w:ascii="宋体"/>
              <w:sz w:val="21"/>
              <w:szCs w:val="21"/>
              <w:lang w:eastAsia="zh-CN"/>
            </w:rPr>
          </w:pPr>
          <w:r>
            <w:rPr>
              <w:rStyle w:val="20"/>
              <w:rFonts w:hint="eastAsia" w:ascii="宋体" w:hAnsi="宋体"/>
              <w:sz w:val="21"/>
              <w:szCs w:val="21"/>
              <w:lang w:eastAsia="zh-CN"/>
            </w:rPr>
            <w:t>生效日期：</w:t>
          </w:r>
          <w:r>
            <w:rPr>
              <w:rFonts w:ascii="宋体" w:hAnsi="宋体"/>
              <w:sz w:val="21"/>
              <w:szCs w:val="21"/>
            </w:rPr>
            <w:t>2018-12-22</w:t>
          </w:r>
        </w:p>
      </w:tc>
    </w:tr>
  </w:tbl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 w:cs="Times New Roman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cs="Times New Roman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cs="Times New Roman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 w:cs="Times New Roman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cs="Times New Roman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cs="Times New Roman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cs="Times New Roman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cs="Times New Roman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cs="Times New Roman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20151758">
    <w:nsid w:val="190B01CE"/>
    <w:multiLevelType w:val="multilevel"/>
    <w:tmpl w:val="190B01CE"/>
    <w:lvl w:ilvl="0" w:tentative="1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 w:tentative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 w:tentative="1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420151758"/>
  </w:num>
  <w:num w:numId="7">
    <w:abstractNumId w:val="143812762"/>
  </w:num>
  <w:num w:numId="8">
    <w:abstractNumId w:val="382943692"/>
  </w:num>
  <w:num w:numId="9">
    <w:abstractNumId w:val="287781897"/>
  </w:num>
  <w:num w:numId="10">
    <w:abstractNumId w:val="839589741"/>
  </w:num>
  <w:num w:numId="11">
    <w:abstractNumId w:val="196115971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1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6BC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40E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B6D77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1F3D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8D9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4C9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57AEB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3DFD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2E7F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477F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4249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0637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27E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004C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2886"/>
    <w:rsid w:val="00FE31C6"/>
    <w:rsid w:val="00FE4A65"/>
    <w:rsid w:val="00FE51E8"/>
    <w:rsid w:val="00FE602F"/>
    <w:rsid w:val="00FE7611"/>
    <w:rsid w:val="00FF0769"/>
    <w:rsid w:val="00FF0DB8"/>
    <w:rsid w:val="00FF1924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256065"/>
    <w:rsid w:val="22537F77"/>
    <w:rsid w:val="2EFC50D6"/>
    <w:rsid w:val="36AE20BA"/>
    <w:rsid w:val="3E620477"/>
    <w:rsid w:val="404A4FBA"/>
    <w:rsid w:val="43E5120E"/>
    <w:rsid w:val="466A4F9C"/>
    <w:rsid w:val="5E2C6B7B"/>
    <w:rsid w:val="61557C02"/>
    <w:rsid w:val="65874684"/>
    <w:rsid w:val="7CBF365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nhideWhenUsed="0" w:uiPriority="0" w:semiHidden="0" w:name="macro"/>
    <w:lsdException w:uiPriority="99" w:name="toa heading" w:locked="1"/>
    <w:lsdException w:uiPriority="99" w:name="List" w:locked="1"/>
    <w:lsdException w:unhideWhenUsed="0" w:uiPriority="0" w:semiHidden="0" w:name="List Bullet"/>
    <w:lsdException w:unhideWhenUsed="0" w:uiPriority="0" w:semiHidden="0" w:name="List Number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9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link w:val="37"/>
    <w:qFormat/>
    <w:uiPriority w:val="99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link w:val="38"/>
    <w:qFormat/>
    <w:uiPriority w:val="99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39"/>
    <w:qFormat/>
    <w:uiPriority w:val="99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semiHidden/>
    <w:qFormat/>
    <w:uiPriority w:val="99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link w:val="41"/>
    <w:semiHidden/>
    <w:uiPriority w:val="99"/>
    <w:rPr>
      <w:b/>
      <w:bCs/>
    </w:rPr>
  </w:style>
  <w:style w:type="paragraph" w:styleId="7">
    <w:name w:val="annotation text"/>
    <w:basedOn w:val="1"/>
    <w:link w:val="40"/>
    <w:semiHidden/>
    <w:qFormat/>
    <w:uiPriority w:val="99"/>
    <w:rPr>
      <w:sz w:val="24"/>
    </w:rPr>
  </w:style>
  <w:style w:type="paragraph" w:styleId="8">
    <w:name w:val="Body Text 3"/>
    <w:basedOn w:val="1"/>
    <w:link w:val="42"/>
    <w:qFormat/>
    <w:uiPriority w:val="99"/>
    <w:pPr>
      <w:spacing w:after="120"/>
    </w:pPr>
    <w:rPr>
      <w:sz w:val="16"/>
      <w:szCs w:val="16"/>
    </w:rPr>
  </w:style>
  <w:style w:type="paragraph" w:styleId="9">
    <w:name w:val="Body Text"/>
    <w:basedOn w:val="1"/>
    <w:link w:val="43"/>
    <w:uiPriority w:val="99"/>
    <w:pPr>
      <w:ind w:right="56"/>
    </w:pPr>
    <w:rPr>
      <w:b/>
      <w:sz w:val="22"/>
    </w:rPr>
  </w:style>
  <w:style w:type="paragraph" w:styleId="10">
    <w:name w:val="Body Text Indent"/>
    <w:basedOn w:val="1"/>
    <w:link w:val="44"/>
    <w:qFormat/>
    <w:uiPriority w:val="99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9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link w:val="45"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46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50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4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9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9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kern w:val="2"/>
      <w:lang w:val="en-US" w:eastAsia="zh-CN"/>
    </w:rPr>
  </w:style>
  <w:style w:type="paragraph" w:styleId="18">
    <w:name w:val="Title"/>
    <w:basedOn w:val="1"/>
    <w:next w:val="1"/>
    <w:link w:val="49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99"/>
    <w:rPr>
      <w:rFonts w:cs="Times New Roman"/>
    </w:rPr>
  </w:style>
  <w:style w:type="character" w:styleId="21">
    <w:name w:val="Hyperlink"/>
    <w:basedOn w:val="19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basedOn w:val="19"/>
    <w:semiHidden/>
    <w:qFormat/>
    <w:uiPriority w:val="99"/>
    <w:rPr>
      <w:rFonts w:cs="Times New Roman"/>
      <w:sz w:val="21"/>
    </w:rPr>
  </w:style>
  <w:style w:type="table" w:styleId="24">
    <w:name w:val="Table Grid"/>
    <w:basedOn w:val="23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99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99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99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99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0"/>
      <w:sz w:val="24"/>
      <w:szCs w:val="20"/>
      <w:lang w:val="en-US" w:eastAsia="en-US" w:bidi="ar-SA"/>
    </w:rPr>
  </w:style>
  <w:style w:type="paragraph" w:customStyle="1" w:styleId="30">
    <w:name w:val="List Paragraph"/>
    <w:basedOn w:val="1"/>
    <w:qFormat/>
    <w:uiPriority w:val="99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Heading1"/>
    <w:basedOn w:val="2"/>
    <w:next w:val="1"/>
    <w:qFormat/>
    <w:uiPriority w:val="9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53"/>
    <w:qFormat/>
    <w:uiPriority w:val="99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val="en-US" w:eastAsia="zh-TW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</w:pPr>
    <w:rPr>
      <w:rFonts w:ascii="Arial" w:hAnsi="Arial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4">
    <w:name w:val="Text"/>
    <w:basedOn w:val="1"/>
    <w:link w:val="54"/>
    <w:qFormat/>
    <w:uiPriority w:val="99"/>
    <w:pPr>
      <w:adjustRightInd/>
      <w:spacing w:before="120"/>
      <w:jc w:val="both"/>
      <w:textAlignment w:val="auto"/>
    </w:pPr>
    <w:rPr>
      <w:sz w:val="24"/>
      <w:lang w:val="en-US"/>
    </w:rPr>
  </w:style>
  <w:style w:type="paragraph" w:customStyle="1" w:styleId="35">
    <w:name w:val="Table text"/>
    <w:basedOn w:val="1"/>
    <w:qFormat/>
    <w:uiPriority w:val="99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Heading 1 Char"/>
    <w:basedOn w:val="19"/>
    <w:link w:val="2"/>
    <w:qFormat/>
    <w:uiPriority w:val="9"/>
    <w:rPr>
      <w:b/>
      <w:bCs/>
      <w:kern w:val="44"/>
      <w:sz w:val="44"/>
      <w:szCs w:val="44"/>
      <w:lang w:eastAsia="en-US"/>
    </w:rPr>
  </w:style>
  <w:style w:type="character" w:customStyle="1" w:styleId="37">
    <w:name w:val="Heading 2 Char"/>
    <w:basedOn w:val="19"/>
    <w:link w:val="3"/>
    <w:semiHidden/>
    <w:qFormat/>
    <w:uiPriority w:val="9"/>
    <w:rPr>
      <w:rFonts w:ascii="Cambria" w:hAnsi="Cambria" w:eastAsia="宋体" w:cs="黑体"/>
      <w:b/>
      <w:bCs/>
      <w:kern w:val="0"/>
      <w:sz w:val="32"/>
      <w:szCs w:val="32"/>
      <w:lang w:eastAsia="en-US"/>
    </w:rPr>
  </w:style>
  <w:style w:type="character" w:customStyle="1" w:styleId="38">
    <w:name w:val="Heading 3 Char"/>
    <w:basedOn w:val="19"/>
    <w:link w:val="4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39">
    <w:name w:val="Heading 4 Char"/>
    <w:basedOn w:val="19"/>
    <w:link w:val="5"/>
    <w:semiHidden/>
    <w:qFormat/>
    <w:uiPriority w:val="9"/>
    <w:rPr>
      <w:rFonts w:ascii="Cambria" w:hAnsi="Cambria" w:eastAsia="宋体" w:cs="黑体"/>
      <w:b/>
      <w:bCs/>
      <w:kern w:val="0"/>
      <w:sz w:val="28"/>
      <w:szCs w:val="28"/>
      <w:lang w:eastAsia="en-US"/>
    </w:rPr>
  </w:style>
  <w:style w:type="character" w:customStyle="1" w:styleId="40">
    <w:name w:val="Comment Text Char"/>
    <w:basedOn w:val="19"/>
    <w:link w:val="7"/>
    <w:semiHidden/>
    <w:qFormat/>
    <w:locked/>
    <w:uiPriority w:val="99"/>
    <w:rPr>
      <w:sz w:val="24"/>
      <w:lang w:eastAsia="en-US"/>
    </w:rPr>
  </w:style>
  <w:style w:type="character" w:customStyle="1" w:styleId="41">
    <w:name w:val="Comment Subject Char"/>
    <w:basedOn w:val="40"/>
    <w:link w:val="6"/>
    <w:semiHidden/>
    <w:qFormat/>
    <w:uiPriority w:val="99"/>
    <w:rPr>
      <w:b/>
      <w:bCs/>
      <w:kern w:val="0"/>
      <w:szCs w:val="20"/>
    </w:rPr>
  </w:style>
  <w:style w:type="character" w:customStyle="1" w:styleId="42">
    <w:name w:val="Body Text 3 Char"/>
    <w:basedOn w:val="19"/>
    <w:link w:val="8"/>
    <w:semiHidden/>
    <w:qFormat/>
    <w:uiPriority w:val="99"/>
    <w:rPr>
      <w:kern w:val="0"/>
      <w:sz w:val="16"/>
      <w:szCs w:val="16"/>
      <w:lang w:eastAsia="en-US"/>
    </w:rPr>
  </w:style>
  <w:style w:type="character" w:customStyle="1" w:styleId="43">
    <w:name w:val="Body Text Char"/>
    <w:basedOn w:val="19"/>
    <w:link w:val="9"/>
    <w:semiHidden/>
    <w:qFormat/>
    <w:uiPriority w:val="99"/>
    <w:rPr>
      <w:kern w:val="0"/>
      <w:szCs w:val="20"/>
      <w:lang w:eastAsia="en-US"/>
    </w:rPr>
  </w:style>
  <w:style w:type="character" w:customStyle="1" w:styleId="44">
    <w:name w:val="Body Text Indent Char"/>
    <w:basedOn w:val="19"/>
    <w:link w:val="10"/>
    <w:semiHidden/>
    <w:qFormat/>
    <w:uiPriority w:val="99"/>
    <w:rPr>
      <w:kern w:val="0"/>
      <w:szCs w:val="20"/>
      <w:lang w:eastAsia="en-US"/>
    </w:rPr>
  </w:style>
  <w:style w:type="character" w:customStyle="1" w:styleId="45">
    <w:name w:val="Body Text Indent 2 Char"/>
    <w:basedOn w:val="19"/>
    <w:link w:val="12"/>
    <w:semiHidden/>
    <w:qFormat/>
    <w:uiPriority w:val="99"/>
    <w:rPr>
      <w:kern w:val="0"/>
      <w:szCs w:val="20"/>
      <w:lang w:eastAsia="en-US"/>
    </w:rPr>
  </w:style>
  <w:style w:type="character" w:customStyle="1" w:styleId="46">
    <w:name w:val="Balloon Text Char"/>
    <w:basedOn w:val="19"/>
    <w:link w:val="13"/>
    <w:semiHidden/>
    <w:qFormat/>
    <w:uiPriority w:val="99"/>
    <w:rPr>
      <w:kern w:val="0"/>
      <w:sz w:val="16"/>
      <w:szCs w:val="16"/>
      <w:lang w:eastAsia="en-US"/>
    </w:rPr>
  </w:style>
  <w:style w:type="character" w:customStyle="1" w:styleId="47">
    <w:name w:val="Footer Char"/>
    <w:basedOn w:val="19"/>
    <w:link w:val="14"/>
    <w:semiHidden/>
    <w:qFormat/>
    <w:locked/>
    <w:uiPriority w:val="99"/>
    <w:rPr>
      <w:rFonts w:cs="Times New Roman"/>
      <w:sz w:val="18"/>
      <w:szCs w:val="18"/>
    </w:rPr>
  </w:style>
  <w:style w:type="character" w:customStyle="1" w:styleId="48">
    <w:name w:val="Header Char"/>
    <w:basedOn w:val="19"/>
    <w:link w:val="15"/>
    <w:qFormat/>
    <w:locked/>
    <w:uiPriority w:val="99"/>
    <w:rPr>
      <w:rFonts w:eastAsia="宋体"/>
      <w:sz w:val="24"/>
      <w:lang w:eastAsia="en-US"/>
    </w:rPr>
  </w:style>
  <w:style w:type="character" w:customStyle="1" w:styleId="49">
    <w:name w:val="Title Char"/>
    <w:basedOn w:val="19"/>
    <w:link w:val="18"/>
    <w:qFormat/>
    <w:locked/>
    <w:uiPriority w:val="99"/>
    <w:rPr>
      <w:rFonts w:ascii="Calibri Light" w:hAnsi="Calibri Light"/>
      <w:b/>
      <w:sz w:val="32"/>
      <w:lang w:eastAsia="en-US"/>
    </w:rPr>
  </w:style>
  <w:style w:type="character" w:customStyle="1" w:styleId="50">
    <w:name w:val="Footer Char1"/>
    <w:link w:val="14"/>
    <w:qFormat/>
    <w:locked/>
    <w:uiPriority w:val="99"/>
    <w:rPr>
      <w:sz w:val="24"/>
      <w:lang w:eastAsia="en-US"/>
    </w:rPr>
  </w:style>
  <w:style w:type="character" w:customStyle="1" w:styleId="51">
    <w:name w:val="instruction standard blue"/>
    <w:qFormat/>
    <w:uiPriority w:val="99"/>
    <w:rPr>
      <w:i/>
      <w:color w:val="0070C0"/>
    </w:rPr>
  </w:style>
  <w:style w:type="character" w:customStyle="1" w:styleId="52">
    <w:name w:val="keyword"/>
    <w:basedOn w:val="19"/>
    <w:qFormat/>
    <w:uiPriority w:val="99"/>
    <w:rPr>
      <w:rFonts w:cs="Times New Roman"/>
    </w:rPr>
  </w:style>
  <w:style w:type="character" w:customStyle="1" w:styleId="53">
    <w:name w:val="numbering blue Zchn"/>
    <w:link w:val="32"/>
    <w:qFormat/>
    <w:locked/>
    <w:uiPriority w:val="99"/>
    <w:rPr>
      <w:rFonts w:ascii="Arial" w:hAnsi="Arial" w:eastAsia="PMingLiU"/>
      <w:color w:val="0070C0"/>
      <w:lang w:eastAsia="zh-TW"/>
    </w:rPr>
  </w:style>
  <w:style w:type="character" w:customStyle="1" w:styleId="54">
    <w:name w:val="Text Char"/>
    <w:link w:val="34"/>
    <w:qFormat/>
    <w:locked/>
    <w:uiPriority w:val="99"/>
    <w:rPr>
      <w:sz w:val="24"/>
      <w:lang w:eastAsia="en-US"/>
    </w:rPr>
  </w:style>
  <w:style w:type="character" w:customStyle="1" w:styleId="55">
    <w:name w:val="ordinary-span-edit2"/>
    <w:qFormat/>
    <w:uiPriority w:val="99"/>
  </w:style>
  <w:style w:type="character" w:customStyle="1" w:styleId="56">
    <w:name w:val="apple-converted-space"/>
    <w:basedOn w:val="1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583</Words>
  <Characters>3328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2017-06-22T01:53:00Z</cp:lastPrinted>
  <dcterms:modified xsi:type="dcterms:W3CDTF">2019-04-22T06:22:36Z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