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3400307"/>
      <w:bookmarkStart w:id="2" w:name="_Toc483227223"/>
      <w:bookmarkStart w:id="3" w:name="_Toc482717189"/>
      <w:bookmarkStart w:id="4" w:name="_Toc484532399"/>
    </w:p>
    <w:p>
      <w:pPr>
        <w:spacing w:after="158" w:afterLines="50"/>
        <w:jc w:val="center"/>
        <w:rPr>
          <w:sz w:val="21"/>
          <w:szCs w:val="21"/>
          <w:lang w:eastAsia="zh-CN"/>
        </w:rPr>
      </w:pPr>
      <w:r>
        <w:rPr>
          <w:rFonts w:hint="eastAsia"/>
          <w:b/>
          <w:sz w:val="28"/>
          <w:szCs w:val="28"/>
          <w:lang w:eastAsia="zh-CN"/>
        </w:rPr>
        <w:t>酶标仪用户需求说明（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bookmarkStart w:id="47" w:name="_GoBack"/>
      <w:bookmarkEnd w:id="47"/>
    </w:p>
    <w:p>
      <w:pPr>
        <w:pStyle w:val="16"/>
        <w:rPr>
          <w:b w:val="0"/>
          <w:bCs w:val="0"/>
          <w:caps w:val="0"/>
          <w:szCs w:val="22"/>
        </w:rPr>
      </w:pPr>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Fonts w:hint="eastAsia"/>
        </w:rPr>
        <w:t>安全要求</w:t>
      </w:r>
      <w:r>
        <w:tab/>
      </w:r>
      <w:r>
        <w:fldChar w:fldCharType="begin"/>
      </w:r>
      <w:r>
        <w:instrText xml:space="preserve"> PAGEREF _Toc522716123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Fonts w:hint="eastAsia"/>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lang w:eastAsia="zh-CN"/>
        </w:rPr>
      </w:pPr>
    </w:p>
    <w:p>
      <w:pPr>
        <w:pStyle w:val="30"/>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hint="eastAsia" w:ascii="Times New Roman" w:hAnsi="Times New Roman"/>
          <w:b/>
        </w:rPr>
        <w:t>目的</w:t>
      </w:r>
      <w:bookmarkEnd w:id="5"/>
      <w:bookmarkEnd w:id="6"/>
    </w:p>
    <w:p>
      <w:pPr>
        <w:pStyle w:val="34"/>
        <w:spacing w:before="0" w:line="360" w:lineRule="auto"/>
        <w:ind w:left="357"/>
        <w:jc w:val="left"/>
        <w:rPr>
          <w:szCs w:val="21"/>
          <w:lang w:eastAsia="zh-CN"/>
        </w:rPr>
      </w:pPr>
      <w:bookmarkStart w:id="7" w:name="_Toc482625279"/>
      <w:bookmarkStart w:id="8" w:name="_Toc482370757"/>
      <w:bookmarkStart w:id="9" w:name="_Toc482370349"/>
      <w:bookmarkStart w:id="10" w:name="_Toc482370141"/>
      <w:bookmarkStart w:id="11" w:name="_Toc482370061"/>
      <w:bookmarkStart w:id="12" w:name="_Toc482369805"/>
      <w:bookmarkStart w:id="13" w:name="_Toc482360281"/>
      <w:bookmarkStart w:id="14" w:name="_Toc482359936"/>
      <w:bookmarkStart w:id="15" w:name="_Toc481702475"/>
      <w:r>
        <w:rPr>
          <w:rFonts w:hint="eastAsia"/>
          <w:szCs w:val="21"/>
          <w:lang w:eastAsia="zh-CN"/>
        </w:rPr>
        <w:t>本文件的目的是描述武汉生物制品研究所有限责任公司质量控制室酶标仪的用户需求说明（</w:t>
      </w:r>
      <w:r>
        <w:rPr>
          <w:szCs w:val="21"/>
          <w:lang w:eastAsia="zh-CN"/>
        </w:rPr>
        <w:t>URS</w:t>
      </w:r>
      <w:r>
        <w:rPr>
          <w:rFonts w:hint="eastAsia"/>
          <w:szCs w:val="21"/>
          <w:lang w:eastAsia="zh-CN"/>
        </w:rPr>
        <w:t>），以确保最终用户的需求在项目设计阶段得以实现，并作为后续验证工作的基础。该酶标仪主要用于乙型脑炎减毒活疫苗的相关</w:t>
      </w:r>
      <w:r>
        <w:rPr>
          <w:szCs w:val="21"/>
          <w:lang w:eastAsia="zh-CN"/>
        </w:rPr>
        <w:t>ELISA</w:t>
      </w:r>
      <w:r>
        <w:rPr>
          <w:rFonts w:hint="eastAsia"/>
          <w:szCs w:val="21"/>
          <w:lang w:eastAsia="zh-CN"/>
        </w:rPr>
        <w:t>试验检定，根据目前质控室酶标仪使用情况，建议采购酶标仪。</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hint="eastAsia" w:ascii="Times New Roman" w:hAnsi="Times New Roman"/>
          <w:b/>
        </w:rPr>
        <w:t>范围</w:t>
      </w:r>
      <w:bookmarkEnd w:id="16"/>
      <w:bookmarkEnd w:id="17"/>
    </w:p>
    <w:p>
      <w:pPr>
        <w:pStyle w:val="34"/>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适用于武汉生物制品研究所有限责任公司质量控制室酶标仪。</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hint="eastAsia"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34"/>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中国药典</w:t>
      </w:r>
      <w:r>
        <w:rPr>
          <w:iCs/>
          <w:szCs w:val="21"/>
          <w:lang w:val="zh-CN" w:eastAsia="zh-CN"/>
        </w:rPr>
        <w:t xml:space="preserve"> 2015</w:t>
      </w:r>
      <w:r>
        <w:rPr>
          <w:rFonts w:hint="eastAsia"/>
          <w:iCs/>
          <w:szCs w:val="21"/>
          <w:lang w:val="zh-CN" w:eastAsia="zh-CN"/>
        </w:rPr>
        <w:t>年版</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34"/>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1</w:t>
      </w:r>
      <w:r>
        <w:rPr>
          <w:rFonts w:hint="eastAsia"/>
          <w:iCs/>
          <w:szCs w:val="21"/>
          <w:lang w:val="zh-CN" w:eastAsia="zh-CN"/>
        </w:rPr>
        <w:t>《计算机化系统》（</w:t>
      </w:r>
      <w:r>
        <w:rPr>
          <w:iCs/>
          <w:szCs w:val="21"/>
          <w:lang w:val="zh-CN" w:eastAsia="zh-CN"/>
        </w:rPr>
        <w:t>2015</w:t>
      </w:r>
      <w:r>
        <w:rPr>
          <w:rFonts w:hint="eastAsia"/>
          <w:iCs/>
          <w:szCs w:val="21"/>
          <w:lang w:val="zh-CN" w:eastAsia="zh-CN"/>
        </w:rPr>
        <w:t>版）</w:t>
      </w:r>
    </w:p>
    <w:p>
      <w:pPr>
        <w:pStyle w:val="34"/>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2</w:t>
      </w:r>
      <w:r>
        <w:rPr>
          <w:rFonts w:hint="eastAsia"/>
          <w:iCs/>
          <w:szCs w:val="21"/>
          <w:lang w:val="zh-CN" w:eastAsia="zh-CN"/>
        </w:rPr>
        <w:t>《确认与验证》（</w:t>
      </w:r>
      <w:r>
        <w:rPr>
          <w:iCs/>
          <w:szCs w:val="21"/>
          <w:lang w:val="zh-CN" w:eastAsia="zh-CN"/>
        </w:rPr>
        <w:t>2015</w:t>
      </w:r>
      <w:r>
        <w:rPr>
          <w:rFonts w:hint="eastAsia"/>
          <w:iCs/>
          <w:szCs w:val="21"/>
          <w:lang w:val="zh-CN" w:eastAsia="zh-CN"/>
        </w:rPr>
        <w:t>版）</w:t>
      </w:r>
    </w:p>
    <w:p>
      <w:pPr>
        <w:pStyle w:val="34"/>
        <w:numPr>
          <w:ilvl w:val="0"/>
          <w:numId w:val="5"/>
        </w:numPr>
        <w:spacing w:before="0" w:line="360" w:lineRule="auto"/>
        <w:ind w:left="777"/>
        <w:jc w:val="left"/>
        <w:rPr>
          <w:color w:val="000000"/>
          <w:szCs w:val="21"/>
          <w:lang w:val="zh-TW" w:eastAsia="zh-TW"/>
        </w:rPr>
      </w:pPr>
      <w:r>
        <w:rPr>
          <w:color w:val="000000"/>
          <w:szCs w:val="21"/>
          <w:lang w:val="zh-TW" w:eastAsia="zh-TW"/>
        </w:rPr>
        <w:t>21CFR Part11</w:t>
      </w:r>
    </w:p>
    <w:p>
      <w:pPr>
        <w:pStyle w:val="34"/>
        <w:numPr>
          <w:ilvl w:val="0"/>
          <w:numId w:val="5"/>
        </w:numPr>
        <w:spacing w:before="0" w:line="360" w:lineRule="auto"/>
        <w:ind w:left="777"/>
        <w:jc w:val="left"/>
        <w:rPr>
          <w:i/>
          <w:color w:val="4472C4"/>
          <w:szCs w:val="21"/>
          <w:lang w:eastAsia="zh-CN"/>
        </w:rPr>
      </w:pPr>
      <w:r>
        <w:rPr>
          <w:color w:val="000000"/>
          <w:szCs w:val="21"/>
          <w:lang w:val="zh-TW" w:eastAsia="zh-TW"/>
        </w:rPr>
        <w:t>GAMP5</w:t>
      </w:r>
    </w:p>
    <w:p>
      <w:pPr>
        <w:pStyle w:val="34"/>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34"/>
        <w:numPr>
          <w:ilvl w:val="0"/>
          <w:numId w:val="5"/>
        </w:numPr>
        <w:spacing w:before="0" w:line="360" w:lineRule="auto"/>
        <w:ind w:left="777"/>
        <w:jc w:val="left"/>
        <w:rPr>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p>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hint="eastAsia" w:ascii="Times New Roman" w:hAnsi="Times New Roman"/>
          <w:b/>
        </w:rPr>
        <w:t>系统描述</w:t>
      </w:r>
      <w:bookmarkEnd w:id="20"/>
      <w:bookmarkEnd w:id="21"/>
    </w:p>
    <w:p>
      <w:pPr>
        <w:pStyle w:val="34"/>
        <w:spacing w:before="0" w:line="360" w:lineRule="auto"/>
        <w:ind w:left="357"/>
        <w:jc w:val="left"/>
        <w:rPr>
          <w:i/>
          <w:color w:val="4472C4"/>
          <w:szCs w:val="21"/>
          <w:lang w:eastAsia="zh-CN"/>
        </w:rPr>
      </w:pPr>
      <w:r>
        <w:rPr>
          <w:rFonts w:hint="eastAsia"/>
          <w:iCs/>
          <w:sz w:val="21"/>
          <w:szCs w:val="21"/>
          <w:lang w:eastAsia="zh-CN"/>
        </w:rPr>
        <w:t>本系统由基本</w:t>
      </w:r>
      <w:r>
        <w:rPr>
          <w:rFonts w:hint="eastAsia"/>
          <w:iCs/>
          <w:sz w:val="21"/>
          <w:szCs w:val="21"/>
          <w:lang w:eastAsia="zh-CN"/>
        </w:rPr>
        <w:t>酶标仪部分、紫外检测部分和上位计算机部分组成。基本酶标仪部分是该仪器的基础，包括加热丝、温度采集与处理等部分，它必须具有精确控温、快速升降温、温度场均一等酶标仪的基本要求，保证酶标仪过程的顺利完成。紫外检测部分包括全波长的光谱扫描和光程校正部分。上位计算机部分包括数据采集和系统分析软件，主要负责从下位机采集数据，形成光谱数据，并进行数据处理，得到蛋白质含量和其它检测报告信息等。</w:t>
      </w:r>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hint="eastAsia"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szCs w:val="21"/>
                <w:lang w:eastAsia="zh-CN"/>
              </w:rPr>
              <w:t>质量控制室生物检定实验室，避免交叉污染</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安装桌面的尺寸不少于</w:t>
            </w:r>
            <w:r>
              <w:rPr>
                <w:szCs w:val="21"/>
                <w:lang w:val="en-US" w:eastAsia="zh-CN"/>
              </w:rPr>
              <w:t>0.6m</w:t>
            </w:r>
            <w:r>
              <w:rPr>
                <w:rFonts w:hint="eastAsia"/>
                <w:szCs w:val="21"/>
                <w:lang w:val="en-US" w:eastAsia="zh-CN"/>
              </w:rPr>
              <w:t>宽，</w:t>
            </w:r>
            <w:r>
              <w:rPr>
                <w:szCs w:val="21"/>
                <w:lang w:val="en-US" w:eastAsia="zh-CN"/>
              </w:rPr>
              <w:t>1.5m</w:t>
            </w:r>
            <w:r>
              <w:rPr>
                <w:rFonts w:hint="eastAsia"/>
                <w:szCs w:val="21"/>
                <w:lang w:val="en-US" w:eastAsia="zh-CN"/>
              </w:rPr>
              <w:t>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整机和电脑不超过</w:t>
            </w:r>
            <w:r>
              <w:rPr>
                <w:szCs w:val="21"/>
                <w:lang w:val="en-US" w:eastAsia="zh-CN"/>
              </w:rPr>
              <w:t>45kg</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15-30</w:t>
            </w:r>
            <w:r>
              <w:rPr>
                <w:rFonts w:hint="eastAsia"/>
                <w:color w:val="000000"/>
                <w:szCs w:val="22"/>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20%-80%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适用于我公司交流电电源供电：～</w:t>
            </w:r>
            <w:r>
              <w:rPr>
                <w:color w:val="000000"/>
                <w:szCs w:val="22"/>
                <w:lang w:eastAsia="zh-CN"/>
              </w:rPr>
              <w:t>220</w:t>
            </w:r>
            <w:r>
              <w:rPr>
                <w:rFonts w:hint="eastAsia"/>
                <w:color w:val="000000"/>
                <w:szCs w:val="22"/>
                <w:lang w:eastAsia="zh-CN"/>
              </w:rPr>
              <w:t>±</w:t>
            </w:r>
            <w:r>
              <w:rPr>
                <w:color w:val="000000"/>
                <w:szCs w:val="22"/>
                <w:lang w:eastAsia="zh-CN"/>
              </w:rPr>
              <w:t>10%V</w:t>
            </w:r>
            <w:r>
              <w:rPr>
                <w:rFonts w:hint="eastAsia"/>
                <w:color w:val="000000"/>
                <w:szCs w:val="22"/>
                <w:lang w:eastAsia="zh-CN"/>
              </w:rPr>
              <w:t>，</w:t>
            </w:r>
            <w:r>
              <w:rPr>
                <w:color w:val="000000"/>
                <w:szCs w:val="22"/>
                <w:lang w:eastAsia="zh-CN"/>
              </w:rPr>
              <w:t>50</w:t>
            </w:r>
            <w:r>
              <w:rPr>
                <w:rFonts w:hint="eastAsia"/>
                <w:color w:val="000000"/>
                <w:szCs w:val="22"/>
                <w:lang w:eastAsia="zh-CN"/>
              </w:rPr>
              <w:t>±</w:t>
            </w:r>
            <w:r>
              <w:rPr>
                <w:color w:val="000000"/>
                <w:szCs w:val="22"/>
                <w:lang w:eastAsia="zh-CN"/>
              </w:rPr>
              <w:t xml:space="preserve">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标识：至少应有以下永久贴牢和清楚易认的标识：</w:t>
            </w:r>
            <w:r>
              <w:rPr>
                <w:szCs w:val="21"/>
                <w:lang w:val="en-US" w:eastAsia="zh-CN"/>
              </w:rPr>
              <w:t xml:space="preserve"> </w:t>
            </w:r>
          </w:p>
          <w:p>
            <w:pPr>
              <w:spacing w:line="276" w:lineRule="auto"/>
              <w:jc w:val="both"/>
              <w:rPr>
                <w:szCs w:val="21"/>
                <w:lang w:val="en-US" w:eastAsia="zh-CN"/>
              </w:rPr>
            </w:pPr>
            <w:r>
              <w:rPr>
                <w:rFonts w:hint="eastAsia"/>
                <w:szCs w:val="21"/>
                <w:lang w:val="en-US" w:eastAsia="zh-CN"/>
              </w:rPr>
              <w:t>（</w:t>
            </w:r>
            <w:r>
              <w:rPr>
                <w:szCs w:val="21"/>
                <w:lang w:val="en-US" w:eastAsia="zh-CN"/>
              </w:rPr>
              <w:t>1</w:t>
            </w:r>
            <w:r>
              <w:rPr>
                <w:rFonts w:hint="eastAsia"/>
                <w:szCs w:val="21"/>
                <w:lang w:val="en-US" w:eastAsia="zh-CN"/>
              </w:rPr>
              <w:t>）制造</w:t>
            </w:r>
            <w:r>
              <w:rPr>
                <w:szCs w:val="21"/>
                <w:lang w:val="en-US" w:eastAsia="zh-CN"/>
              </w:rPr>
              <w:t>/</w:t>
            </w:r>
            <w:r>
              <w:rPr>
                <w:rFonts w:hint="eastAsia"/>
                <w:szCs w:val="21"/>
                <w:lang w:val="en-US" w:eastAsia="zh-CN"/>
              </w:rPr>
              <w:t>供应单位；</w:t>
            </w:r>
          </w:p>
          <w:p>
            <w:pPr>
              <w:spacing w:line="276" w:lineRule="auto"/>
              <w:jc w:val="both"/>
              <w:rPr>
                <w:szCs w:val="21"/>
                <w:lang w:val="en-US" w:eastAsia="zh-CN"/>
              </w:rPr>
            </w:pPr>
            <w:r>
              <w:rPr>
                <w:rFonts w:hint="eastAsia"/>
                <w:szCs w:val="21"/>
                <w:lang w:val="en-US" w:eastAsia="zh-CN"/>
              </w:rPr>
              <w:t>（</w:t>
            </w:r>
            <w:r>
              <w:rPr>
                <w:szCs w:val="21"/>
                <w:lang w:val="en-US" w:eastAsia="zh-CN"/>
              </w:rPr>
              <w:t>2</w:t>
            </w:r>
            <w:r>
              <w:rPr>
                <w:rFonts w:hint="eastAsia"/>
                <w:szCs w:val="21"/>
                <w:lang w:val="en-US" w:eastAsia="zh-CN"/>
              </w:rPr>
              <w:t>）产品注册号；</w:t>
            </w:r>
          </w:p>
          <w:p>
            <w:pPr>
              <w:spacing w:line="276" w:lineRule="auto"/>
              <w:jc w:val="both"/>
              <w:rPr>
                <w:szCs w:val="21"/>
                <w:lang w:val="en-US" w:eastAsia="zh-CN"/>
              </w:rPr>
            </w:pPr>
            <w:r>
              <w:rPr>
                <w:rFonts w:hint="eastAsia"/>
                <w:szCs w:val="21"/>
                <w:lang w:val="en-US" w:eastAsia="zh-CN"/>
              </w:rPr>
              <w:t>（</w:t>
            </w:r>
            <w:r>
              <w:rPr>
                <w:szCs w:val="21"/>
                <w:lang w:val="en-US" w:eastAsia="zh-CN"/>
              </w:rPr>
              <w:t>3</w:t>
            </w:r>
            <w:r>
              <w:rPr>
                <w:rFonts w:hint="eastAsia"/>
                <w:szCs w:val="21"/>
                <w:lang w:val="en-US" w:eastAsia="zh-CN"/>
              </w:rPr>
              <w:t>）型号；</w:t>
            </w:r>
          </w:p>
          <w:p>
            <w:pPr>
              <w:spacing w:line="276" w:lineRule="auto"/>
              <w:jc w:val="both"/>
              <w:rPr>
                <w:szCs w:val="21"/>
                <w:lang w:val="en-US" w:eastAsia="zh-CN"/>
              </w:rPr>
            </w:pPr>
            <w:r>
              <w:rPr>
                <w:rFonts w:hint="eastAsia"/>
                <w:szCs w:val="21"/>
                <w:lang w:val="en-US" w:eastAsia="zh-CN"/>
              </w:rPr>
              <w:t>（</w:t>
            </w:r>
            <w:r>
              <w:rPr>
                <w:szCs w:val="21"/>
                <w:lang w:val="en-US" w:eastAsia="zh-CN"/>
              </w:rPr>
              <w:t>4</w:t>
            </w:r>
            <w:r>
              <w:rPr>
                <w:rFonts w:hint="eastAsia"/>
                <w:szCs w:val="21"/>
                <w:lang w:val="en-US" w:eastAsia="zh-CN"/>
              </w:rPr>
              <w:t>）生产日期或编号；</w:t>
            </w:r>
          </w:p>
          <w:p>
            <w:pPr>
              <w:spacing w:line="276" w:lineRule="auto"/>
              <w:jc w:val="both"/>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）对设备必要的说明；</w:t>
            </w:r>
          </w:p>
          <w:p>
            <w:pPr>
              <w:spacing w:line="276" w:lineRule="auto"/>
              <w:jc w:val="both"/>
              <w:rPr>
                <w:color w:val="0070C0"/>
                <w:szCs w:val="21"/>
                <w:lang w:eastAsia="zh-CN"/>
              </w:rPr>
            </w:pPr>
            <w:r>
              <w:rPr>
                <w:rFonts w:hint="eastAsia"/>
                <w:szCs w:val="21"/>
                <w:lang w:val="en-US" w:eastAsia="zh-CN"/>
              </w:rPr>
              <w:t>（</w:t>
            </w:r>
            <w:r>
              <w:rPr>
                <w:szCs w:val="21"/>
                <w:lang w:val="en-US" w:eastAsia="zh-CN"/>
              </w:rPr>
              <w:t>6</w:t>
            </w:r>
            <w:r>
              <w:rPr>
                <w:rFonts w:hint="eastAsia"/>
                <w:szCs w:val="21"/>
                <w:lang w:val="en-US" w:eastAsia="zh-CN"/>
              </w:rPr>
              <w:t>）安全标识。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hint="eastAsia"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18"/>
                <w:szCs w:val="18"/>
                <w:lang w:eastAsia="zh-CN"/>
              </w:rPr>
            </w:pPr>
            <w:r>
              <w:rPr>
                <w:rFonts w:hint="eastAsia" w:ascii="宋体" w:hAnsi="宋体"/>
                <w:lang w:eastAsia="zh-CN"/>
              </w:rPr>
              <w:t>具备微孔板和比色杯测量双重功能，μ</w:t>
            </w:r>
            <w:r>
              <w:rPr>
                <w:rFonts w:ascii="宋体" w:hAnsi="宋体"/>
                <w:lang w:eastAsia="zh-CN"/>
              </w:rPr>
              <w:t>Drop</w:t>
            </w:r>
            <w:r>
              <w:rPr>
                <w:rFonts w:hint="eastAsia" w:ascii="宋体" w:hAnsi="宋体"/>
                <w:lang w:eastAsia="zh-CN"/>
              </w:rPr>
              <w:t>超微量检测板可选，用于超微量多样本检测。</w:t>
            </w:r>
          </w:p>
          <w:p>
            <w:pPr>
              <w:jc w:val="center"/>
              <w:rPr>
                <w:szCs w:val="21"/>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val="en-US" w:eastAsia="zh-CN"/>
              </w:rPr>
            </w:pPr>
            <w:r>
              <w:rPr>
                <w:rFonts w:hint="eastAsia" w:ascii="宋体" w:hAnsi="宋体"/>
                <w:lang w:eastAsia="zh-CN"/>
              </w:rPr>
              <w:t>检测波长范围</w:t>
            </w:r>
            <w:r>
              <w:rPr>
                <w:rFonts w:ascii="宋体" w:hAnsi="宋体"/>
                <w:sz w:val="24"/>
                <w:lang w:eastAsia="zh-CN"/>
              </w:rPr>
              <w:t>340-850nm</w:t>
            </w:r>
            <w:r>
              <w:rPr>
                <w:rFonts w:hint="eastAsia" w:ascii="宋体" w:hAnsi="宋体"/>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val="en-US" w:eastAsia="zh-CN"/>
              </w:rPr>
            </w:pPr>
            <w:r>
              <w:rPr>
                <w:rFonts w:ascii="宋体" w:hAnsi="宋体"/>
                <w:lang w:eastAsia="zh-CN"/>
              </w:rPr>
              <w:t xml:space="preserve"> </w:t>
            </w:r>
            <w:r>
              <w:rPr>
                <w:rFonts w:hint="eastAsia" w:ascii="宋体" w:hAnsi="宋体"/>
                <w:lang w:eastAsia="zh-CN"/>
              </w:rPr>
              <w:t>光源：石英卤素灯</w:t>
            </w:r>
            <w:r>
              <w:rPr>
                <w:rFonts w:hint="eastAsia" w:ascii="宋体" w:hAnsi="宋体"/>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val="en-US" w:eastAsia="zh-CN"/>
              </w:rPr>
            </w:pPr>
            <w:r>
              <w:rPr>
                <w:rFonts w:ascii="宋体" w:hAnsi="宋体"/>
                <w:lang w:eastAsia="zh-CN"/>
              </w:rPr>
              <w:t xml:space="preserve"> </w:t>
            </w:r>
            <w:r>
              <w:rPr>
                <w:rFonts w:hint="eastAsia" w:ascii="宋体" w:hAnsi="宋体"/>
                <w:lang w:eastAsia="zh-CN"/>
              </w:rPr>
              <w:t>可以读取有盖或无盖的</w:t>
            </w:r>
            <w:r>
              <w:rPr>
                <w:rFonts w:ascii="宋体" w:hAnsi="宋体"/>
                <w:lang w:val="en-US" w:eastAsia="zh-CN"/>
              </w:rPr>
              <w:t>96</w:t>
            </w:r>
            <w:r>
              <w:rPr>
                <w:rFonts w:hint="eastAsia" w:ascii="宋体" w:hAnsi="宋体"/>
                <w:lang w:val="en-US" w:eastAsia="zh-CN"/>
              </w:rPr>
              <w:t>孔板和</w:t>
            </w:r>
            <w:r>
              <w:rPr>
                <w:rFonts w:ascii="宋体" w:hAnsi="宋体"/>
                <w:lang w:val="en-US" w:eastAsia="zh-CN"/>
              </w:rPr>
              <w:t>384</w:t>
            </w:r>
            <w:r>
              <w:rPr>
                <w:rFonts w:hint="eastAsia" w:ascii="宋体" w:hAnsi="宋体"/>
                <w:lang w:val="en-US" w:eastAsia="zh-CN"/>
              </w:rPr>
              <w:t>孔板。具备快速读数功能，</w:t>
            </w:r>
            <w:r>
              <w:rPr>
                <w:rFonts w:ascii="宋体" w:hAnsi="宋体"/>
                <w:lang w:val="en-US" w:eastAsia="zh-CN"/>
              </w:rPr>
              <w:t>96</w:t>
            </w:r>
            <w:r>
              <w:rPr>
                <w:rFonts w:hint="eastAsia" w:ascii="宋体" w:hAnsi="宋体"/>
                <w:lang w:val="en-US" w:eastAsia="zh-CN"/>
              </w:rPr>
              <w:t>孔板仅需</w:t>
            </w:r>
            <w:r>
              <w:rPr>
                <w:rFonts w:ascii="宋体" w:hAnsi="宋体"/>
                <w:lang w:val="en-US" w:eastAsia="zh-CN"/>
              </w:rPr>
              <w:t>6s</w:t>
            </w:r>
            <w:r>
              <w:rPr>
                <w:rFonts w:hint="eastAsia" w:ascii="宋体" w:hAnsi="宋体"/>
                <w:lang w:val="en-US" w:eastAsia="zh-CN"/>
              </w:rPr>
              <w:t>，</w:t>
            </w:r>
            <w:r>
              <w:rPr>
                <w:rFonts w:ascii="宋体" w:hAnsi="宋体"/>
                <w:lang w:val="en-US" w:eastAsia="zh-CN"/>
              </w:rPr>
              <w:t>384</w:t>
            </w:r>
            <w:r>
              <w:rPr>
                <w:rFonts w:hint="eastAsia" w:ascii="宋体" w:hAnsi="宋体"/>
                <w:lang w:val="en-US" w:eastAsia="zh-CN"/>
              </w:rPr>
              <w:t>孔板仅需</w:t>
            </w:r>
            <w:r>
              <w:rPr>
                <w:rFonts w:ascii="宋体" w:hAnsi="宋体"/>
                <w:lang w:val="en-US" w:eastAsia="zh-CN"/>
              </w:rPr>
              <w:t>11s</w:t>
            </w:r>
            <w:r>
              <w:rPr>
                <w:rFonts w:hint="eastAsia" w:ascii="宋体" w:hAnsi="宋体"/>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ascii="宋体" w:hAnsi="宋体"/>
                <w:lang w:eastAsia="zh-CN"/>
              </w:rPr>
              <w:t xml:space="preserve"> </w:t>
            </w:r>
            <w:r>
              <w:rPr>
                <w:rFonts w:hint="eastAsia" w:ascii="宋体" w:hAnsi="宋体"/>
                <w:lang w:eastAsia="zh-CN"/>
              </w:rPr>
              <w:t>微孔板室和比色杯座均配备温控元件，可控温度为</w:t>
            </w:r>
            <w:r>
              <w:rPr>
                <w:rFonts w:ascii="宋体" w:hAnsi="宋体"/>
                <w:lang w:val="en-US" w:eastAsia="zh-CN"/>
              </w:rPr>
              <w:t>2-45</w:t>
            </w:r>
            <w:r>
              <w:rPr>
                <w:rFonts w:hint="eastAsia" w:ascii="宋体" w:hAnsi="宋体"/>
                <w:lang w:val="en-US" w:eastAsia="zh-CN"/>
              </w:rPr>
              <w:t>℃，使用于温度敏感性检测。</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val="en-US" w:eastAsia="zh-CN"/>
              </w:rPr>
            </w:pPr>
            <w:r>
              <w:rPr>
                <w:rFonts w:hint="eastAsia" w:ascii="宋体" w:hAnsi="宋体"/>
                <w:lang w:eastAsia="zh-CN"/>
              </w:rPr>
              <w:t>线性振荡，</w:t>
            </w:r>
            <w:r>
              <w:rPr>
                <w:rFonts w:hint="eastAsia" w:ascii="宋体" w:hAnsi="宋体"/>
                <w:lang w:val="en-US" w:eastAsia="zh-CN"/>
              </w:rPr>
              <w:t>三种速度可选</w:t>
            </w:r>
          </w:p>
          <w:p>
            <w:pPr>
              <w:spacing w:line="276" w:lineRule="auto"/>
              <w:jc w:val="both"/>
              <w:rPr>
                <w:szCs w:val="21"/>
                <w:lang w:val="en-US"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lang w:eastAsia="zh-CN"/>
              </w:rPr>
            </w:pPr>
            <w:r>
              <w:rPr>
                <w:rFonts w:hint="eastAsia" w:ascii="宋体" w:hAnsi="宋体"/>
                <w:lang w:eastAsia="zh-CN"/>
              </w:rPr>
              <w:t>比色杯类型有：标准、微量和超微量比色杯。</w:t>
            </w:r>
            <w:r>
              <w:rPr>
                <w:rFonts w:ascii="宋体" w:hAnsi="宋体"/>
                <w:lang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lang w:eastAsia="zh-CN"/>
              </w:rPr>
            </w:pPr>
            <w:r>
              <w:rPr>
                <w:rFonts w:hint="eastAsia" w:ascii="宋体" w:hAnsi="宋体"/>
                <w:lang w:eastAsia="zh-CN"/>
              </w:rPr>
              <w:t>具有包括紫外区的宽广波长选择范围，并具有光程校正和光谱扫描功能，是所有光吸收实验如</w:t>
            </w:r>
            <w:r>
              <w:rPr>
                <w:rFonts w:ascii="宋体" w:hAnsi="宋体"/>
                <w:lang w:eastAsia="zh-CN"/>
              </w:rPr>
              <w:t>DNA/RNA</w:t>
            </w:r>
            <w:r>
              <w:rPr>
                <w:rFonts w:hint="eastAsia" w:ascii="宋体" w:hAnsi="宋体"/>
                <w:lang w:eastAsia="zh-CN"/>
              </w:rPr>
              <w:t>的定量和纯度分析、蛋白质定量等的理想选择</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lang w:eastAsia="zh-CN"/>
              </w:rPr>
            </w:pPr>
            <w:r>
              <w:rPr>
                <w:rFonts w:hint="eastAsia" w:ascii="宋体" w:hAnsi="宋体"/>
                <w:lang w:eastAsia="zh-CN"/>
              </w:rPr>
              <w:t>大屏幕彩色液晶显示屏，可独立使用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cs="宋体"/>
                <w:szCs w:val="21"/>
                <w:lang w:val="en-US" w:eastAsia="zh-CN"/>
              </w:rPr>
            </w:pPr>
            <w:r>
              <w:rPr>
                <w:rFonts w:hint="eastAsia"/>
                <w:szCs w:val="21"/>
                <w:lang w:eastAsia="zh-CN"/>
              </w:rPr>
              <w:t>任何检测数据都可以通过</w:t>
            </w:r>
            <w:r>
              <w:rPr>
                <w:szCs w:val="21"/>
                <w:lang w:val="en-US" w:eastAsia="zh-CN"/>
              </w:rPr>
              <w:t>USB</w:t>
            </w:r>
            <w:r>
              <w:rPr>
                <w:rFonts w:hint="eastAsia"/>
                <w:szCs w:val="21"/>
                <w:lang w:val="en-US" w:eastAsia="zh-CN"/>
              </w:rPr>
              <w:t>连接接口导出，</w:t>
            </w:r>
            <w:r>
              <w:rPr>
                <w:szCs w:val="21"/>
                <w:lang w:val="en-US" w:eastAsia="zh-CN"/>
              </w:rPr>
              <w:t>Skanlt</w:t>
            </w:r>
            <w:r>
              <w:rPr>
                <w:rFonts w:hint="eastAsia"/>
                <w:szCs w:val="21"/>
                <w:lang w:val="en-US" w:eastAsia="zh-CN"/>
              </w:rPr>
              <w:t>具有逻辑化和易于使用，数据分析功能包括：定量曲线拟合，线性分析、动力学计算、自定义方程以及平行线分析等。</w:t>
            </w:r>
          </w:p>
        </w:tc>
        <w:tc>
          <w:tcPr>
            <w:tcW w:w="2125" w:type="dxa"/>
            <w:vAlign w:val="center"/>
          </w:tcPr>
          <w:p>
            <w:pPr>
              <w:jc w:val="both"/>
              <w:rPr>
                <w:szCs w:val="21"/>
                <w:lang w:eastAsia="zh-CN"/>
              </w:rPr>
            </w:pPr>
            <w:r>
              <w:rPr>
                <w:rFonts w:hint="eastAsia"/>
                <w:szCs w:val="21"/>
                <w:lang w:eastAsia="zh-CN"/>
              </w:rPr>
              <w:t>关键</w:t>
            </w:r>
          </w:p>
        </w:tc>
      </w:tr>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767"/>
      <w:bookmarkStart w:id="30" w:name="_Toc482360291"/>
      <w:bookmarkStart w:id="31" w:name="_Toc482625289"/>
      <w:bookmarkStart w:id="32" w:name="_Toc483227237"/>
      <w:bookmarkStart w:id="33" w:name="_Toc481702480"/>
      <w:bookmarkStart w:id="34" w:name="_Toc482717202"/>
      <w:bookmarkStart w:id="35" w:name="_Toc482359946"/>
      <w:bookmarkStart w:id="36" w:name="_Toc482370359"/>
      <w:bookmarkStart w:id="37" w:name="_Toc482370151"/>
      <w:bookmarkStart w:id="38" w:name="_Toc483400317"/>
      <w:bookmarkStart w:id="39" w:name="_Toc482369815"/>
      <w:bookmarkStart w:id="40" w:name="_Toc482370071"/>
      <w:r>
        <w:rPr>
          <w:rFonts w:hint="eastAsia"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iCs/>
                <w:szCs w:val="21"/>
                <w:lang w:eastAsia="zh-CN"/>
              </w:rPr>
              <w:t>应有接入局域网的能力以及对实验室数据信息管理系统兼容性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仪器软件具有至少</w:t>
            </w:r>
            <w:r>
              <w:rPr>
                <w:iCs/>
                <w:szCs w:val="21"/>
                <w:lang w:val="en-US" w:eastAsia="zh-CN"/>
              </w:rPr>
              <w:t>3</w:t>
            </w:r>
            <w:r>
              <w:rPr>
                <w:rFonts w:hint="eastAsia"/>
                <w:iCs/>
                <w:szCs w:val="21"/>
                <w:lang w:eastAsia="zh-CN"/>
              </w:rPr>
              <w:t>级用户分层权限管理及密码管理的功能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仪器软件每级权限应可以设置多个用户，并有用户分级管理功能，每个等级拥有相应的可设置权限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可在管理员为用户授权时设置用户账户首次登录强制更换密码，之后每到设置的密码更换时限再次强制更换密码，但不得出现每次账户登录都强制更换密码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系统可兼容w</w:t>
            </w:r>
            <w:r>
              <w:rPr>
                <w:iCs/>
                <w:szCs w:val="21"/>
                <w:lang w:eastAsia="zh-CN"/>
              </w:rPr>
              <w:t>indows</w:t>
            </w:r>
            <w:r>
              <w:rPr>
                <w:rFonts w:hint="eastAsia"/>
                <w:iCs/>
                <w:szCs w:val="21"/>
                <w:lang w:eastAsia="zh-CN"/>
              </w:rPr>
              <w:t>系统权限划分，在w</w:t>
            </w:r>
            <w:r>
              <w:rPr>
                <w:iCs/>
                <w:szCs w:val="21"/>
                <w:lang w:eastAsia="zh-CN"/>
              </w:rPr>
              <w:t>indows</w:t>
            </w:r>
            <w:r>
              <w:rPr>
                <w:rFonts w:hint="eastAsia"/>
                <w:iCs/>
                <w:szCs w:val="21"/>
                <w:lang w:eastAsia="zh-CN"/>
              </w:rPr>
              <w:t>系统各级权限下课正常运行，且w</w:t>
            </w:r>
            <w:r>
              <w:rPr>
                <w:iCs/>
                <w:szCs w:val="21"/>
                <w:lang w:eastAsia="zh-CN"/>
              </w:rPr>
              <w:t>indows</w:t>
            </w:r>
            <w:r>
              <w:rPr>
                <w:rFonts w:hint="eastAsia"/>
                <w:iCs/>
                <w:szCs w:val="21"/>
                <w:lang w:eastAsia="zh-CN"/>
              </w:rPr>
              <w:t>账户的删除不影响该账户下的数据完整性，即其数据不得丢失</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关键设置由管理员控制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系统时间应同步，与标准时间偏差≤5</w:t>
            </w:r>
            <w:r>
              <w:rPr>
                <w:iCs/>
                <w:szCs w:val="21"/>
                <w:lang w:eastAsia="zh-CN"/>
              </w:rPr>
              <w:t>s/24h</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屏幕显示的结果、存储的电子记录内容与打印报告应是一致的。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用户在密码输入时，电脑显示器上应不显示实际密码（比如密码会以</w:t>
            </w:r>
            <w:r>
              <w:rPr>
                <w:iCs/>
                <w:szCs w:val="21"/>
                <w:lang w:eastAsia="zh-CN"/>
              </w:rPr>
              <w:t>*</w:t>
            </w:r>
            <w:r>
              <w:rPr>
                <w:rFonts w:hint="eastAsia"/>
                <w:iCs/>
                <w:szCs w:val="21"/>
                <w:lang w:eastAsia="zh-CN"/>
              </w:rPr>
              <w:t>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系统管理员应可以重置所有账户密码，管理员及用户可修改自己的密码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系统应可以设置密码最小长度为</w:t>
            </w:r>
            <w:r>
              <w:rPr>
                <w:iCs/>
                <w:szCs w:val="21"/>
                <w:lang w:eastAsia="zh-CN"/>
              </w:rPr>
              <w:t>8</w:t>
            </w:r>
            <w:r>
              <w:rPr>
                <w:rFonts w:hint="eastAsia"/>
                <w:iCs/>
                <w:szCs w:val="21"/>
                <w:lang w:eastAsia="zh-CN"/>
              </w:rPr>
              <w:t>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应有安全保护以防止未授权的用户账号和密码进行使用，比如</w:t>
            </w:r>
            <w:r>
              <w:rPr>
                <w:iCs/>
                <w:szCs w:val="21"/>
                <w:lang w:eastAsia="zh-CN"/>
              </w:rPr>
              <w:t>5</w:t>
            </w:r>
            <w:r>
              <w:rPr>
                <w:rFonts w:hint="eastAsia"/>
                <w:iCs/>
                <w:szCs w:val="21"/>
                <w:lang w:eastAsia="zh-CN"/>
              </w:rPr>
              <w:t>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系统应可设置密码效期，如</w:t>
            </w:r>
            <w:r>
              <w:rPr>
                <w:iCs/>
                <w:szCs w:val="21"/>
                <w:lang w:eastAsia="zh-CN"/>
              </w:rPr>
              <w:t>3</w:t>
            </w:r>
            <w:r>
              <w:rPr>
                <w:rFonts w:hint="eastAsia"/>
                <w:iCs/>
                <w:szCs w:val="21"/>
                <w:lang w:eastAsia="zh-CN"/>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系统应有审计追踪功能，可以记录关键操作、系统和安全的事件，比如登录登出、密码更改、方法参数更改、权限配置、系统设置、记录删除与修改，以及相应操作人员、日期时间、操作描述、操作原因等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审计追踪记录应自动存储且不可被删除或更改，可查询、输出、备份恢复、打印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系统应可以由管理员新增、修改和删除（禁用）账户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电子记录可自动存储为不可修改格式，可查询、输出、备份恢复、打印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报告格式应包含以下内容：操作者、日期，名称，运行时间，样品名称，样品批号，数据</w:t>
            </w:r>
            <w:r>
              <w:rPr>
                <w:iCs/>
                <w:szCs w:val="21"/>
                <w:lang w:eastAsia="zh-CN"/>
              </w:rPr>
              <w:t>/</w:t>
            </w:r>
            <w:r>
              <w:rPr>
                <w:rFonts w:hint="eastAsia"/>
                <w:iCs/>
                <w:szCs w:val="21"/>
                <w:lang w:eastAsia="zh-CN"/>
              </w:rPr>
              <w:t>曲线，审计追踪记录等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报告应为只读的格式，可查询、输出、备份恢复、打印</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系统存储容量应满足所有电子记录可存储至产品有效期后1年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val="en-US" w:eastAsia="zh-CN"/>
              </w:rPr>
            </w:pPr>
            <w:r>
              <w:rPr>
                <w:rFonts w:hint="eastAsia"/>
                <w:szCs w:val="21"/>
                <w:lang w:val="en-US" w:eastAsia="zh-CN"/>
              </w:rPr>
              <w:t>电子记录的长期存储不得造成系统运行缓慢、卡顿等现象</w:t>
            </w:r>
          </w:p>
        </w:tc>
        <w:tc>
          <w:tcPr>
            <w:tcW w:w="2125" w:type="dxa"/>
            <w:vAlign w:val="center"/>
          </w:tcPr>
          <w:p>
            <w:pPr>
              <w:spacing w:line="360" w:lineRule="auto"/>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系统断电恢复不影响系统及参数设置、数据完整性，恢复后系统可正常运行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供应商提供系统及程序备份盘及备份恢复说明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供应商提供备份数据读取策略，必要时提供相关程序</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系统程序软件必须为正版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若有操作系统，则操作系统必须为正版，若操作系统为</w:t>
            </w:r>
            <w:r>
              <w:rPr>
                <w:iCs/>
                <w:szCs w:val="21"/>
                <w:lang w:eastAsia="zh-CN"/>
              </w:rPr>
              <w:t>Windows</w:t>
            </w:r>
            <w:r>
              <w:rPr>
                <w:rFonts w:hint="eastAsia"/>
                <w:iCs/>
                <w:szCs w:val="21"/>
                <w:lang w:eastAsia="zh-CN"/>
              </w:rPr>
              <w:t>，必须为专业版以上版本</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系统电子记录备份恢复相关的备份、输出、导入功能，应满足备份的电子记录、恢复的电子及应与原始电子记录一致，供应商提供</w:t>
            </w:r>
            <w:r>
              <w:rPr>
                <w:rFonts w:hint="eastAsia"/>
                <w:szCs w:val="21"/>
                <w:lang w:val="en-US" w:eastAsia="zh-CN"/>
              </w:rPr>
              <w:t>一致性确认策略</w:t>
            </w:r>
          </w:p>
        </w:tc>
        <w:tc>
          <w:tcPr>
            <w:tcW w:w="2125" w:type="dxa"/>
            <w:vAlign w:val="center"/>
          </w:tcPr>
          <w:p>
            <w:pPr>
              <w:jc w:val="both"/>
              <w:rPr>
                <w:szCs w:val="21"/>
                <w:lang w:eastAsia="zh-CN"/>
              </w:rPr>
            </w:pPr>
            <w:r>
              <w:rPr>
                <w:rFonts w:hint="eastAsia"/>
                <w:szCs w:val="21"/>
                <w:lang w:eastAsia="zh-CN"/>
              </w:rPr>
              <w:t>关键</w:t>
            </w:r>
          </w:p>
        </w:tc>
      </w:tr>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hint="eastAsia"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整机（包括计算机化系统）运行及维护手册应为中文，纸质文件至少一式三份，电子版至少一份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val="none"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hAnsi="宋体"/>
                <w:szCs w:val="21"/>
                <w:u w:val="none" w:color="333333"/>
                <w:lang w:val="zh-TW" w:eastAsia="zh-TW"/>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val="zh-TW" w:eastAsia="zh-TW"/>
              </w:rPr>
              <w:t>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eastAsia="zh-TW"/>
              </w:rPr>
              <w:t>现场验收测试</w:t>
            </w:r>
            <w:r>
              <w:rPr>
                <w:rFonts w:hint="eastAsia" w:hAnsi="宋体"/>
                <w:szCs w:val="21"/>
                <w:u w:val="none" w:color="333333"/>
                <w:lang w:eastAsia="zh-CN"/>
              </w:rPr>
              <w:t>（</w:t>
            </w:r>
            <w:r>
              <w:rPr>
                <w:rFonts w:hAnsi="宋体"/>
                <w:szCs w:val="21"/>
                <w:u w:val="none" w:color="333333"/>
                <w:lang w:eastAsia="zh-CN"/>
              </w:rPr>
              <w:t>SAT</w:t>
            </w:r>
            <w:r>
              <w:rPr>
                <w:rFonts w:hint="eastAsia" w:hAnsi="宋体"/>
                <w:szCs w:val="21"/>
                <w:u w:val="none" w:color="333333"/>
                <w:lang w:eastAsia="zh-CN"/>
              </w:rPr>
              <w:t>）报告</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val="zh-TW" w:eastAsia="zh-TW"/>
              </w:rPr>
              <w:t>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应在合同签订后设备</w:t>
            </w:r>
            <w:r>
              <w:rPr>
                <w:rFonts w:hint="eastAsia" w:hAnsi="宋体"/>
                <w:szCs w:val="21"/>
                <w:u w:val="none" w:color="333333"/>
                <w:lang w:eastAsia="zh-CN"/>
              </w:rPr>
              <w:t>交货后</w:t>
            </w:r>
            <w:r>
              <w:rPr>
                <w:rFonts w:hint="eastAsia" w:hAnsi="宋体"/>
                <w:szCs w:val="21"/>
                <w:u w:val="none" w:color="333333"/>
                <w:lang w:eastAsia="zh-TW"/>
              </w:rPr>
              <w:t>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（2）安装确认及文件（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（3）运行确认及文件（</w:t>
            </w:r>
            <w:r>
              <w:rPr>
                <w:szCs w:val="21"/>
                <w:lang w:eastAsia="zh-CN"/>
              </w:rPr>
              <w:t>OQ</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jc w:val="both"/>
              <w:rPr>
                <w:szCs w:val="21"/>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hAnsi="宋体"/>
                <w:szCs w:val="21"/>
                <w:u w:val="none" w:color="333333"/>
                <w:lang w:val="zh-TW" w:eastAsia="zh-TW"/>
              </w:rPr>
            </w:pPr>
            <w:r>
              <w:rPr>
                <w:rFonts w:hint="eastAsia"/>
                <w:bCs/>
                <w:szCs w:val="21"/>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i/>
                <w:szCs w:val="21"/>
                <w:lang w:eastAsia="zh-CN"/>
              </w:rPr>
            </w:pPr>
            <w:r>
              <w:rPr>
                <w:rFonts w:hint="eastAsia" w:ascii="宋体" w:hAnsi="宋体"/>
                <w:szCs w:val="21"/>
                <w:lang w:eastAsia="zh-CN"/>
              </w:rPr>
              <w:t>验证包括验证计划</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和</w:t>
            </w:r>
            <w:r>
              <w:rPr>
                <w:rFonts w:ascii="宋体" w:hAnsi="宋体" w:cs="宋体"/>
                <w:szCs w:val="21"/>
                <w:lang w:eastAsia="zh-CN"/>
              </w:rPr>
              <w:t>GAMP5</w:t>
            </w:r>
            <w:r>
              <w:rPr>
                <w:rFonts w:hint="eastAsia" w:ascii="宋体" w:hAnsi="宋体" w:cs="宋体"/>
                <w:szCs w:val="21"/>
                <w:lang w:eastAsia="zh-CN"/>
              </w:rPr>
              <w:t>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val="none" w:color="333333"/>
                <w:lang w:val="zh-TW" w:eastAsia="zh-TW"/>
              </w:rPr>
              <w:t>保质期从确认验收的阶段就开始计算</w:t>
            </w:r>
            <w:r>
              <w:rPr>
                <w:rFonts w:hint="eastAsia" w:hAnsi="宋体"/>
                <w:szCs w:val="21"/>
                <w:u w:val="none" w:color="333333"/>
                <w:lang w:eastAsia="zh-TW"/>
              </w:rPr>
              <w:t>，整机</w:t>
            </w:r>
            <w:r>
              <w:rPr>
                <w:rFonts w:hint="eastAsia" w:hAnsi="宋体"/>
                <w:szCs w:val="21"/>
                <w:u w:val="none"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val="none" w:color="333333"/>
                <w:lang w:val="zh-TW" w:eastAsia="zh-TW"/>
              </w:rPr>
              <w:t>保质期从确认验收的阶段就开始计算</w:t>
            </w:r>
            <w:r>
              <w:rPr>
                <w:rFonts w:hint="eastAsia" w:hAnsi="宋体"/>
                <w:szCs w:val="21"/>
                <w:u w:val="none" w:color="333333"/>
                <w:lang w:eastAsia="zh-TW"/>
              </w:rPr>
              <w:t>，整机</w:t>
            </w:r>
            <w:r>
              <w:rPr>
                <w:rFonts w:hint="eastAsia" w:hAnsi="宋体"/>
                <w:szCs w:val="21"/>
                <w:u w:val="none"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一年免费保修期后，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p>
            <w:pPr>
              <w:spacing w:line="276" w:lineRule="auto"/>
              <w:jc w:val="both"/>
              <w:rPr>
                <w:szCs w:val="21"/>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供应商进厂施工需遵守安全和施工规定。确认验收合格后，买卖双方签订验收报告</w:t>
            </w:r>
            <w:r>
              <w:rPr>
                <w:rFonts w:hint="eastAsia" w:hAnsi="宋体"/>
                <w:szCs w:val="21"/>
                <w:u w:val="none"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rFonts w:hAnsi="宋体"/>
          <w:sz w:val="21"/>
          <w:szCs w:val="21"/>
          <w:u w:val="none" w:color="333333"/>
          <w:lang w:val="zh-TW" w:eastAsia="zh-CN"/>
        </w:rPr>
      </w:pPr>
      <w:r>
        <w:rPr>
          <w:rFonts w:hint="eastAsia" w:hAnsi="宋体"/>
          <w:sz w:val="21"/>
          <w:szCs w:val="21"/>
          <w:u w:val="none" w:color="333333"/>
          <w:lang w:val="zh-TW"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falt">
    <w:altName w:val="MingLiU"/>
    <w:panose1 w:val="00000000000000000000"/>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51467757">
    <w:nsid w:val="686546ED"/>
    <w:multiLevelType w:val="multilevel"/>
    <w:tmpl w:val="686546ED"/>
    <w:lvl w:ilvl="0" w:tentative="1">
      <w:start w:val="1"/>
      <w:numFmt w:val="decimal"/>
      <w:pStyle w:val="32"/>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cs="Times New Roman"/>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trackedChanges" w:enforcement="0"/>
  <w:defaultTabStop w:val="720"/>
  <w:drawingGridHorizontalSpacing w:val="120"/>
  <w:drawingGridVerticalSpacing w:val="158"/>
  <w:displayHorizontalDrawingGridEvery w:val="1"/>
  <w:displayVerticalDrawingGridEvery w:val="1"/>
  <w:noPunctuationKerning w:val="1"/>
  <w:characterSpacingControl w:val="doNotCompress"/>
  <w:noLineBreaksAfter w:lang="zh-CN" w:val="$([{£¥·‘“〈《「『【〔〖〝﹙﹛﹝＄（．［｛￡￥"/>
  <w:noLineBreaksBefore w:lang="zh-CN" w:val="!%),.:;&gt;?]}¢¨°·ˇˉ―‖’”…‰′″›℃∶、。〃〉》」』】〕〗〞︶︺︾﹀﹄﹚﹜﹞！＂％＇），．：；？］｀｜｝～￠"/>
  <w:compat>
    <w:spaceForUL/>
    <w:doNotLeaveBackslashAlone/>
    <w:ulTrailSpace/>
    <w:splitPgBreakAndParaMark/>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41"/>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CFD"/>
    <w:rsid w:val="000F4E03"/>
    <w:rsid w:val="000F606A"/>
    <w:rsid w:val="000F6861"/>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66B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4B54"/>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5E9"/>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422D"/>
    <w:rsid w:val="0033695C"/>
    <w:rsid w:val="00341B2F"/>
    <w:rsid w:val="00341F9A"/>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1048"/>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681C"/>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6B4B"/>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5B18"/>
    <w:rsid w:val="004A76DF"/>
    <w:rsid w:val="004B0A75"/>
    <w:rsid w:val="004B2190"/>
    <w:rsid w:val="004B663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31B"/>
    <w:rsid w:val="005026EB"/>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2A6"/>
    <w:rsid w:val="00534840"/>
    <w:rsid w:val="00534D08"/>
    <w:rsid w:val="00536973"/>
    <w:rsid w:val="00536C6B"/>
    <w:rsid w:val="005413E6"/>
    <w:rsid w:val="00544652"/>
    <w:rsid w:val="0054625B"/>
    <w:rsid w:val="00551539"/>
    <w:rsid w:val="00552EFE"/>
    <w:rsid w:val="00554ABB"/>
    <w:rsid w:val="0055552D"/>
    <w:rsid w:val="00555668"/>
    <w:rsid w:val="0055679E"/>
    <w:rsid w:val="0056090D"/>
    <w:rsid w:val="00560A9B"/>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2652"/>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F7E"/>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48C6"/>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383"/>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5D53"/>
    <w:rsid w:val="0078639C"/>
    <w:rsid w:val="00787159"/>
    <w:rsid w:val="007913D3"/>
    <w:rsid w:val="0079790C"/>
    <w:rsid w:val="007A102A"/>
    <w:rsid w:val="007A15E6"/>
    <w:rsid w:val="007A194B"/>
    <w:rsid w:val="007A4BCD"/>
    <w:rsid w:val="007A5714"/>
    <w:rsid w:val="007A5EFA"/>
    <w:rsid w:val="007A6821"/>
    <w:rsid w:val="007A75EF"/>
    <w:rsid w:val="007B00D7"/>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17824"/>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A4A"/>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4D7"/>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3D18"/>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2F2A"/>
    <w:rsid w:val="00923F7E"/>
    <w:rsid w:val="00924C96"/>
    <w:rsid w:val="00925030"/>
    <w:rsid w:val="00925B32"/>
    <w:rsid w:val="00930A64"/>
    <w:rsid w:val="00930BE5"/>
    <w:rsid w:val="00931403"/>
    <w:rsid w:val="00934991"/>
    <w:rsid w:val="009350B9"/>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D7DE5"/>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87"/>
    <w:rsid w:val="00A10713"/>
    <w:rsid w:val="00A10F06"/>
    <w:rsid w:val="00A1252C"/>
    <w:rsid w:val="00A13B8B"/>
    <w:rsid w:val="00A151B7"/>
    <w:rsid w:val="00A21225"/>
    <w:rsid w:val="00A2139C"/>
    <w:rsid w:val="00A218F9"/>
    <w:rsid w:val="00A21E37"/>
    <w:rsid w:val="00A23314"/>
    <w:rsid w:val="00A235BB"/>
    <w:rsid w:val="00A23F10"/>
    <w:rsid w:val="00A23F72"/>
    <w:rsid w:val="00A26AB8"/>
    <w:rsid w:val="00A322BF"/>
    <w:rsid w:val="00A335BD"/>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7CC"/>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ADB"/>
    <w:rsid w:val="00AF4E40"/>
    <w:rsid w:val="00AF4FB8"/>
    <w:rsid w:val="00AF6713"/>
    <w:rsid w:val="00AF6BD6"/>
    <w:rsid w:val="00AF753A"/>
    <w:rsid w:val="00B0165F"/>
    <w:rsid w:val="00B021ED"/>
    <w:rsid w:val="00B0250D"/>
    <w:rsid w:val="00B032B1"/>
    <w:rsid w:val="00B03F46"/>
    <w:rsid w:val="00B059B8"/>
    <w:rsid w:val="00B06E49"/>
    <w:rsid w:val="00B07418"/>
    <w:rsid w:val="00B11547"/>
    <w:rsid w:val="00B11EF0"/>
    <w:rsid w:val="00B1226C"/>
    <w:rsid w:val="00B14F05"/>
    <w:rsid w:val="00B15D01"/>
    <w:rsid w:val="00B16D3D"/>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25A"/>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7E0"/>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10B1"/>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FA0"/>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5D24"/>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37FD8"/>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CA5"/>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74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077636"/>
    <w:rsid w:val="0444017A"/>
    <w:rsid w:val="06476E9F"/>
    <w:rsid w:val="070C26A4"/>
    <w:rsid w:val="074B28A4"/>
    <w:rsid w:val="076E13EB"/>
    <w:rsid w:val="09E01037"/>
    <w:rsid w:val="0AE94B37"/>
    <w:rsid w:val="0C1F7208"/>
    <w:rsid w:val="0C513E99"/>
    <w:rsid w:val="0D030185"/>
    <w:rsid w:val="0D4C7E82"/>
    <w:rsid w:val="0FB67285"/>
    <w:rsid w:val="10C16EB7"/>
    <w:rsid w:val="1477016C"/>
    <w:rsid w:val="149511CE"/>
    <w:rsid w:val="14F5622F"/>
    <w:rsid w:val="17D67D47"/>
    <w:rsid w:val="1AA56983"/>
    <w:rsid w:val="1B0D17EF"/>
    <w:rsid w:val="1E0D2285"/>
    <w:rsid w:val="211645C6"/>
    <w:rsid w:val="22231F38"/>
    <w:rsid w:val="223B4FDD"/>
    <w:rsid w:val="226517C9"/>
    <w:rsid w:val="290F3DA7"/>
    <w:rsid w:val="2C3B46E3"/>
    <w:rsid w:val="32534043"/>
    <w:rsid w:val="343C0DE9"/>
    <w:rsid w:val="344F14B0"/>
    <w:rsid w:val="365420B9"/>
    <w:rsid w:val="36C23BC9"/>
    <w:rsid w:val="3CB63496"/>
    <w:rsid w:val="402A7270"/>
    <w:rsid w:val="44164DAE"/>
    <w:rsid w:val="45F50632"/>
    <w:rsid w:val="47E8188E"/>
    <w:rsid w:val="4B8C7D94"/>
    <w:rsid w:val="4DB57604"/>
    <w:rsid w:val="4F030A2B"/>
    <w:rsid w:val="4F7C2C0E"/>
    <w:rsid w:val="50E33DA8"/>
    <w:rsid w:val="527A551C"/>
    <w:rsid w:val="55F708FD"/>
    <w:rsid w:val="57B35854"/>
    <w:rsid w:val="5AB66B90"/>
    <w:rsid w:val="5B4F5173"/>
    <w:rsid w:val="5C7C23BF"/>
    <w:rsid w:val="5D7455FD"/>
    <w:rsid w:val="5E417F2A"/>
    <w:rsid w:val="633A681D"/>
    <w:rsid w:val="65FF54A6"/>
    <w:rsid w:val="68A95260"/>
    <w:rsid w:val="69DF67AE"/>
    <w:rsid w:val="6E570C89"/>
    <w:rsid w:val="6E90591D"/>
    <w:rsid w:val="6E945F4C"/>
    <w:rsid w:val="736633EF"/>
    <w:rsid w:val="767E2F22"/>
    <w:rsid w:val="773B25EF"/>
    <w:rsid w:val="77CA6A96"/>
    <w:rsid w:val="7F6F420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99" w:semiHidden="0" w:name="toc 1"/>
    <w:lsdException w:unhideWhenUsed="0" w:uiPriority="99" w:semiHidden="0" w:name="toc 2"/>
    <w:lsdException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nhideWhenUsed="0" w:uiPriority="99" w:name="annotation text"/>
    <w:lsdException w:unhideWhenUsed="0" w:uiPriority="99" w:semiHidden="0" w:name="header"/>
    <w:lsdException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nhideWhenUsed="0" w:uiPriority="99" w:name="annotation reference"/>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99" w:semiHidden="0" w:name="Title"/>
    <w:lsdException w:uiPriority="0" w:name="Closing" w:locked="1"/>
    <w:lsdException w:uiPriority="0" w:name="Signature" w:locked="1"/>
    <w:lsdException w:uiPriority="1" w:name="Default Paragraph Font"/>
    <w:lsdException w:unhideWhenUsed="0" w:uiPriority="99" w:semiHidden="0" w:name="Body Text"/>
    <w:lsdException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nhideWhenUsed="0" w:uiPriority="99" w:semiHidden="0" w:name="Body Text 3"/>
    <w:lsdException w:unhideWhenUsed="0" w:uiPriority="99" w:semiHidden="0" w:name="Body Text Indent 2"/>
    <w:lsdException w:uiPriority="0" w:name="Body Text Indent 3" w:locked="1"/>
    <w:lsdException w:uiPriority="0" w:name="Block Text" w:locked="1"/>
    <w:lsdException w:unhideWhenUsed="0" w:uiPriority="99" w:semiHidden="0" w:name="Hyperlink"/>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ocked="1"/>
    <w:lsdException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36"/>
    <w:qFormat/>
    <w:uiPriority w:val="99"/>
    <w:pPr>
      <w:keepNext/>
      <w:keepLines/>
      <w:numPr>
        <w:ilvl w:val="0"/>
        <w:numId w:val="1"/>
      </w:numPr>
      <w:spacing w:line="360" w:lineRule="auto"/>
      <w:outlineLvl w:val="0"/>
    </w:pPr>
    <w:rPr>
      <w:b/>
      <w:bCs/>
      <w:kern w:val="44"/>
      <w:sz w:val="44"/>
      <w:szCs w:val="44"/>
    </w:rPr>
  </w:style>
  <w:style w:type="paragraph" w:styleId="3">
    <w:name w:val="heading 2"/>
    <w:basedOn w:val="1"/>
    <w:next w:val="1"/>
    <w:link w:val="37"/>
    <w:qFormat/>
    <w:uiPriority w:val="99"/>
    <w:pPr>
      <w:keepNext/>
      <w:keepLines/>
      <w:spacing w:line="360" w:lineRule="auto"/>
      <w:outlineLvl w:val="1"/>
    </w:pPr>
    <w:rPr>
      <w:rFonts w:ascii="Cambria" w:hAnsi="Cambria"/>
      <w:b/>
      <w:bCs/>
      <w:sz w:val="32"/>
      <w:szCs w:val="32"/>
    </w:rPr>
  </w:style>
  <w:style w:type="paragraph" w:styleId="4">
    <w:name w:val="heading 3"/>
    <w:basedOn w:val="1"/>
    <w:next w:val="1"/>
    <w:link w:val="38"/>
    <w:qFormat/>
    <w:uiPriority w:val="99"/>
    <w:pPr>
      <w:keepNext/>
      <w:spacing w:line="360" w:lineRule="auto"/>
      <w:outlineLvl w:val="2"/>
    </w:pPr>
    <w:rPr>
      <w:b/>
      <w:bCs/>
      <w:sz w:val="32"/>
      <w:szCs w:val="32"/>
    </w:rPr>
  </w:style>
  <w:style w:type="paragraph" w:styleId="5">
    <w:name w:val="heading 4"/>
    <w:basedOn w:val="1"/>
    <w:next w:val="1"/>
    <w:link w:val="39"/>
    <w:qFormat/>
    <w:uiPriority w:val="99"/>
    <w:pPr>
      <w:keepNext/>
      <w:spacing w:before="240" w:after="60"/>
      <w:outlineLvl w:val="3"/>
    </w:pPr>
    <w:rPr>
      <w:rFonts w:ascii="Cambria" w:hAnsi="Cambria"/>
      <w:b/>
      <w:bCs/>
      <w:sz w:val="28"/>
      <w:szCs w:val="28"/>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link w:val="49"/>
    <w:semiHidden/>
    <w:uiPriority w:val="99"/>
    <w:rPr>
      <w:b/>
      <w:bCs/>
    </w:rPr>
  </w:style>
  <w:style w:type="paragraph" w:styleId="7">
    <w:name w:val="annotation text"/>
    <w:basedOn w:val="1"/>
    <w:link w:val="40"/>
    <w:semiHidden/>
    <w:uiPriority w:val="99"/>
    <w:rPr>
      <w:sz w:val="24"/>
    </w:rPr>
  </w:style>
  <w:style w:type="paragraph" w:styleId="8">
    <w:name w:val="Body Text 3"/>
    <w:basedOn w:val="1"/>
    <w:link w:val="41"/>
    <w:uiPriority w:val="99"/>
    <w:pPr>
      <w:spacing w:after="120"/>
    </w:pPr>
    <w:rPr>
      <w:sz w:val="16"/>
      <w:szCs w:val="16"/>
    </w:rPr>
  </w:style>
  <w:style w:type="paragraph" w:styleId="9">
    <w:name w:val="Body Text"/>
    <w:basedOn w:val="1"/>
    <w:link w:val="42"/>
    <w:uiPriority w:val="99"/>
    <w:pPr>
      <w:ind w:right="56"/>
    </w:pPr>
    <w:rPr>
      <w:sz w:val="20"/>
    </w:rPr>
  </w:style>
  <w:style w:type="paragraph" w:styleId="10">
    <w:name w:val="Body Text Indent"/>
    <w:basedOn w:val="1"/>
    <w:link w:val="43"/>
    <w:uiPriority w:val="99"/>
    <w:pPr>
      <w:spacing w:after="120"/>
      <w:ind w:left="420" w:leftChars="200"/>
    </w:pPr>
    <w:rPr>
      <w:sz w:val="20"/>
    </w:rPr>
  </w:style>
  <w:style w:type="paragraph" w:styleId="11">
    <w:name w:val="toc 3"/>
    <w:basedOn w:val="1"/>
    <w:next w:val="1"/>
    <w:uiPriority w:val="99"/>
    <w:pPr>
      <w:tabs>
        <w:tab w:val="right" w:leader="dot" w:pos="8302"/>
        <w:tab w:val="right" w:leader="dot" w:pos="8835"/>
      </w:tabs>
      <w:spacing w:line="360" w:lineRule="auto"/>
      <w:ind w:left="300" w:leftChars="300"/>
    </w:pPr>
    <w:rPr>
      <w:sz w:val="20"/>
    </w:rPr>
  </w:style>
  <w:style w:type="paragraph" w:styleId="12">
    <w:name w:val="Body Text Indent 2"/>
    <w:basedOn w:val="1"/>
    <w:link w:val="44"/>
    <w:uiPriority w:val="99"/>
    <w:pPr>
      <w:spacing w:after="120" w:line="480" w:lineRule="auto"/>
      <w:ind w:left="420" w:leftChars="200"/>
    </w:pPr>
    <w:rPr>
      <w:sz w:val="20"/>
    </w:rPr>
  </w:style>
  <w:style w:type="paragraph" w:styleId="13">
    <w:name w:val="Balloon Text"/>
    <w:basedOn w:val="1"/>
    <w:link w:val="45"/>
    <w:unhideWhenUsed/>
    <w:locked/>
    <w:uiPriority w:val="99"/>
    <w:rPr>
      <w:sz w:val="18"/>
      <w:szCs w:val="18"/>
    </w:rPr>
  </w:style>
  <w:style w:type="paragraph" w:styleId="14">
    <w:name w:val="footer"/>
    <w:basedOn w:val="1"/>
    <w:link w:val="50"/>
    <w:uiPriority w:val="99"/>
    <w:pPr>
      <w:tabs>
        <w:tab w:val="center" w:pos="4320"/>
        <w:tab w:val="right" w:pos="8640"/>
      </w:tabs>
    </w:pPr>
    <w:rPr>
      <w:sz w:val="24"/>
    </w:rPr>
  </w:style>
  <w:style w:type="paragraph" w:styleId="15">
    <w:name w:val="header"/>
    <w:basedOn w:val="1"/>
    <w:link w:val="47"/>
    <w:uiPriority w:val="99"/>
    <w:pPr>
      <w:tabs>
        <w:tab w:val="center" w:pos="4320"/>
        <w:tab w:val="right" w:pos="8640"/>
      </w:tabs>
    </w:pPr>
    <w:rPr>
      <w:sz w:val="24"/>
    </w:rPr>
  </w:style>
  <w:style w:type="paragraph" w:styleId="16">
    <w:name w:val="toc 1"/>
    <w:basedOn w:val="1"/>
    <w:next w:val="1"/>
    <w:uiPriority w:val="9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8">
    <w:name w:val="Title"/>
    <w:basedOn w:val="1"/>
    <w:next w:val="1"/>
    <w:link w:val="48"/>
    <w:qFormat/>
    <w:uiPriority w:val="99"/>
    <w:pPr>
      <w:spacing w:before="240" w:after="60"/>
      <w:jc w:val="center"/>
      <w:outlineLvl w:val="0"/>
    </w:pPr>
    <w:rPr>
      <w:rFonts w:ascii="Calibri Light" w:hAnsi="Calibri Light"/>
      <w:b/>
      <w:sz w:val="32"/>
    </w:rPr>
  </w:style>
  <w:style w:type="character" w:styleId="20">
    <w:name w:val="page number"/>
    <w:uiPriority w:val="99"/>
    <w:rPr>
      <w:rFonts w:cs="Times New Roman"/>
    </w:rPr>
  </w:style>
  <w:style w:type="character" w:styleId="21">
    <w:name w:val="Hyperlink"/>
    <w:uiPriority w:val="99"/>
    <w:rPr>
      <w:rFonts w:cs="Times New Roman"/>
      <w:color w:val="0000FF"/>
      <w:u w:val="single"/>
    </w:rPr>
  </w:style>
  <w:style w:type="character" w:styleId="22">
    <w:name w:val="annotation reference"/>
    <w:semiHidden/>
    <w:uiPriority w:val="99"/>
    <w:rPr>
      <w:rFonts w:cs="Times New Roman"/>
      <w:sz w:val="21"/>
    </w:rPr>
  </w:style>
  <w:style w:type="table" w:styleId="24">
    <w:name w:val="Table Grid"/>
    <w:basedOn w:val="23"/>
    <w:uiPriority w:val="9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99"/>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99"/>
    <w:pPr>
      <w:textAlignment w:val="auto"/>
    </w:pPr>
    <w:rPr>
      <w:rFonts w:ascii="Arial" w:hAnsi="Arial"/>
      <w:szCs w:val="24"/>
      <w:lang w:val="en-US"/>
    </w:rPr>
  </w:style>
  <w:style w:type="paragraph" w:customStyle="1" w:styleId="27">
    <w:name w:val="Style"/>
    <w:basedOn w:val="1"/>
    <w:uiPriority w:val="99"/>
    <w:pPr>
      <w:textAlignment w:val="auto"/>
    </w:pPr>
    <w:rPr>
      <w:rFonts w:ascii="Arial" w:hAnsi="Arial"/>
      <w:szCs w:val="24"/>
      <w:lang w:val="en-US"/>
    </w:rPr>
  </w:style>
  <w:style w:type="paragraph" w:customStyle="1" w:styleId="28">
    <w:name w:val="正文1"/>
    <w:basedOn w:val="1"/>
    <w:uiPriority w:val="99"/>
    <w:pPr>
      <w:textAlignment w:val="auto"/>
    </w:pPr>
    <w:rPr>
      <w:rFonts w:ascii="Arial" w:hAnsi="Arial"/>
      <w:sz w:val="20"/>
      <w:lang w:val="en-US"/>
    </w:rPr>
  </w:style>
  <w:style w:type="paragraph" w:customStyle="1" w:styleId="29">
    <w:name w:val="Revision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99"/>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1"/>
    <w:basedOn w:val="2"/>
    <w:next w:val="1"/>
    <w:uiPriority w:val="99"/>
    <w:pPr>
      <w:numPr>
        <w:ilvl w:val="0"/>
        <w:numId w:val="0"/>
      </w:numPr>
      <w:outlineLvl w:val="9"/>
    </w:pPr>
  </w:style>
  <w:style w:type="paragraph" w:customStyle="1" w:styleId="32">
    <w:name w:val="numbering blue"/>
    <w:basedOn w:val="1"/>
    <w:link w:val="53"/>
    <w:uiPriority w:val="99"/>
    <w:pPr>
      <w:numPr>
        <w:ilvl w:val="0"/>
        <w:numId w:val="2"/>
      </w:numPr>
      <w:adjustRightInd/>
      <w:spacing w:after="120"/>
      <w:ind w:left="357" w:hanging="357"/>
      <w:contextualSpacing/>
      <w:textAlignment w:val="auto"/>
    </w:pPr>
    <w:rPr>
      <w:rFonts w:ascii="Arial" w:hAnsi="Arial" w:eastAsia="PMingLiUfalt"/>
      <w:color w:val="0070C0"/>
      <w:sz w:val="20"/>
      <w:lang w:val="en-US" w:eastAsia="zh-TW"/>
    </w:rPr>
  </w:style>
  <w:style w:type="paragraph" w:customStyle="1" w:styleId="33">
    <w:name w:val="Defaul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4">
    <w:name w:val="Text"/>
    <w:basedOn w:val="1"/>
    <w:link w:val="54"/>
    <w:uiPriority w:val="99"/>
    <w:pPr>
      <w:adjustRightInd/>
      <w:spacing w:before="120"/>
      <w:jc w:val="both"/>
      <w:textAlignment w:val="auto"/>
    </w:pPr>
    <w:rPr>
      <w:sz w:val="24"/>
      <w:lang w:val="en-US"/>
    </w:rPr>
  </w:style>
  <w:style w:type="paragraph" w:customStyle="1" w:styleId="35">
    <w:name w:val="Table text"/>
    <w:basedOn w:val="1"/>
    <w:uiPriority w:val="99"/>
    <w:pPr>
      <w:adjustRightInd/>
      <w:spacing w:before="120" w:after="120"/>
      <w:jc w:val="both"/>
      <w:textAlignment w:val="auto"/>
    </w:pPr>
    <w:rPr>
      <w:lang w:val="en-US"/>
    </w:rPr>
  </w:style>
  <w:style w:type="character" w:customStyle="1" w:styleId="36">
    <w:name w:val="标题 1 字符"/>
    <w:link w:val="2"/>
    <w:locked/>
    <w:uiPriority w:val="99"/>
    <w:rPr>
      <w:b/>
      <w:kern w:val="44"/>
      <w:sz w:val="44"/>
      <w:lang w:eastAsia="en-US"/>
    </w:rPr>
  </w:style>
  <w:style w:type="character" w:customStyle="1" w:styleId="37">
    <w:name w:val="标题 2 字符"/>
    <w:link w:val="3"/>
    <w:semiHidden/>
    <w:locked/>
    <w:uiPriority w:val="99"/>
    <w:rPr>
      <w:rFonts w:ascii="Cambria" w:hAnsi="Cambria" w:eastAsia="宋体"/>
      <w:b/>
      <w:kern w:val="0"/>
      <w:sz w:val="32"/>
      <w:lang w:eastAsia="en-US"/>
    </w:rPr>
  </w:style>
  <w:style w:type="character" w:customStyle="1" w:styleId="38">
    <w:name w:val="标题 3 字符"/>
    <w:link w:val="4"/>
    <w:semiHidden/>
    <w:locked/>
    <w:uiPriority w:val="99"/>
    <w:rPr>
      <w:b/>
      <w:kern w:val="0"/>
      <w:sz w:val="32"/>
      <w:lang w:eastAsia="en-US"/>
    </w:rPr>
  </w:style>
  <w:style w:type="character" w:customStyle="1" w:styleId="39">
    <w:name w:val="标题 4 字符"/>
    <w:link w:val="5"/>
    <w:semiHidden/>
    <w:locked/>
    <w:uiPriority w:val="99"/>
    <w:rPr>
      <w:rFonts w:ascii="Cambria" w:hAnsi="Cambria" w:eastAsia="宋体"/>
      <w:b/>
      <w:kern w:val="0"/>
      <w:sz w:val="28"/>
      <w:lang w:eastAsia="en-US"/>
    </w:rPr>
  </w:style>
  <w:style w:type="character" w:customStyle="1" w:styleId="40">
    <w:name w:val="批注文字 字符"/>
    <w:link w:val="7"/>
    <w:semiHidden/>
    <w:locked/>
    <w:uiPriority w:val="99"/>
    <w:rPr>
      <w:sz w:val="24"/>
      <w:lang w:eastAsia="en-US"/>
    </w:rPr>
  </w:style>
  <w:style w:type="character" w:customStyle="1" w:styleId="41">
    <w:name w:val="正文文本 3 字符"/>
    <w:link w:val="8"/>
    <w:semiHidden/>
    <w:locked/>
    <w:uiPriority w:val="99"/>
    <w:rPr>
      <w:kern w:val="0"/>
      <w:sz w:val="16"/>
      <w:lang w:eastAsia="en-US"/>
    </w:rPr>
  </w:style>
  <w:style w:type="character" w:customStyle="1" w:styleId="42">
    <w:name w:val="正文文本 字符"/>
    <w:link w:val="9"/>
    <w:semiHidden/>
    <w:locked/>
    <w:uiPriority w:val="99"/>
    <w:rPr>
      <w:kern w:val="0"/>
      <w:sz w:val="20"/>
      <w:lang w:eastAsia="en-US"/>
    </w:rPr>
  </w:style>
  <w:style w:type="character" w:customStyle="1" w:styleId="43">
    <w:name w:val="正文文本缩进 字符"/>
    <w:link w:val="10"/>
    <w:semiHidden/>
    <w:locked/>
    <w:uiPriority w:val="99"/>
    <w:rPr>
      <w:kern w:val="0"/>
      <w:sz w:val="20"/>
      <w:lang w:eastAsia="en-US"/>
    </w:rPr>
  </w:style>
  <w:style w:type="character" w:customStyle="1" w:styleId="44">
    <w:name w:val="正文文本缩进 2 字符"/>
    <w:link w:val="12"/>
    <w:semiHidden/>
    <w:locked/>
    <w:uiPriority w:val="99"/>
    <w:rPr>
      <w:kern w:val="0"/>
      <w:sz w:val="20"/>
      <w:lang w:eastAsia="en-US"/>
    </w:rPr>
  </w:style>
  <w:style w:type="character" w:customStyle="1" w:styleId="45">
    <w:name w:val="批注框文本 字符"/>
    <w:link w:val="13"/>
    <w:semiHidden/>
    <w:uiPriority w:val="99"/>
    <w:rPr>
      <w:sz w:val="18"/>
      <w:szCs w:val="18"/>
      <w:lang w:eastAsia="en-US"/>
    </w:rPr>
  </w:style>
  <w:style w:type="character" w:customStyle="1" w:styleId="46">
    <w:name w:val="Footer Char"/>
    <w:semiHidden/>
    <w:locked/>
    <w:uiPriority w:val="99"/>
    <w:rPr>
      <w:sz w:val="18"/>
    </w:rPr>
  </w:style>
  <w:style w:type="character" w:customStyle="1" w:styleId="47">
    <w:name w:val="页眉 字符"/>
    <w:link w:val="15"/>
    <w:locked/>
    <w:uiPriority w:val="99"/>
    <w:rPr>
      <w:rFonts w:eastAsia="宋体"/>
      <w:sz w:val="24"/>
      <w:lang w:eastAsia="en-US"/>
    </w:rPr>
  </w:style>
  <w:style w:type="character" w:customStyle="1" w:styleId="48">
    <w:name w:val="标题 字符"/>
    <w:link w:val="18"/>
    <w:locked/>
    <w:uiPriority w:val="99"/>
    <w:rPr>
      <w:rFonts w:ascii="Calibri Light" w:hAnsi="Calibri Light"/>
      <w:b/>
      <w:sz w:val="32"/>
      <w:lang w:eastAsia="en-US"/>
    </w:rPr>
  </w:style>
  <w:style w:type="character" w:customStyle="1" w:styleId="49">
    <w:name w:val="批注主题 字符"/>
    <w:link w:val="6"/>
    <w:semiHidden/>
    <w:locked/>
    <w:uiPriority w:val="99"/>
    <w:rPr>
      <w:b/>
      <w:kern w:val="0"/>
      <w:sz w:val="20"/>
      <w:lang w:eastAsia="en-US"/>
    </w:rPr>
  </w:style>
  <w:style w:type="character" w:customStyle="1" w:styleId="50">
    <w:name w:val="页脚 字符"/>
    <w:link w:val="14"/>
    <w:locked/>
    <w:uiPriority w:val="99"/>
    <w:rPr>
      <w:sz w:val="24"/>
      <w:lang w:eastAsia="en-US"/>
    </w:rPr>
  </w:style>
  <w:style w:type="character" w:customStyle="1" w:styleId="51">
    <w:name w:val="instruction standard blue"/>
    <w:uiPriority w:val="99"/>
    <w:rPr>
      <w:i/>
      <w:color w:val="0070C0"/>
    </w:rPr>
  </w:style>
  <w:style w:type="character" w:customStyle="1" w:styleId="52">
    <w:name w:val="keyword"/>
    <w:uiPriority w:val="99"/>
  </w:style>
  <w:style w:type="character" w:customStyle="1" w:styleId="53">
    <w:name w:val="numbering blue Zchn"/>
    <w:link w:val="32"/>
    <w:locked/>
    <w:uiPriority w:val="99"/>
    <w:rPr>
      <w:rFonts w:ascii="Arial" w:hAnsi="Arial" w:eastAsia="PMingLiUfalt"/>
      <w:color w:val="0070C0"/>
      <w:lang w:eastAsia="zh-TW"/>
    </w:rPr>
  </w:style>
  <w:style w:type="character" w:customStyle="1" w:styleId="54">
    <w:name w:val="Text Char"/>
    <w:link w:val="34"/>
    <w:locked/>
    <w:uiPriority w:val="99"/>
    <w:rPr>
      <w:sz w:val="24"/>
      <w:lang w:eastAsia="en-US"/>
    </w:rPr>
  </w:style>
  <w:style w:type="character" w:customStyle="1" w:styleId="55">
    <w:name w:val="ordinary-span-edit2"/>
    <w:uiPriority w:val="99"/>
  </w:style>
  <w:style w:type="character" w:customStyle="1" w:styleId="56">
    <w:name w:val="apple-converted-space"/>
    <w:uiPriority w:val="99"/>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940</Words>
  <Characters>5362</Characters>
  <Lines>44</Lines>
  <Paragraphs>12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2019-10-07T07:23:00Z</cp:lastPrinted>
  <dcterms:modified xsi:type="dcterms:W3CDTF">2019-12-20T02:17:14Z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