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3666358"/>
      <w:bookmarkStart w:id="2" w:name="_Toc483400307"/>
      <w:bookmarkStart w:id="3" w:name="_Toc482717189"/>
      <w:bookmarkStart w:id="4" w:name="_Toc484532399"/>
    </w:p>
    <w:p>
      <w:pPr>
        <w:spacing w:after="158" w:afterLines="50"/>
        <w:jc w:val="center"/>
        <w:rPr>
          <w:b/>
          <w:szCs w:val="21"/>
          <w:lang w:eastAsia="zh-CN"/>
        </w:rPr>
      </w:pPr>
      <w:permStart w:id="0" w:edGrp="everyone"/>
      <w:r>
        <w:rPr>
          <w:rFonts w:hint="eastAsia" w:ascii="宋体" w:hAnsi="宋体"/>
          <w:b/>
          <w:sz w:val="28"/>
          <w:szCs w:val="28"/>
          <w:lang w:val="en-US" w:eastAsia="zh-CN"/>
        </w:rPr>
        <w:t>质量控制室落地式离心机</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b w:val="0"/>
          <w:bCs w:val="0"/>
          <w:caps w:val="0"/>
          <w:szCs w:val="22"/>
        </w:rPr>
      </w:pPr>
      <w:permStart w:id="1" w:edGrp="everyone"/>
      <w:permEnd w:id="1"/>
      <w:r>
        <w:rPr>
          <w:sz w:val="21"/>
          <w:szCs w:val="21"/>
          <w:lang w:val="zh-CN" w:eastAsia="zh-CN"/>
        </w:rPr>
        <w:t xml:space="preserve">目录 </w:t>
      </w:r>
      <w:permStart w:id="2" w:edGrp="everyone"/>
      <w:r>
        <w:fldChar w:fldCharType="begin"/>
      </w:r>
      <w:r>
        <w:instrText xml:space="preserve"> TOC \o "1-2" \h \z \u </w:instrText>
      </w:r>
      <w:r>
        <w:fldChar w:fldCharType="separate"/>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rPr>
          <w:rFonts w:hint="eastAsia"/>
        </w:rPr>
        <w:t>4</w:t>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rPr>
          <w:rFonts w:hint="eastAsia"/>
        </w:rPr>
        <w:t>8</w:t>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rPr>
          <w:rFonts w:hint="eastAsia"/>
        </w:rPr>
        <w:t>8</w:t>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w:t>
      </w:r>
      <w:r>
        <w:rPr>
          <w:rFonts w:hint="eastAsia"/>
        </w:rPr>
        <w:t>1</w:t>
      </w:r>
      <w:r>
        <w:fldChar w:fldCharType="end"/>
      </w:r>
      <w:r>
        <w:fldChar w:fldCharType="end"/>
      </w:r>
    </w:p>
    <w:p>
      <w:r>
        <w:fldChar w:fldCharType="end"/>
      </w:r>
      <w:permEnd w:id="2"/>
    </w:p>
    <w:p>
      <w:pPr>
        <w:rPr>
          <w:lang w:val="en-US" w:eastAsia="zh-CN"/>
        </w:rPr>
      </w:pPr>
      <w:bookmarkStart w:id="5" w:name="_Toc522107734"/>
    </w:p>
    <w:p>
      <w:pPr>
        <w:rPr>
          <w:lang w:val="en-US" w:eastAsia="zh-CN"/>
        </w:rPr>
      </w:pPr>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2369805"/>
      <w:bookmarkStart w:id="9" w:name="_Toc482359936"/>
      <w:bookmarkStart w:id="10" w:name="_Toc482370141"/>
      <w:bookmarkStart w:id="11" w:name="_Toc482360281"/>
      <w:bookmarkStart w:id="12" w:name="_Toc482370061"/>
      <w:bookmarkStart w:id="13" w:name="_Toc482370757"/>
      <w:bookmarkStart w:id="14" w:name="_Toc481702475"/>
      <w:bookmarkStart w:id="15" w:name="_Toc482625279"/>
      <w:bookmarkStart w:id="16" w:name="_Toc482370349"/>
      <w:r>
        <w:rPr>
          <w:szCs w:val="21"/>
          <w:lang w:eastAsia="zh-CN"/>
        </w:rPr>
        <w:t>本文件的目的是描述武汉生物制品研究所有限责任公司</w:t>
      </w:r>
      <w:permStart w:id="3" w:edGrp="everyone"/>
      <w:r>
        <w:rPr>
          <w:rFonts w:hint="eastAsia"/>
          <w:szCs w:val="21"/>
          <w:lang w:eastAsia="zh-CN"/>
        </w:rPr>
        <w:t>质量控制室生化检定组</w:t>
      </w:r>
      <w:r>
        <w:rPr>
          <w:rFonts w:hint="eastAsia" w:ascii="宋体" w:hAnsi="宋体"/>
          <w:szCs w:val="21"/>
          <w:lang w:eastAsia="zh-CN"/>
        </w:rPr>
        <w:t>落地式离心机</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质量控制室生化检定组</w:t>
      </w:r>
      <w:r>
        <w:rPr>
          <w:rFonts w:hint="eastAsia" w:ascii="宋体" w:hAnsi="宋体"/>
          <w:szCs w:val="21"/>
          <w:lang w:eastAsia="zh-CN"/>
        </w:rPr>
        <w:t>落地式离心机</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szCs w:val="21"/>
          <w:lang w:eastAsia="zh-CN"/>
        </w:rPr>
      </w:pPr>
      <w:permStart w:id="5" w:edGrp="everyone"/>
      <w:r>
        <w:rPr>
          <w:szCs w:val="21"/>
          <w:lang w:eastAsia="zh-CN"/>
        </w:rPr>
        <w:t xml:space="preserve">中国药典 </w:t>
      </w:r>
      <w:r>
        <w:rPr>
          <w:szCs w:val="21"/>
        </w:rPr>
        <w:t>2015年版</w:t>
      </w:r>
    </w:p>
    <w:p>
      <w:pPr>
        <w:pStyle w:val="34"/>
        <w:numPr>
          <w:ilvl w:val="0"/>
          <w:numId w:val="5"/>
        </w:numPr>
        <w:spacing w:before="0" w:line="360" w:lineRule="auto"/>
        <w:ind w:left="777"/>
        <w:jc w:val="left"/>
        <w:rPr>
          <w:iCs/>
          <w:szCs w:val="21"/>
          <w:lang w:eastAsia="zh-CN"/>
        </w:rPr>
      </w:pPr>
      <w:r>
        <w:rPr>
          <w:rFonts w:hint="eastAsia"/>
          <w:iCs/>
          <w:szCs w:val="21"/>
          <w:lang w:eastAsia="zh-CN"/>
        </w:rPr>
        <w:t>《药品生产质量管理规范》（2010修订版）</w:t>
      </w:r>
    </w:p>
    <w:p>
      <w:pPr>
        <w:pStyle w:val="34"/>
        <w:numPr>
          <w:ilvl w:val="0"/>
          <w:numId w:val="5"/>
        </w:numPr>
        <w:spacing w:before="0" w:line="360" w:lineRule="auto"/>
        <w:ind w:left="777"/>
        <w:jc w:val="left"/>
        <w:rPr>
          <w:iCs/>
          <w:szCs w:val="21"/>
          <w:lang w:eastAsia="zh-CN"/>
        </w:rPr>
      </w:pPr>
      <w:r>
        <w:rPr>
          <w:rFonts w:hint="eastAsia"/>
          <w:iCs/>
          <w:szCs w:val="21"/>
          <w:lang w:eastAsia="zh-CN"/>
        </w:rPr>
        <w:t>GMP附件2《确认与验证》（2015版）</w:t>
      </w:r>
    </w:p>
    <w:p>
      <w:pPr>
        <w:pStyle w:val="36"/>
        <w:numPr>
          <w:ilvl w:val="0"/>
          <w:numId w:val="5"/>
        </w:numPr>
        <w:spacing w:before="0" w:beforeAutospacing="0" w:after="0" w:afterAutospacing="0" w:line="460" w:lineRule="exact"/>
        <w:rPr>
          <w:sz w:val="24"/>
          <w:szCs w:val="24"/>
          <w:lang w:eastAsia="zh-CN"/>
        </w:rPr>
      </w:pPr>
      <w:r>
        <w:rPr>
          <w:color w:val="000000"/>
          <w:szCs w:val="21"/>
          <w:lang w:val="zh-TW" w:eastAsia="zh-TW"/>
        </w:rPr>
        <w:t>GAMP5</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
          <w:color w:val="0070C0"/>
          <w:szCs w:val="21"/>
          <w:lang w:eastAsia="zh-CN"/>
        </w:rPr>
      </w:pPr>
      <w:permStart w:id="6" w:edGrp="everyone"/>
      <w:r>
        <w:rPr>
          <w:sz w:val="24"/>
          <w:szCs w:val="24"/>
          <w:lang w:eastAsia="zh-CN"/>
        </w:rPr>
        <w:t xml:space="preserve">GB/T 10901-2005 </w:t>
      </w:r>
      <w:r>
        <w:rPr>
          <w:rFonts w:hint="eastAsia"/>
          <w:sz w:val="24"/>
          <w:szCs w:val="24"/>
          <w:lang w:eastAsia="zh-CN"/>
        </w:rPr>
        <w:t>《离心机性能测试方法》</w:t>
      </w:r>
    </w:p>
    <w:p>
      <w:pPr>
        <w:pStyle w:val="36"/>
        <w:numPr>
          <w:ilvl w:val="0"/>
          <w:numId w:val="5"/>
        </w:numPr>
        <w:spacing w:before="0" w:beforeAutospacing="0" w:after="0" w:afterAutospacing="0" w:line="460" w:lineRule="exact"/>
        <w:rPr>
          <w:sz w:val="24"/>
          <w:szCs w:val="24"/>
        </w:rPr>
      </w:pPr>
      <w:r>
        <w:rPr>
          <w:sz w:val="24"/>
          <w:szCs w:val="24"/>
        </w:rPr>
        <w:t xml:space="preserve">GB 19815-2005 </w:t>
      </w:r>
      <w:r>
        <w:rPr>
          <w:rFonts w:hint="eastAsia"/>
          <w:sz w:val="24"/>
          <w:szCs w:val="24"/>
        </w:rPr>
        <w:t>《离心机安全要求》</w:t>
      </w:r>
    </w:p>
    <w:p>
      <w:pPr>
        <w:pStyle w:val="36"/>
        <w:numPr>
          <w:ilvl w:val="0"/>
          <w:numId w:val="5"/>
        </w:numPr>
        <w:spacing w:before="0" w:beforeAutospacing="0" w:after="0" w:afterAutospacing="0" w:line="460" w:lineRule="exact"/>
        <w:rPr>
          <w:sz w:val="24"/>
          <w:szCs w:val="24"/>
        </w:rPr>
      </w:pPr>
      <w:r>
        <w:rPr>
          <w:sz w:val="24"/>
          <w:szCs w:val="24"/>
        </w:rPr>
        <w:t xml:space="preserve">ISPE Good Engineering Practice </w:t>
      </w:r>
      <w:r>
        <w:rPr>
          <w:rFonts w:hint="eastAsia"/>
          <w:sz w:val="24"/>
          <w:szCs w:val="24"/>
        </w:rPr>
        <w:t>良好的工程质量管理规范</w:t>
      </w:r>
    </w:p>
    <w:permEnd w:id="6"/>
    <w:p>
      <w:pPr>
        <w:pStyle w:val="34"/>
        <w:spacing w:before="0" w:line="360" w:lineRule="auto"/>
        <w:ind w:left="357"/>
        <w:jc w:val="left"/>
        <w:rPr>
          <w:i/>
          <w:szCs w:val="21"/>
          <w:lang w:eastAsia="zh-CN"/>
        </w:rPr>
      </w:pPr>
      <w:bookmarkStart w:id="48" w:name="_GoBack"/>
      <w:bookmarkEnd w:id="48"/>
    </w:p>
    <w:p>
      <w:pPr>
        <w:pStyle w:val="30"/>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permStart w:id="7" w:edGrp="everyone"/>
      <w:permEnd w:id="7"/>
      <w:r>
        <w:rPr>
          <w:rFonts w:ascii="Times New Roman" w:hAnsi="Times New Roman"/>
          <w:b/>
        </w:rPr>
        <w:t>系统描述</w:t>
      </w:r>
      <w:bookmarkEnd w:id="21"/>
      <w:bookmarkEnd w:id="22"/>
    </w:p>
    <w:p>
      <w:pPr>
        <w:spacing w:line="360" w:lineRule="auto"/>
        <w:rPr>
          <w:rFonts w:ascii="宋体" w:hAnsi="宋体" w:eastAsia="宋体"/>
          <w:szCs w:val="21"/>
          <w:lang w:eastAsia="zh-CN"/>
        </w:rPr>
      </w:pPr>
      <w:permStart w:id="8" w:edGrp="everyone"/>
      <w:r>
        <w:fldChar w:fldCharType="begin"/>
      </w:r>
      <w:r>
        <w:rPr>
          <w:lang w:eastAsia="zh-CN"/>
        </w:rPr>
        <w:instrText xml:space="preserve">HYPERLINK "http://www.hexiyiqi.com/"</w:instrText>
      </w:r>
      <w:r>
        <w:fldChar w:fldCharType="separate"/>
      </w:r>
      <w:r>
        <w:rPr>
          <w:rFonts w:ascii="宋体" w:hAnsi="宋体" w:eastAsia="宋体"/>
          <w:szCs w:val="21"/>
          <w:lang w:eastAsia="zh-CN"/>
        </w:rPr>
        <w:t>离心机</w:t>
      </w:r>
      <w:r>
        <w:fldChar w:fldCharType="end"/>
      </w:r>
      <w:r>
        <w:rPr>
          <w:rFonts w:ascii="宋体" w:hAnsi="宋体" w:eastAsia="宋体"/>
          <w:szCs w:val="21"/>
          <w:lang w:eastAsia="zh-CN"/>
        </w:rPr>
        <w:t>是一种高速旋转机械，它是利用离心力，不同物质在离心场中沉淀速度的差异，分离液体与固体颗粒或液体与液体的混合物中各组分的机械。</w:t>
      </w:r>
    </w:p>
    <w:p>
      <w:pPr>
        <w:pStyle w:val="34"/>
        <w:spacing w:before="0" w:line="360" w:lineRule="auto"/>
        <w:ind w:left="357"/>
        <w:jc w:val="left"/>
        <w:rPr>
          <w:i/>
          <w:color w:val="4472C4"/>
          <w:szCs w:val="21"/>
          <w:lang w:eastAsia="zh-CN"/>
        </w:rPr>
      </w:pPr>
      <w:r>
        <w:rPr>
          <w:rFonts w:hint="eastAsia" w:ascii="宋体" w:hAnsi="宋体" w:eastAsia="宋体"/>
          <w:szCs w:val="21"/>
          <w:lang w:eastAsia="zh-CN"/>
        </w:rPr>
        <w:t xml:space="preserve"> 离心机主要用于</w:t>
      </w:r>
      <w:r>
        <w:rPr>
          <w:rFonts w:ascii="宋体" w:hAnsi="宋体" w:eastAsia="宋体"/>
          <w:szCs w:val="21"/>
          <w:lang w:eastAsia="zh-CN"/>
        </w:rPr>
        <w:t>对混合溶液进行快速分离，将装有样品溶液的离心管、瓶置于离心轴上，利用转头绕轴高速旋转所产生的强大离心力，使样品中不同性质颗粒相互分离，实现样品的分析、分离。</w:t>
      </w:r>
      <w:r>
        <w:rPr>
          <w:rFonts w:hint="eastAsia" w:ascii="宋体" w:hAnsi="宋体" w:eastAsia="宋体"/>
          <w:szCs w:val="21"/>
          <w:lang w:eastAsia="zh-CN"/>
        </w:rPr>
        <w:t>质量控制室离心机主要用于沉淀蛋白样品的分离以及多糖大分子的分离</w:t>
      </w:r>
      <w:r>
        <w:rPr>
          <w:rFonts w:ascii="宋体" w:hAnsi="宋体" w:eastAsia="宋体"/>
          <w:szCs w:val="21"/>
          <w:lang w:eastAsia="zh-CN"/>
        </w:rPr>
        <w:t>。</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4" w:name="OLE_LINK1"/>
            <w:bookmarkStart w:id="25"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0" w:edGrp="everyone"/>
          </w:p>
        </w:tc>
        <w:tc>
          <w:tcPr>
            <w:tcW w:w="6970" w:type="dxa"/>
            <w:vAlign w:val="center"/>
          </w:tcPr>
          <w:p>
            <w:pPr>
              <w:spacing w:line="276" w:lineRule="auto"/>
              <w:jc w:val="both"/>
              <w:rPr>
                <w:i/>
                <w:color w:val="0070C0"/>
                <w:szCs w:val="21"/>
                <w:lang w:eastAsia="zh-CN"/>
              </w:rPr>
            </w:pPr>
            <w:r>
              <w:rPr>
                <w:rFonts w:hint="eastAsia"/>
                <w:szCs w:val="21"/>
                <w:lang w:val="en-US" w:eastAsia="zh-CN"/>
              </w:rPr>
              <w:t>本设备安装于质量控制室</w:t>
            </w:r>
            <w:r>
              <w:rPr>
                <w:rFonts w:hint="eastAsia"/>
                <w:szCs w:val="21"/>
                <w:lang w:eastAsia="zh-CN"/>
              </w:rPr>
              <w:t>生化检定组</w:t>
            </w:r>
            <w:r>
              <w:rPr>
                <w:rFonts w:hint="eastAsia"/>
                <w:szCs w:val="21"/>
                <w:lang w:val="en-US" w:eastAsia="zh-CN"/>
              </w:rPr>
              <w:t>。</w:t>
            </w:r>
          </w:p>
        </w:tc>
        <w:tc>
          <w:tcPr>
            <w:tcW w:w="2082" w:type="dxa"/>
            <w:vAlign w:val="center"/>
          </w:tcPr>
          <w:p>
            <w:pPr>
              <w:jc w:val="both"/>
              <w:rPr>
                <w:i/>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1" w:edGrp="everyone"/>
          </w:p>
        </w:tc>
        <w:tc>
          <w:tcPr>
            <w:tcW w:w="6970" w:type="dxa"/>
            <w:vAlign w:val="center"/>
          </w:tcPr>
          <w:p/>
          <w:p>
            <w:pPr>
              <w:spacing w:line="276" w:lineRule="auto"/>
              <w:jc w:val="both"/>
              <w:rPr>
                <w:iCs/>
                <w:szCs w:val="21"/>
                <w:lang w:val="en-US" w:eastAsia="zh-CN"/>
              </w:rPr>
            </w:pPr>
            <w:r>
              <w:rPr>
                <w:szCs w:val="21"/>
                <w:lang w:eastAsia="zh-CN"/>
              </w:rPr>
              <w:t>设备的形式尺寸应符合制造商说明书及技术文件规定的要求。</w:t>
            </w:r>
          </w:p>
        </w:tc>
        <w:tc>
          <w:tcPr>
            <w:tcW w:w="2082" w:type="dxa"/>
            <w:vAlign w:val="center"/>
          </w:tcPr>
          <w:p>
            <w:pPr>
              <w:jc w:val="both"/>
              <w:rPr>
                <w:szCs w:val="21"/>
                <w:lang w:eastAsia="zh-CN"/>
              </w:rPr>
            </w:pPr>
            <w:r>
              <w:rPr>
                <w:rFonts w:hint="eastAsia"/>
                <w:color w:val="000000"/>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2" w:edGrp="everyone"/>
          </w:p>
        </w:tc>
        <w:tc>
          <w:tcPr>
            <w:tcW w:w="6970" w:type="dxa"/>
            <w:vAlign w:val="center"/>
          </w:tcPr>
          <w:p>
            <w:pPr>
              <w:spacing w:line="276" w:lineRule="auto"/>
              <w:jc w:val="both"/>
              <w:rPr>
                <w:color w:val="0070C0"/>
                <w:szCs w:val="21"/>
                <w:lang w:val="en-US" w:eastAsia="zh-CN"/>
              </w:rPr>
            </w:pPr>
            <w:r>
              <w:rPr>
                <w:szCs w:val="21"/>
                <w:lang w:eastAsia="zh-CN"/>
              </w:rPr>
              <w:t>供应商必须给出设备选型方案及相应附件选型方案，并交给我公司使用部门及工程类部门审核。</w:t>
            </w:r>
          </w:p>
        </w:tc>
        <w:tc>
          <w:tcPr>
            <w:tcW w:w="2082" w:type="dxa"/>
            <w:vAlign w:val="center"/>
          </w:tcPr>
          <w:p>
            <w:pPr>
              <w:jc w:val="both"/>
              <w:rPr>
                <w:szCs w:val="21"/>
                <w:lang w:eastAsia="zh-CN"/>
              </w:rPr>
            </w:pPr>
            <w:r>
              <w:rPr>
                <w:rFonts w:hint="eastAsia"/>
                <w:color w:val="000000"/>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3" w:edGrp="everyone"/>
          </w:p>
        </w:tc>
        <w:tc>
          <w:tcPr>
            <w:tcW w:w="6970" w:type="dxa"/>
            <w:vAlign w:val="center"/>
          </w:tcPr>
          <w:p>
            <w:pPr>
              <w:spacing w:line="276" w:lineRule="auto"/>
              <w:jc w:val="both"/>
              <w:rPr>
                <w:i/>
                <w:color w:val="0070C0"/>
                <w:szCs w:val="21"/>
                <w:lang w:val="en-US" w:eastAsia="zh-CN"/>
              </w:rPr>
            </w:pPr>
            <w:r>
              <w:rPr>
                <w:rFonts w:hint="eastAsia" w:ascii="宋体" w:hAnsi="宋体"/>
                <w:color w:val="000000"/>
                <w:szCs w:val="21"/>
                <w:lang w:eastAsia="zh-CN"/>
              </w:rPr>
              <w:t>其重量不超出房间地面承重要求</w:t>
            </w:r>
          </w:p>
        </w:tc>
        <w:tc>
          <w:tcPr>
            <w:tcW w:w="2082" w:type="dxa"/>
            <w:vAlign w:val="center"/>
          </w:tcPr>
          <w:p>
            <w:pPr>
              <w:jc w:val="both"/>
              <w:rPr>
                <w:szCs w:val="21"/>
                <w:lang w:eastAsia="zh-CN"/>
              </w:rPr>
            </w:pPr>
            <w:r>
              <w:rPr>
                <w:rFonts w:hint="eastAsia"/>
                <w:color w:val="000000"/>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4" w:edGrp="everyone"/>
          </w:p>
        </w:tc>
        <w:tc>
          <w:tcPr>
            <w:tcW w:w="6970" w:type="dxa"/>
            <w:vAlign w:val="center"/>
          </w:tcPr>
          <w:p>
            <w:pPr>
              <w:spacing w:line="276" w:lineRule="auto"/>
              <w:jc w:val="both"/>
              <w:rPr>
                <w:i/>
                <w:szCs w:val="21"/>
                <w:lang w:eastAsia="zh-CN"/>
              </w:rPr>
            </w:pPr>
            <w:r>
              <w:rPr>
                <w:rFonts w:hint="eastAsia"/>
                <w:sz w:val="18"/>
                <w:szCs w:val="21"/>
                <w:lang w:eastAsia="zh-CN"/>
              </w:rPr>
              <w:t>N/A</w:t>
            </w:r>
          </w:p>
        </w:tc>
        <w:tc>
          <w:tcPr>
            <w:tcW w:w="2082" w:type="dxa"/>
            <w:vAlign w:val="center"/>
          </w:tcPr>
          <w:p>
            <w:pPr>
              <w:jc w:val="both"/>
              <w:rPr>
                <w:szCs w:val="21"/>
                <w:lang w:eastAsia="zh-CN"/>
              </w:rPr>
            </w:pP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ermStart w:id="15" w:edGrp="everyone"/>
            <w:permEnd w:id="15"/>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6" w:edGrp="everyone"/>
          </w:p>
        </w:tc>
        <w:tc>
          <w:tcPr>
            <w:tcW w:w="6970"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工作环境温度：</w:t>
            </w:r>
            <w:r>
              <w:rPr>
                <w:lang w:eastAsia="zh-CN"/>
              </w:rPr>
              <w:t xml:space="preserve"> 10</w:t>
            </w:r>
            <w:r>
              <w:rPr>
                <w:rFonts w:hint="eastAsia" w:ascii="宋体" w:hAnsi="宋体" w:cs="宋体"/>
                <w:lang w:eastAsia="zh-CN"/>
              </w:rPr>
              <w:t>℃</w:t>
            </w:r>
            <w:r>
              <w:rPr>
                <w:rFonts w:hint="eastAsia"/>
                <w:lang w:eastAsia="zh-CN"/>
              </w:rPr>
              <w:t>～</w:t>
            </w:r>
            <w:r>
              <w:rPr>
                <w:lang w:eastAsia="zh-CN"/>
              </w:rPr>
              <w:t>30</w:t>
            </w:r>
            <w:r>
              <w:rPr>
                <w:rFonts w:hint="eastAsia" w:ascii="宋体" w:hAnsi="宋体" w:cs="宋体"/>
                <w:lang w:eastAsia="zh-CN"/>
              </w:rPr>
              <w:t>℃</w:t>
            </w:r>
            <w:r>
              <w:rPr>
                <w:rFonts w:hint="eastAsia"/>
                <w:lang w:eastAsia="zh-CN"/>
              </w:rPr>
              <w:t>环境</w:t>
            </w:r>
          </w:p>
        </w:tc>
        <w:tc>
          <w:tcPr>
            <w:tcW w:w="2082" w:type="dxa"/>
            <w:vAlign w:val="center"/>
          </w:tcPr>
          <w:p>
            <w:pPr>
              <w:jc w:val="both"/>
              <w:rPr>
                <w:szCs w:val="21"/>
                <w:lang w:eastAsia="zh-CN"/>
              </w:rPr>
            </w:pPr>
            <w:r>
              <w:rPr>
                <w:rFonts w:hint="eastAsia"/>
                <w:color w:val="000000"/>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7" w:edGrp="everyone"/>
          </w:p>
        </w:tc>
        <w:tc>
          <w:tcPr>
            <w:tcW w:w="6970"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w:t>
            </w:r>
            <w:r>
              <w:rPr>
                <w:rFonts w:hint="eastAsia"/>
                <w:lang w:eastAsia="zh-CN"/>
              </w:rPr>
              <w:t>相对湿度≤80%</w:t>
            </w:r>
          </w:p>
        </w:tc>
        <w:tc>
          <w:tcPr>
            <w:tcW w:w="2082" w:type="dxa"/>
            <w:vAlign w:val="center"/>
          </w:tcPr>
          <w:p>
            <w:pPr>
              <w:jc w:val="both"/>
              <w:rPr>
                <w:szCs w:val="21"/>
                <w:lang w:eastAsia="zh-CN"/>
              </w:rPr>
            </w:pPr>
            <w:r>
              <w:rPr>
                <w:rFonts w:hint="eastAsia"/>
                <w:color w:val="000000"/>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8" w:edGrp="everyone"/>
          </w:p>
        </w:tc>
        <w:tc>
          <w:tcPr>
            <w:tcW w:w="6970" w:type="dxa"/>
            <w:vAlign w:val="center"/>
          </w:tcPr>
          <w:p>
            <w:pPr>
              <w:spacing w:line="276" w:lineRule="auto"/>
              <w:jc w:val="both"/>
              <w:rPr>
                <w:color w:val="000000"/>
                <w:lang w:eastAsia="zh-CN"/>
              </w:rPr>
            </w:pPr>
            <w:r>
              <w:rPr>
                <w:rFonts w:hint="eastAsia"/>
                <w:color w:val="000000"/>
                <w:lang w:eastAsia="zh-CN"/>
              </w:rPr>
              <w:t>工作环境洁净级别：无特殊要求</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lang w:eastAsia="zh-CN"/>
              </w:rPr>
            </w:pPr>
            <w:r>
              <w:rPr>
                <w:rFonts w:hint="eastAsia"/>
                <w:color w:val="000000"/>
                <w:lang w:eastAsia="zh-CN"/>
              </w:rPr>
              <w:t>无阳光直射或其他热源直接辐射</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lang w:eastAsia="zh-CN"/>
              </w:rPr>
            </w:pPr>
            <w:r>
              <w:rPr>
                <w:rFonts w:hint="eastAsia"/>
                <w:color w:val="000000"/>
                <w:lang w:eastAsia="zh-CN"/>
              </w:rPr>
              <w:t>周围无爆炸性气体、高浓度粉尘或腐蚀性气体</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lang w:eastAsia="zh-CN"/>
              </w:rPr>
            </w:pPr>
            <w:r>
              <w:rPr>
                <w:rFonts w:hint="eastAsia"/>
                <w:color w:val="000000"/>
                <w:lang w:eastAsia="zh-CN"/>
              </w:rPr>
              <w:t>周围无强烈振动或气流</w:t>
            </w:r>
          </w:p>
        </w:tc>
        <w:tc>
          <w:tcPr>
            <w:tcW w:w="2082" w:type="dxa"/>
            <w:vAlign w:val="center"/>
          </w:tcPr>
          <w:p>
            <w:pPr>
              <w:jc w:val="both"/>
              <w:rPr>
                <w:szCs w:val="21"/>
                <w:lang w:eastAsia="zh-CN"/>
              </w:rPr>
            </w:pPr>
            <w:r>
              <w:rPr>
                <w:rFonts w:hint="eastAsia"/>
                <w:color w:val="000000"/>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9" w:edGrp="everyone"/>
          </w:p>
        </w:tc>
        <w:tc>
          <w:tcPr>
            <w:tcW w:w="6970" w:type="dxa"/>
            <w:vAlign w:val="center"/>
          </w:tcPr>
          <w:p>
            <w:pPr>
              <w:spacing w:line="276" w:lineRule="auto"/>
              <w:jc w:val="both"/>
              <w:rPr>
                <w:color w:val="000000"/>
                <w:lang w:eastAsia="zh-CN"/>
              </w:rPr>
            </w:pPr>
            <w:r>
              <w:rPr>
                <w:rFonts w:hint="eastAsia"/>
                <w:lang w:eastAsia="zh-CN"/>
              </w:rPr>
              <w:t>220V，应</w:t>
            </w:r>
            <w:r>
              <w:rPr>
                <w:szCs w:val="21"/>
                <w:lang w:eastAsia="zh-CN"/>
              </w:rPr>
              <w:t>符合制造商说明书及技术文件规定的要求</w:t>
            </w:r>
            <w:r>
              <w:rPr>
                <w:rFonts w:hint="eastAsia"/>
                <w:szCs w:val="21"/>
                <w:lang w:eastAsia="zh-CN"/>
              </w:rPr>
              <w:t>。</w:t>
            </w:r>
          </w:p>
        </w:tc>
        <w:tc>
          <w:tcPr>
            <w:tcW w:w="2082" w:type="dxa"/>
            <w:vAlign w:val="center"/>
          </w:tcPr>
          <w:p>
            <w:pPr>
              <w:jc w:val="both"/>
              <w:rPr>
                <w:szCs w:val="21"/>
                <w:lang w:eastAsia="zh-CN"/>
              </w:rPr>
            </w:pPr>
            <w:r>
              <w:rPr>
                <w:rFonts w:hint="eastAsia"/>
                <w:color w:val="000000"/>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0" w:edGrp="everyone"/>
          </w:p>
        </w:tc>
        <w:tc>
          <w:tcPr>
            <w:tcW w:w="6970" w:type="dxa"/>
            <w:vAlign w:val="center"/>
          </w:tcPr>
          <w:p>
            <w:pPr>
              <w:spacing w:line="276" w:lineRule="auto"/>
              <w:jc w:val="both"/>
              <w:rPr>
                <w:rFonts w:ascii="宋体" w:hAnsi="宋体"/>
                <w:lang w:eastAsia="zh-CN"/>
              </w:rPr>
            </w:pPr>
            <w:r>
              <w:fldChar w:fldCharType="begin"/>
            </w:r>
            <w:r>
              <w:instrText xml:space="preserve">HYPERLINK "http://www.hexiyiqi.com/" </w:instrText>
            </w:r>
            <w:r>
              <w:fldChar w:fldCharType="separate"/>
            </w:r>
            <w:r>
              <w:rPr>
                <w:rFonts w:ascii="宋体" w:hAnsi="宋体" w:eastAsia="宋体"/>
                <w:szCs w:val="21"/>
                <w:lang w:eastAsia="zh-CN"/>
              </w:rPr>
              <w:t>离心机</w:t>
            </w:r>
            <w:r>
              <w:fldChar w:fldCharType="end"/>
            </w:r>
            <w:r>
              <w:rPr>
                <w:rFonts w:hint="eastAsia"/>
                <w:szCs w:val="21"/>
                <w:lang w:val="en-US" w:eastAsia="zh-CN"/>
              </w:rPr>
              <w:t>为落地式。</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ascii="宋体" w:hAnsi="宋体"/>
                <w:lang w:eastAsia="zh-CN"/>
              </w:rPr>
              <w:t>所有制造用材料都应符合中国</w:t>
            </w:r>
            <w:r>
              <w:rPr>
                <w:rFonts w:ascii="宋体" w:hAnsi="宋体"/>
                <w:lang w:eastAsia="zh-CN"/>
              </w:rPr>
              <w:t>GMP</w:t>
            </w:r>
            <w:r>
              <w:rPr>
                <w:rFonts w:hint="eastAsia" w:ascii="宋体" w:hAnsi="宋体"/>
                <w:lang w:eastAsia="zh-CN"/>
              </w:rPr>
              <w:t>的要求，所有材料应当是新的，无缺陷，完全符合于目标用途</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lang w:eastAsia="zh-CN"/>
              </w:rPr>
            </w:pPr>
            <w:r>
              <w:rPr>
                <w:rFonts w:hint="eastAsia" w:ascii="宋体" w:hAnsi="宋体" w:cs="Calibri"/>
                <w:szCs w:val="21"/>
                <w:lang w:eastAsia="zh-CN"/>
              </w:rPr>
              <w:t>腔体材质</w:t>
            </w:r>
            <w:r>
              <w:rPr>
                <w:rFonts w:ascii="宋体" w:hAnsi="宋体" w:cs="Calibri"/>
                <w:szCs w:val="21"/>
                <w:lang w:eastAsia="zh-CN"/>
              </w:rPr>
              <w:t>3</w:t>
            </w:r>
            <w:r>
              <w:rPr>
                <w:rFonts w:hint="eastAsia" w:ascii="宋体" w:hAnsi="宋体" w:cs="Calibri"/>
                <w:szCs w:val="21"/>
                <w:lang w:eastAsia="zh-CN"/>
              </w:rPr>
              <w:t>04不锈钢，便于消毒和清洗，耐酒精、</w:t>
            </w:r>
            <w:r>
              <w:rPr>
                <w:rFonts w:ascii="宋体" w:hAnsi="宋体" w:cs="Calibri"/>
                <w:szCs w:val="21"/>
                <w:lang w:eastAsia="zh-CN"/>
              </w:rPr>
              <w:t>双氧水等消毒剂。</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s="Calibri"/>
                <w:szCs w:val="21"/>
                <w:lang w:eastAsia="zh-CN"/>
              </w:rPr>
            </w:pPr>
            <w:r>
              <w:rPr>
                <w:rFonts w:hint="eastAsia" w:ascii="宋体" w:hAnsi="宋体" w:cs="宋体"/>
                <w:szCs w:val="21"/>
                <w:lang w:val="en-US" w:eastAsia="zh-CN"/>
              </w:rPr>
              <w:t>重量轻、防腐蚀的碳纤转头</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s="宋体"/>
                <w:szCs w:val="21"/>
                <w:lang w:val="en-US" w:eastAsia="zh-CN"/>
              </w:rPr>
            </w:pPr>
            <w:r>
              <w:rPr>
                <w:rFonts w:hint="eastAsia" w:ascii="Calibri" w:hAnsi="Calibri" w:cs="Calibri"/>
                <w:lang w:eastAsia="zh-CN"/>
              </w:rPr>
              <w:t>转子为金属材质，不能掉粉污染环境</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结构外形紧凑、无需锚定，具备自动开门功能和一体化工作台面，方便日常操作</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082" w:type="dxa"/>
            <w:vAlign w:val="center"/>
          </w:tcPr>
          <w:p>
            <w:pPr>
              <w:jc w:val="both"/>
              <w:rPr>
                <w:szCs w:val="21"/>
                <w:lang w:eastAsia="zh-CN"/>
              </w:rPr>
            </w:pPr>
            <w:r>
              <w:rPr>
                <w:rFonts w:hint="eastAsia"/>
                <w:color w:val="000000"/>
                <w:szCs w:val="21"/>
                <w:lang w:eastAsia="zh-CN"/>
              </w:rPr>
              <w:t>关键</w:t>
            </w:r>
          </w:p>
        </w:tc>
      </w:tr>
      <w:bookmarkEnd w:id="24"/>
      <w:bookmarkEnd w:id="25"/>
      <w:permEnd w:id="20"/>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1" w:edGrp="everyone"/>
            <w:permEnd w:id="2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2" w:edGrp="everyone"/>
          </w:p>
        </w:tc>
        <w:tc>
          <w:tcPr>
            <w:tcW w:w="6970" w:type="dxa"/>
            <w:vAlign w:val="center"/>
          </w:tcPr>
          <w:p>
            <w:pPr>
              <w:spacing w:line="276" w:lineRule="auto"/>
              <w:jc w:val="both"/>
              <w:rPr>
                <w:szCs w:val="21"/>
                <w:lang w:eastAsia="zh-CN"/>
              </w:rPr>
            </w:pPr>
            <w:r>
              <w:rPr>
                <w:rFonts w:hint="eastAsia"/>
                <w:szCs w:val="21"/>
                <w:lang w:eastAsia="zh-CN"/>
              </w:rPr>
              <w:t>N/A</w:t>
            </w:r>
          </w:p>
        </w:tc>
        <w:tc>
          <w:tcPr>
            <w:tcW w:w="2082" w:type="dxa"/>
            <w:vAlign w:val="center"/>
          </w:tcPr>
          <w:p>
            <w:pPr>
              <w:jc w:val="both"/>
              <w:rPr>
                <w:szCs w:val="21"/>
                <w:lang w:eastAsia="zh-CN"/>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3" w:edGrp="everyone"/>
          </w:p>
        </w:tc>
        <w:tc>
          <w:tcPr>
            <w:tcW w:w="6970" w:type="dxa"/>
            <w:vAlign w:val="center"/>
          </w:tcPr>
          <w:p>
            <w:pPr>
              <w:spacing w:line="276" w:lineRule="auto"/>
              <w:jc w:val="both"/>
              <w:rPr>
                <w:szCs w:val="21"/>
                <w:lang w:eastAsia="zh-CN"/>
              </w:rPr>
            </w:pPr>
            <w:r>
              <w:rPr>
                <w:rFonts w:hint="eastAsia" w:ascii="宋体" w:hAnsi="宋体" w:eastAsia="宋体" w:cs="Calibri"/>
                <w:lang w:eastAsia="zh-CN"/>
              </w:rPr>
              <w:t>转头容量（位数×体积，ml）不低于36×15和16×50</w:t>
            </w:r>
          </w:p>
        </w:tc>
        <w:tc>
          <w:tcPr>
            <w:tcW w:w="2082" w:type="dxa"/>
            <w:vAlign w:val="center"/>
          </w:tcPr>
          <w:p>
            <w:pPr>
              <w:jc w:val="both"/>
              <w:rPr>
                <w:szCs w:val="21"/>
                <w:lang w:eastAsia="zh-CN"/>
              </w:rPr>
            </w:pPr>
            <w:r>
              <w:rPr>
                <w:rFonts w:hint="eastAsia"/>
                <w:color w:val="000000"/>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4" w:edGrp="everyone"/>
          </w:p>
        </w:tc>
        <w:tc>
          <w:tcPr>
            <w:tcW w:w="6970" w:type="dxa"/>
            <w:vAlign w:val="center"/>
          </w:tcPr>
          <w:p>
            <w:pPr>
              <w:spacing w:line="276" w:lineRule="auto"/>
              <w:jc w:val="both"/>
              <w:rPr>
                <w:rFonts w:ascii="Calibri" w:hAnsi="Calibri" w:cs="Calibri"/>
                <w:lang w:eastAsia="zh-CN"/>
              </w:rPr>
            </w:pPr>
            <w:r>
              <w:rPr>
                <w:rFonts w:hint="eastAsia" w:ascii="Calibri" w:hAnsi="Calibri" w:cs="Calibri"/>
                <w:lang w:eastAsia="zh-CN"/>
              </w:rPr>
              <w:t>时间设定：1</w:t>
            </w:r>
            <w:r>
              <w:rPr>
                <w:rFonts w:ascii="Calibri" w:hAnsi="Calibri" w:cs="Calibri"/>
                <w:lang w:eastAsia="zh-CN"/>
              </w:rPr>
              <w:t xml:space="preserve"> min-</w:t>
            </w:r>
            <w:r>
              <w:rPr>
                <w:rFonts w:hint="eastAsia" w:ascii="Calibri" w:hAnsi="Calibri" w:cs="Calibri"/>
                <w:lang w:eastAsia="zh-CN"/>
              </w:rPr>
              <w:t>50</w:t>
            </w:r>
            <w:r>
              <w:rPr>
                <w:rFonts w:ascii="Calibri" w:hAnsi="Calibri" w:cs="Calibri"/>
                <w:lang w:eastAsia="zh-CN"/>
              </w:rPr>
              <w:t>hours</w:t>
            </w:r>
            <w:r>
              <w:rPr>
                <w:rFonts w:hint="eastAsia" w:ascii="Calibri" w:hAnsi="Calibri" w:cs="Calibri"/>
                <w:lang w:eastAsia="zh-CN"/>
              </w:rPr>
              <w:t>或</w:t>
            </w:r>
            <w:r>
              <w:rPr>
                <w:rFonts w:ascii="Calibri" w:hAnsi="Calibri" w:cs="Calibri"/>
                <w:lang w:eastAsia="zh-CN"/>
              </w:rPr>
              <w:t>连续运行</w:t>
            </w:r>
            <w:r>
              <w:rPr>
                <w:rFonts w:hint="eastAsia" w:ascii="Calibri" w:hAnsi="Calibri" w:cs="Calibri"/>
                <w:lang w:eastAsia="zh-CN"/>
              </w:rPr>
              <w:t>；</w:t>
            </w:r>
          </w:p>
        </w:tc>
        <w:tc>
          <w:tcPr>
            <w:tcW w:w="2082" w:type="dxa"/>
            <w:vAlign w:val="center"/>
          </w:tcPr>
          <w:p>
            <w:pPr>
              <w:jc w:val="both"/>
              <w:rPr>
                <w:szCs w:val="21"/>
                <w:lang w:eastAsia="zh-CN"/>
              </w:rPr>
            </w:pPr>
            <w:r>
              <w:rPr>
                <w:rFonts w:hint="eastAsia"/>
                <w:color w:val="000000"/>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5" w:edGrp="everyone"/>
          </w:p>
        </w:tc>
        <w:tc>
          <w:tcPr>
            <w:tcW w:w="6970" w:type="dxa"/>
            <w:vAlign w:val="center"/>
          </w:tcPr>
          <w:p>
            <w:pPr>
              <w:spacing w:line="276" w:lineRule="auto"/>
              <w:jc w:val="both"/>
              <w:rPr>
                <w:i/>
                <w:szCs w:val="21"/>
                <w:lang w:eastAsia="zh-CN"/>
              </w:rPr>
            </w:pPr>
            <w:r>
              <w:rPr>
                <w:rFonts w:hint="eastAsia" w:ascii="宋体" w:hAnsi="宋体"/>
                <w:color w:val="000000"/>
                <w:szCs w:val="21"/>
                <w:shd w:val="clear" w:color="auto" w:fill="FFEDC4"/>
                <w:lang w:eastAsia="zh-CN"/>
              </w:rPr>
              <w:t>转速不低于7000g，</w:t>
            </w:r>
            <w:r>
              <w:rPr>
                <w:rFonts w:hint="eastAsia" w:ascii="宋体" w:hAnsi="宋体" w:cs="Calibri"/>
                <w:lang w:eastAsia="zh-CN"/>
              </w:rPr>
              <w:t>转速控制</w:t>
            </w:r>
            <w:r>
              <w:rPr>
                <w:rFonts w:ascii="宋体" w:hAnsi="宋体" w:cs="Calibri"/>
                <w:lang w:eastAsia="zh-CN"/>
              </w:rPr>
              <w:t>精度</w:t>
            </w:r>
            <w:r>
              <w:rPr>
                <w:rFonts w:hint="eastAsia" w:ascii="宋体" w:hAnsi="宋体"/>
                <w:color w:val="000000"/>
                <w:lang w:eastAsia="zh-CN"/>
              </w:rPr>
              <w:t>±0.1%</w:t>
            </w:r>
          </w:p>
        </w:tc>
        <w:tc>
          <w:tcPr>
            <w:tcW w:w="2082" w:type="dxa"/>
            <w:vAlign w:val="center"/>
          </w:tcPr>
          <w:p>
            <w:pPr>
              <w:jc w:val="both"/>
              <w:rPr>
                <w:szCs w:val="21"/>
                <w:lang w:eastAsia="zh-CN"/>
              </w:rPr>
            </w:pPr>
            <w:r>
              <w:rPr>
                <w:rFonts w:hint="eastAsia"/>
                <w:color w:val="000000"/>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6" w:edGrp="everyone"/>
          </w:p>
        </w:tc>
        <w:tc>
          <w:tcPr>
            <w:tcW w:w="6970" w:type="dxa"/>
            <w:vAlign w:val="center"/>
          </w:tcPr>
          <w:p>
            <w:pPr>
              <w:spacing w:line="276" w:lineRule="auto"/>
              <w:jc w:val="both"/>
              <w:rPr>
                <w:szCs w:val="21"/>
                <w:lang w:val="en-US" w:eastAsia="zh-CN"/>
              </w:rPr>
            </w:pPr>
            <w:r>
              <w:rPr>
                <w:rFonts w:hint="eastAsia" w:ascii="宋体" w:hAnsi="宋体" w:cs="Calibri"/>
                <w:lang w:eastAsia="zh-CN"/>
              </w:rPr>
              <w:t>温度设定范围应为</w:t>
            </w:r>
            <w:r>
              <w:rPr>
                <w:rFonts w:ascii="宋体" w:hAnsi="宋体" w:cs="Calibri"/>
                <w:lang w:eastAsia="zh-CN"/>
              </w:rPr>
              <w:t>0</w:t>
            </w:r>
            <w:r>
              <w:rPr>
                <w:rFonts w:hint="eastAsia" w:ascii="宋体" w:hAnsi="宋体" w:cs="Calibri"/>
                <w:lang w:eastAsia="zh-CN"/>
              </w:rPr>
              <w:t>℃～</w:t>
            </w:r>
            <w:r>
              <w:rPr>
                <w:rFonts w:ascii="宋体" w:hAnsi="宋体" w:cs="Calibri"/>
                <w:lang w:eastAsia="zh-CN"/>
              </w:rPr>
              <w:t>4</w:t>
            </w:r>
            <w:r>
              <w:rPr>
                <w:rFonts w:hint="eastAsia" w:ascii="宋体" w:hAnsi="宋体" w:cs="Calibri"/>
                <w:lang w:eastAsia="zh-CN"/>
              </w:rPr>
              <w:t>0℃，</w:t>
            </w:r>
            <w:r>
              <w:rPr>
                <w:rFonts w:ascii="宋体" w:hAnsi="宋体" w:cs="Calibri"/>
                <w:lang w:eastAsia="zh-CN"/>
              </w:rPr>
              <w:t xml:space="preserve"> 1</w:t>
            </w:r>
            <w:r>
              <w:rPr>
                <w:rFonts w:hint="eastAsia" w:ascii="宋体" w:hAnsi="宋体" w:cs="Calibri"/>
                <w:lang w:eastAsia="zh-CN"/>
              </w:rPr>
              <w:t>℃步进</w:t>
            </w:r>
            <w:r>
              <w:rPr>
                <w:rFonts w:hint="eastAsia" w:ascii="宋体" w:hAnsi="宋体" w:cs="Calibri"/>
                <w:szCs w:val="21"/>
                <w:lang w:eastAsia="zh-CN"/>
              </w:rPr>
              <w:t>。</w:t>
            </w:r>
          </w:p>
        </w:tc>
        <w:tc>
          <w:tcPr>
            <w:tcW w:w="2082" w:type="dxa"/>
            <w:vAlign w:val="center"/>
          </w:tcPr>
          <w:p>
            <w:pPr>
              <w:jc w:val="both"/>
              <w:rPr>
                <w:szCs w:val="21"/>
                <w:lang w:eastAsia="zh-CN"/>
              </w:rPr>
            </w:pPr>
            <w:r>
              <w:rPr>
                <w:rFonts w:hint="eastAsia"/>
                <w:color w:val="000000"/>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ermStart w:id="27" w:edGrp="everyone"/>
            <w:permEnd w:id="27"/>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8" w:edGrp="everyone"/>
          </w:p>
        </w:tc>
        <w:tc>
          <w:tcPr>
            <w:tcW w:w="6970" w:type="dxa"/>
            <w:vAlign w:val="center"/>
          </w:tcPr>
          <w:p>
            <w:pPr>
              <w:spacing w:line="276" w:lineRule="auto"/>
              <w:jc w:val="both"/>
              <w:rPr>
                <w:rFonts w:ascii="宋体" w:hAnsi="宋体"/>
                <w:color w:val="000000"/>
                <w:szCs w:val="21"/>
                <w:lang w:val="en-US" w:eastAsia="zh-CN"/>
              </w:rPr>
            </w:pPr>
            <w:r>
              <w:rPr>
                <w:rFonts w:hint="eastAsia" w:ascii="Calibri" w:hAnsi="Calibri" w:cs="Calibri"/>
                <w:lang w:val="en-US" w:eastAsia="zh-CN"/>
              </w:rPr>
              <w:t>噪音＜60dB</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tabs>
                <w:tab w:val="left" w:pos="312"/>
              </w:tabs>
              <w:rPr>
                <w:rFonts w:ascii="宋体" w:hAnsi="宋体"/>
                <w:color w:val="000000"/>
                <w:szCs w:val="21"/>
                <w:lang w:val="en-US" w:eastAsia="zh-CN"/>
              </w:rPr>
            </w:pPr>
            <w:r>
              <w:rPr>
                <w:rFonts w:hint="eastAsia" w:ascii="宋体" w:hAnsi="宋体" w:cs="宋体"/>
                <w:szCs w:val="21"/>
                <w:lang w:val="en-US" w:eastAsia="zh-CN"/>
              </w:rPr>
              <w:t>转头识别： 瞬时自动识别系统，瞬时识别放入的转头，同时显示相应的转头参数</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rFonts w:ascii="宋体" w:hAnsi="宋体" w:cs="宋体"/>
                <w:szCs w:val="21"/>
                <w:lang w:val="en-US" w:eastAsia="zh-CN"/>
              </w:rPr>
            </w:pPr>
            <w:r>
              <w:rPr>
                <w:rFonts w:hint="eastAsia" w:ascii="Calibri" w:hAnsi="Calibri" w:cs="Calibri"/>
                <w:szCs w:val="21"/>
                <w:lang w:eastAsia="zh-CN"/>
              </w:rPr>
              <w:t>运行时间（能够连续运行</w:t>
            </w:r>
            <w:r>
              <w:rPr>
                <w:rFonts w:hint="eastAsia" w:ascii="Calibri" w:hAnsi="Calibri" w:cs="Calibri"/>
                <w:szCs w:val="21"/>
                <w:lang w:val="en-US" w:eastAsia="zh-CN"/>
              </w:rPr>
              <w:t>99</w:t>
            </w:r>
            <w:r>
              <w:rPr>
                <w:rFonts w:hint="eastAsia" w:ascii="Calibri" w:hAnsi="Calibri" w:cs="Calibri"/>
                <w:szCs w:val="21"/>
                <w:lang w:eastAsia="zh-CN"/>
              </w:rPr>
              <w:t>小时以上）</w:t>
            </w:r>
          </w:p>
        </w:tc>
        <w:tc>
          <w:tcPr>
            <w:tcW w:w="2082" w:type="dxa"/>
            <w:vAlign w:val="center"/>
          </w:tcPr>
          <w:p>
            <w:pPr>
              <w:jc w:val="both"/>
              <w:rPr>
                <w:szCs w:val="21"/>
                <w:lang w:eastAsia="zh-CN"/>
              </w:rPr>
            </w:pPr>
            <w:r>
              <w:rPr>
                <w:rFonts w:hint="eastAsia"/>
                <w:color w:val="000000"/>
                <w:szCs w:val="21"/>
                <w:lang w:eastAsia="zh-CN"/>
              </w:rPr>
              <w:t>关键</w:t>
            </w:r>
          </w:p>
        </w:tc>
      </w:tr>
      <w:permEnd w:id="28"/>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2717202"/>
      <w:bookmarkStart w:id="32" w:name="_Toc482625289"/>
      <w:bookmarkStart w:id="33" w:name="_Toc481702480"/>
      <w:bookmarkStart w:id="34" w:name="_Toc482360291"/>
      <w:bookmarkStart w:id="35" w:name="_Toc482370071"/>
      <w:bookmarkStart w:id="36" w:name="_Toc482359946"/>
      <w:bookmarkStart w:id="37" w:name="_Toc482369815"/>
      <w:bookmarkStart w:id="38" w:name="_Toc482370767"/>
      <w:bookmarkStart w:id="39" w:name="_Toc483227237"/>
      <w:bookmarkStart w:id="40" w:name="_Toc483400317"/>
      <w:bookmarkStart w:id="41" w:name="_Toc482370151"/>
      <w:r>
        <w:rPr>
          <w:rFonts w:ascii="Times New Roman" w:hAnsi="Times New Roman"/>
          <w:b/>
        </w:rPr>
        <w:t>电气、自动控制要求</w:t>
      </w:r>
      <w:bookmarkEnd w:id="28"/>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9" w:edGrp="everyone"/>
            <w:permEnd w:id="29"/>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0" w:edGrp="everyone"/>
          </w:p>
        </w:tc>
        <w:tc>
          <w:tcPr>
            <w:tcW w:w="6970" w:type="dxa"/>
            <w:vAlign w:val="center"/>
          </w:tcPr>
          <w:p>
            <w:pPr>
              <w:spacing w:line="276" w:lineRule="auto"/>
              <w:jc w:val="both"/>
              <w:rPr>
                <w:rFonts w:ascii="宋体" w:hAnsi="宋体" w:cs="Calibri"/>
                <w:szCs w:val="21"/>
                <w:lang w:eastAsia="zh-CN"/>
              </w:rPr>
            </w:pPr>
            <w:r>
              <w:rPr>
                <w:rFonts w:hint="eastAsia" w:ascii="Calibri" w:hAnsi="Calibri" w:cs="Calibri"/>
                <w:lang w:eastAsia="zh-CN"/>
              </w:rPr>
              <w:t>控制面板为液晶触摸屏，面板显示屏及远程控制电脑操作界面为中文/英文显示，</w:t>
            </w:r>
            <w:r>
              <w:rPr>
                <w:rFonts w:ascii="Calibri" w:hAnsi="Calibri" w:cs="Calibri"/>
                <w:lang w:eastAsia="zh-CN"/>
              </w:rPr>
              <w:t>应提供中文</w:t>
            </w:r>
            <w:r>
              <w:rPr>
                <w:rFonts w:hint="eastAsia" w:ascii="Calibri" w:hAnsi="Calibri" w:cs="Calibri"/>
                <w:lang w:eastAsia="zh-CN"/>
              </w:rPr>
              <w:t>操作</w:t>
            </w:r>
            <w:r>
              <w:rPr>
                <w:rFonts w:ascii="Calibri" w:hAnsi="Calibri" w:cs="Calibri"/>
                <w:lang w:eastAsia="zh-CN"/>
              </w:rPr>
              <w:t>使用说明书</w:t>
            </w:r>
          </w:p>
        </w:tc>
        <w:tc>
          <w:tcPr>
            <w:tcW w:w="2082" w:type="dxa"/>
            <w:vAlign w:val="center"/>
          </w:tcPr>
          <w:p>
            <w:pPr>
              <w:jc w:val="both"/>
              <w:rPr>
                <w:szCs w:val="21"/>
                <w:lang w:eastAsia="zh-CN"/>
              </w:rPr>
            </w:pPr>
            <w:r>
              <w:rPr>
                <w:rFonts w:hint="eastAsia"/>
                <w:color w:val="000000"/>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1" w:edGrp="everyone"/>
          </w:p>
        </w:tc>
        <w:tc>
          <w:tcPr>
            <w:tcW w:w="6970" w:type="dxa"/>
            <w:vAlign w:val="center"/>
          </w:tcPr>
          <w:p>
            <w:pPr>
              <w:rPr>
                <w:rFonts w:ascii="宋体" w:hAnsi="宋体" w:cs="宋体"/>
                <w:szCs w:val="21"/>
                <w:lang w:val="en-US" w:eastAsia="zh-CN"/>
              </w:rPr>
            </w:pPr>
            <w:r>
              <w:rPr>
                <w:rFonts w:hint="eastAsia" w:ascii="宋体" w:hAnsi="宋体" w:cs="宋体"/>
                <w:szCs w:val="21"/>
                <w:lang w:val="en-US" w:eastAsia="zh-CN"/>
              </w:rPr>
              <w:t>液晶控制面板至少能具备以下功能：</w:t>
            </w:r>
          </w:p>
          <w:p>
            <w:pPr>
              <w:numPr>
                <w:ilvl w:val="0"/>
                <w:numId w:val="10"/>
              </w:numPr>
              <w:rPr>
                <w:rFonts w:ascii="宋体" w:hAnsi="宋体" w:cs="宋体"/>
                <w:szCs w:val="21"/>
                <w:lang w:val="en-US" w:eastAsia="zh-CN"/>
              </w:rPr>
            </w:pPr>
            <w:r>
              <w:rPr>
                <w:rFonts w:hint="eastAsia" w:ascii="宋体" w:hAnsi="宋体" w:cs="宋体"/>
                <w:szCs w:val="21"/>
                <w:lang w:val="en-US" w:eastAsia="zh-CN"/>
              </w:rPr>
              <w:t>可创建保存不少于20 个程序，可用字母 - 数字命名程序，方便检索</w:t>
            </w:r>
          </w:p>
          <w:p>
            <w:pPr>
              <w:numPr>
                <w:ilvl w:val="0"/>
                <w:numId w:val="10"/>
              </w:numPr>
              <w:rPr>
                <w:rFonts w:ascii="宋体" w:hAnsi="宋体" w:cs="宋体"/>
                <w:szCs w:val="21"/>
                <w:lang w:val="en-US" w:eastAsia="zh-CN"/>
              </w:rPr>
            </w:pPr>
            <w:r>
              <w:rPr>
                <w:rFonts w:hint="eastAsia" w:ascii="宋体" w:hAnsi="宋体" w:cs="宋体"/>
                <w:szCs w:val="21"/>
                <w:lang w:val="en-US" w:eastAsia="zh-CN"/>
              </w:rPr>
              <w:t>内置用户培训教材，包括操作指导视频和快速使用手册</w:t>
            </w:r>
          </w:p>
          <w:p>
            <w:pPr>
              <w:numPr>
                <w:ilvl w:val="0"/>
                <w:numId w:val="10"/>
              </w:numPr>
              <w:rPr>
                <w:rFonts w:ascii="宋体" w:hAnsi="宋体" w:cs="宋体"/>
                <w:szCs w:val="21"/>
                <w:lang w:val="en-US" w:eastAsia="zh-CN"/>
              </w:rPr>
            </w:pPr>
            <w:r>
              <w:rPr>
                <w:rFonts w:hint="eastAsia" w:ascii="宋体" w:hAnsi="宋体" w:cs="宋体"/>
                <w:szCs w:val="21"/>
                <w:lang w:val="en-US" w:eastAsia="zh-CN"/>
              </w:rPr>
              <w:t>内置计算器，方便离心程序的修改和转换</w:t>
            </w:r>
          </w:p>
          <w:p>
            <w:pPr>
              <w:numPr>
                <w:ilvl w:val="0"/>
                <w:numId w:val="10"/>
              </w:numPr>
              <w:rPr>
                <w:rFonts w:ascii="宋体" w:hAnsi="宋体" w:cs="宋体"/>
                <w:szCs w:val="21"/>
                <w:lang w:eastAsia="zh-CN"/>
              </w:rPr>
            </w:pPr>
            <w:r>
              <w:rPr>
                <w:rFonts w:hint="eastAsia" w:ascii="宋体" w:hAnsi="宋体" w:cs="宋体"/>
                <w:szCs w:val="21"/>
                <w:lang w:val="en-US" w:eastAsia="zh-CN"/>
              </w:rPr>
              <w:t>方便的触摸屏虚拟数字按键，可直接输入离心程序的各项参数。</w:t>
            </w:r>
          </w:p>
          <w:p>
            <w:pPr>
              <w:numPr>
                <w:ilvl w:val="0"/>
                <w:numId w:val="10"/>
              </w:numPr>
              <w:rPr>
                <w:rFonts w:ascii="宋体" w:hAnsi="宋体" w:cs="宋体"/>
                <w:szCs w:val="21"/>
                <w:lang w:eastAsia="zh-CN"/>
              </w:rPr>
            </w:pPr>
            <w:r>
              <w:rPr>
                <w:rFonts w:hint="eastAsia" w:ascii="宋体" w:hAnsi="宋体" w:cs="宋体"/>
                <w:szCs w:val="21"/>
                <w:lang w:val="en-US" w:eastAsia="zh-CN"/>
              </w:rPr>
              <w:t>可显示离心程序、运行状态、报警等信息</w:t>
            </w:r>
          </w:p>
          <w:p>
            <w:pPr>
              <w:spacing w:line="276" w:lineRule="auto"/>
              <w:jc w:val="both"/>
              <w:rPr>
                <w:i/>
                <w:szCs w:val="21"/>
                <w:lang w:eastAsia="zh-CN"/>
              </w:rPr>
            </w:pPr>
            <w:r>
              <w:rPr>
                <w:rFonts w:hint="eastAsia" w:ascii="宋体" w:hAnsi="宋体" w:cs="宋体"/>
                <w:szCs w:val="21"/>
                <w:lang w:val="en-US" w:eastAsia="zh-CN"/>
              </w:rPr>
              <w:t>具有记录和报告操作人员及运行状况的功能，满足 GMP/GLP 管理法规认证要求</w:t>
            </w:r>
          </w:p>
        </w:tc>
        <w:tc>
          <w:tcPr>
            <w:tcW w:w="2082" w:type="dxa"/>
            <w:vAlign w:val="center"/>
          </w:tcPr>
          <w:p>
            <w:pPr>
              <w:jc w:val="both"/>
              <w:rPr>
                <w:szCs w:val="21"/>
                <w:lang w:eastAsia="zh-CN"/>
              </w:rPr>
            </w:pPr>
            <w:r>
              <w:rPr>
                <w:rFonts w:hint="eastAsia"/>
                <w:color w:val="000000"/>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2" w:edGrp="everyone"/>
          </w:p>
        </w:tc>
        <w:tc>
          <w:tcPr>
            <w:tcW w:w="6970" w:type="dxa"/>
            <w:vAlign w:val="center"/>
          </w:tcPr>
          <w:p>
            <w:pPr>
              <w:spacing w:line="276" w:lineRule="auto"/>
              <w:jc w:val="both"/>
              <w:rPr>
                <w:szCs w:val="21"/>
                <w:lang w:eastAsia="zh-CN"/>
              </w:rPr>
            </w:pPr>
            <w:r>
              <w:rPr>
                <w:rFonts w:hint="eastAsia" w:ascii="宋体" w:hAnsi="宋体" w:cs="Calibri"/>
                <w:szCs w:val="21"/>
                <w:lang w:eastAsia="zh-CN"/>
              </w:rPr>
              <w:t>可选择密码保护进行权限管理，无权限人员不能登录系统。</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ascii="宋体" w:hAnsi="宋体" w:cs="Calibri"/>
                <w:szCs w:val="21"/>
                <w:lang w:eastAsia="zh-CN"/>
              </w:rPr>
              <w:t>每个用户账号唯一，不能设置重名</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ascii="宋体" w:hAnsi="宋体" w:cs="Calibri"/>
                <w:szCs w:val="21"/>
                <w:lang w:eastAsia="zh-CN"/>
              </w:rPr>
              <w:t>运行记录、运行状态、等数据可备份，可下载，可储存</w:t>
            </w:r>
          </w:p>
        </w:tc>
        <w:tc>
          <w:tcPr>
            <w:tcW w:w="2082" w:type="dxa"/>
            <w:vAlign w:val="center"/>
          </w:tcPr>
          <w:p>
            <w:pPr>
              <w:jc w:val="both"/>
              <w:rPr>
                <w:szCs w:val="21"/>
                <w:lang w:eastAsia="zh-CN"/>
              </w:rPr>
            </w:pPr>
            <w:r>
              <w:rPr>
                <w:rFonts w:hint="eastAsia"/>
                <w:color w:val="000000"/>
                <w:szCs w:val="21"/>
                <w:lang w:eastAsia="zh-CN"/>
              </w:rPr>
              <w:t>关键</w:t>
            </w:r>
          </w:p>
        </w:tc>
      </w:tr>
      <w:permEnd w:id="32"/>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3" w:edGrp="everyone"/>
            <w:permEnd w:id="33"/>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4" w:edGrp="everyone"/>
          </w:p>
        </w:tc>
        <w:tc>
          <w:tcPr>
            <w:tcW w:w="6970" w:type="dxa"/>
            <w:vAlign w:val="center"/>
          </w:tcPr>
          <w:p>
            <w:pPr>
              <w:spacing w:line="276" w:lineRule="auto"/>
              <w:jc w:val="both"/>
              <w:rPr>
                <w:szCs w:val="21"/>
                <w:lang w:val="en-US" w:eastAsia="zh-CN"/>
              </w:rPr>
            </w:pPr>
            <w:r>
              <w:rPr>
                <w:rFonts w:hint="eastAsia" w:ascii="宋体" w:hAnsi="宋体" w:cs="宋体"/>
                <w:szCs w:val="21"/>
                <w:lang w:val="en-US" w:eastAsia="zh-CN"/>
              </w:rPr>
              <w:t>转头锁定方式：转头自锁系统，转头会自动安全地锁定，在运行过程中不会松开、飞起而发生事故。无需辅助工具，转头自动锁紧，无需手动拧紧</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快速旋转头盖手柄，方便转头盖拧紧和开启</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离心腔门可完全、自动开启</w:t>
            </w:r>
          </w:p>
        </w:tc>
        <w:tc>
          <w:tcPr>
            <w:tcW w:w="2082" w:type="dxa"/>
            <w:vAlign w:val="center"/>
          </w:tcPr>
          <w:p>
            <w:pPr>
              <w:jc w:val="both"/>
              <w:rPr>
                <w:szCs w:val="21"/>
                <w:lang w:eastAsia="zh-CN"/>
              </w:rPr>
            </w:pPr>
            <w:r>
              <w:rPr>
                <w:rFonts w:hint="eastAsia"/>
                <w:color w:val="000000"/>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ermStart w:id="35" w:edGrp="everyone"/>
            <w:permEnd w:id="35"/>
          </w:p>
        </w:tc>
        <w:tc>
          <w:tcPr>
            <w:tcW w:w="6970" w:type="dxa"/>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6" w:edGrp="everyone"/>
          </w:p>
        </w:tc>
        <w:tc>
          <w:tcPr>
            <w:tcW w:w="6970" w:type="dxa"/>
            <w:vAlign w:val="center"/>
          </w:tcPr>
          <w:p>
            <w:pPr>
              <w:jc w:val="both"/>
              <w:rPr>
                <w:szCs w:val="21"/>
                <w:lang w:eastAsia="zh-CN"/>
              </w:rPr>
            </w:pPr>
            <w:r>
              <w:rPr>
                <w:rFonts w:hint="eastAsia" w:ascii="宋体" w:hAnsi="宋体" w:cs="Calibri"/>
                <w:szCs w:val="21"/>
              </w:rPr>
              <w:t>设备有可靠保护接地</w:t>
            </w:r>
          </w:p>
        </w:tc>
        <w:tc>
          <w:tcPr>
            <w:tcW w:w="2082" w:type="dxa"/>
            <w:vAlign w:val="center"/>
          </w:tcPr>
          <w:p>
            <w:pPr>
              <w:jc w:val="both"/>
              <w:rPr>
                <w:szCs w:val="21"/>
                <w:lang w:eastAsia="zh-CN"/>
              </w:rPr>
            </w:pPr>
            <w:r>
              <w:rPr>
                <w:rFonts w:hint="eastAsia"/>
                <w:color w:val="000000"/>
                <w:szCs w:val="21"/>
                <w:lang w:eastAsia="zh-CN"/>
              </w:rPr>
              <w:t>关键</w:t>
            </w:r>
          </w:p>
        </w:tc>
      </w:tr>
      <w:permEnd w:id="36"/>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7" w:edGrp="everyone"/>
            <w:permEnd w:id="37"/>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8" w:edGrp="everyone"/>
          </w:p>
        </w:tc>
        <w:tc>
          <w:tcPr>
            <w:tcW w:w="6970" w:type="dxa"/>
            <w:vAlign w:val="center"/>
          </w:tcPr>
          <w:p>
            <w:pPr>
              <w:spacing w:after="120"/>
              <w:rPr>
                <w:szCs w:val="21"/>
                <w:lang w:eastAsia="zh-CN"/>
              </w:rPr>
            </w:pPr>
            <w:r>
              <w:rPr>
                <w:rFonts w:hint="eastAsia" w:ascii="宋体" w:hAnsi="宋体" w:cs="宋体"/>
                <w:szCs w:val="21"/>
                <w:lang w:eastAsia="zh-CN"/>
              </w:rPr>
              <w:t>投标文件、合同、订单及</w:t>
            </w:r>
            <w:r>
              <w:rPr>
                <w:rFonts w:hint="eastAsia" w:ascii="宋体" w:hAnsi="宋体" w:cs="宋体"/>
                <w:szCs w:val="21"/>
                <w:u w:val="none" w:color="333333"/>
                <w:lang w:val="zh-TW" w:eastAsia="zh-TW"/>
              </w:rPr>
              <w:t>设备交付计划表</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after="120"/>
              <w:rPr>
                <w:rFonts w:ascii="宋体" w:hAnsi="宋体"/>
                <w:szCs w:val="21"/>
                <w:lang w:eastAsia="zh-CN"/>
              </w:rPr>
            </w:pPr>
            <w:r>
              <w:rPr>
                <w:rFonts w:hint="eastAsia"/>
                <w:szCs w:val="21"/>
                <w:lang w:eastAsia="zh-CN"/>
              </w:rPr>
              <w:t>整机运行及维护手册应为中文，纸质文件至少一式三份，</w:t>
            </w:r>
            <w:r>
              <w:rPr>
                <w:rFonts w:hint="eastAsia" w:hAnsi="宋体"/>
                <w:szCs w:val="21"/>
                <w:u w:val="none" w:color="333333"/>
                <w:lang w:eastAsia="zh-CN"/>
              </w:rPr>
              <w:t>电子版</w:t>
            </w:r>
            <w:r>
              <w:rPr>
                <w:rFonts w:hint="eastAsia"/>
                <w:szCs w:val="21"/>
                <w:lang w:eastAsia="zh-CN"/>
              </w:rPr>
              <w:t>至少一份</w:t>
            </w:r>
          </w:p>
        </w:tc>
        <w:tc>
          <w:tcPr>
            <w:tcW w:w="2082" w:type="dxa"/>
            <w:vAlign w:val="center"/>
          </w:tcPr>
          <w:p>
            <w:pPr>
              <w:jc w:val="both"/>
              <w:rPr>
                <w:szCs w:val="21"/>
                <w:lang w:eastAsia="zh-CN"/>
              </w:rPr>
            </w:pPr>
            <w:r>
              <w:rPr>
                <w:rFonts w:hint="eastAsia"/>
                <w:color w:val="000000"/>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9" w:edGrp="everyone"/>
          </w:p>
        </w:tc>
        <w:tc>
          <w:tcPr>
            <w:tcW w:w="6970"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Calibri" w:hAnsi="Calibri" w:cs="Calibri"/>
                <w:szCs w:val="21"/>
                <w:lang w:eastAsia="zh-CN"/>
              </w:rPr>
            </w:pPr>
            <w:r>
              <w:rPr>
                <w:rFonts w:hint="eastAsia" w:hAnsi="宋体"/>
                <w:szCs w:val="21"/>
                <w:u w:val="none" w:color="333333"/>
                <w:lang w:val="zh-TW" w:eastAsia="zh-TW"/>
              </w:rPr>
              <w:t>设计选型文件：</w:t>
            </w:r>
            <w:r>
              <w:rPr>
                <w:rFonts w:hint="eastAsia" w:hAnsi="宋体"/>
                <w:szCs w:val="21"/>
                <w:u w:val="none" w:color="333333"/>
                <w:lang w:val="zh-TW" w:eastAsia="zh-CN"/>
              </w:rPr>
              <w:t>功能</w:t>
            </w:r>
            <w:r>
              <w:rPr>
                <w:rFonts w:hint="eastAsia" w:hAnsi="宋体"/>
                <w:szCs w:val="21"/>
                <w:u w:val="none" w:color="333333"/>
                <w:lang w:val="zh-TW" w:eastAsia="zh-TW"/>
              </w:rPr>
              <w:t>说明</w:t>
            </w:r>
            <w:r>
              <w:rPr>
                <w:rFonts w:hint="eastAsia" w:hAnsi="宋体"/>
                <w:szCs w:val="21"/>
                <w:u w:val="none" w:color="333333"/>
                <w:lang w:val="zh-TW" w:eastAsia="zh-CN"/>
              </w:rPr>
              <w:t>、</w:t>
            </w:r>
            <w:r>
              <w:rPr>
                <w:rFonts w:hint="eastAsia" w:hAnsi="宋体"/>
                <w:szCs w:val="21"/>
                <w:u w:val="none" w:color="333333"/>
                <w:lang w:val="zh-TW" w:eastAsia="zh-TW"/>
              </w:rPr>
              <w:t>软硬件设计说明</w:t>
            </w:r>
            <w:r>
              <w:rPr>
                <w:rFonts w:hint="eastAsia" w:hAnsi="宋体"/>
                <w:szCs w:val="21"/>
                <w:u w:val="none" w:color="333333"/>
                <w:lang w:val="zh-TW" w:eastAsia="zh-CN"/>
              </w:rPr>
              <w:t>、</w:t>
            </w:r>
            <w:r>
              <w:rPr>
                <w:rFonts w:hint="eastAsia" w:hAnsi="宋体"/>
                <w:szCs w:val="21"/>
                <w:u w:val="none" w:color="333333"/>
                <w:lang w:val="zh-TW" w:eastAsia="zh-TW"/>
              </w:rPr>
              <w:t>配置清单与说明</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szCs w:val="21"/>
                <w:lang w:eastAsia="zh-CN"/>
              </w:rPr>
            </w:pPr>
            <w:r>
              <w:rPr>
                <w:rFonts w:hint="eastAsia" w:ascii="宋体" w:hAnsi="宋体"/>
                <w:szCs w:val="21"/>
                <w:lang w:eastAsia="zh-CN"/>
              </w:rPr>
              <w:t>配件清单、易损件清单、备件、消耗品清单：包括名称、编号、对应厂家名称、生产地、规格及必要说明。</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szCs w:val="21"/>
                <w:lang w:eastAsia="zh-CN"/>
              </w:rPr>
            </w:pPr>
            <w:r>
              <w:rPr>
                <w:rFonts w:hint="eastAsia" w:ascii="宋体" w:hAnsi="宋体"/>
                <w:szCs w:val="21"/>
                <w:lang w:eastAsia="zh-CN"/>
              </w:rPr>
              <w:t>设备厂家文件：出厂测试合格证、相关检测报告、各种标示。</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szCs w:val="21"/>
                <w:lang w:eastAsia="zh-CN"/>
              </w:rPr>
            </w:pPr>
            <w:r>
              <w:rPr>
                <w:rFonts w:hint="eastAsia" w:ascii="宋体" w:hAnsi="宋体"/>
                <w:szCs w:val="21"/>
                <w:lang w:eastAsia="zh-CN"/>
              </w:rPr>
              <w:t>设备操作手册（</w:t>
            </w:r>
            <w:r>
              <w:rPr>
                <w:rFonts w:ascii="宋体" w:hAnsi="宋体"/>
                <w:szCs w:val="21"/>
                <w:lang w:eastAsia="zh-CN"/>
              </w:rPr>
              <w:t>SOP</w:t>
            </w:r>
            <w:r>
              <w:rPr>
                <w:rFonts w:hint="eastAsia" w:ascii="宋体" w:hAnsi="宋体"/>
                <w:szCs w:val="21"/>
                <w:lang w:eastAsia="zh-CN"/>
              </w:rPr>
              <w:t xml:space="preserve">）：语言为中文 </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szCs w:val="21"/>
                <w:lang w:eastAsia="zh-CN"/>
              </w:rPr>
            </w:pPr>
            <w:r>
              <w:rPr>
                <w:rFonts w:hint="eastAsia" w:hAnsi="宋体"/>
                <w:szCs w:val="21"/>
                <w:u w:val="none" w:color="333333"/>
                <w:lang w:eastAsia="zh-TW"/>
              </w:rPr>
              <w:t>现场验收测试</w:t>
            </w:r>
            <w:r>
              <w:rPr>
                <w:rFonts w:hint="eastAsia" w:hAnsi="宋体"/>
                <w:szCs w:val="21"/>
                <w:u w:val="none" w:color="333333"/>
                <w:lang w:eastAsia="zh-CN"/>
              </w:rPr>
              <w:t>（SAT）报告</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验证文件：</w:t>
            </w:r>
          </w:p>
          <w:p>
            <w:pPr>
              <w:pStyle w:val="8"/>
              <w:spacing w:line="460" w:lineRule="exact"/>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1</w:t>
            </w:r>
            <w:r>
              <w:rPr>
                <w:rFonts w:hint="eastAsia" w:ascii="宋体" w:hAnsi="宋体"/>
                <w:sz w:val="21"/>
                <w:szCs w:val="21"/>
                <w:lang w:eastAsia="zh-CN"/>
              </w:rPr>
              <w:t>）</w:t>
            </w:r>
            <w:r>
              <w:rPr>
                <w:rFonts w:hint="eastAsia" w:ascii="Calibri" w:hAnsi="Calibri" w:cs="Calibri"/>
                <w:sz w:val="21"/>
                <w:szCs w:val="21"/>
                <w:lang w:eastAsia="zh-CN"/>
              </w:rPr>
              <w:t>协助并指导公司进行设备的</w:t>
            </w:r>
            <w:r>
              <w:rPr>
                <w:rFonts w:ascii="Calibri" w:hAnsi="Calibri" w:cs="Calibri"/>
                <w:sz w:val="21"/>
                <w:szCs w:val="21"/>
                <w:lang w:eastAsia="zh-CN"/>
              </w:rPr>
              <w:t>DQ</w:t>
            </w:r>
            <w:r>
              <w:rPr>
                <w:rFonts w:hint="eastAsia" w:ascii="Calibri" w:hAnsi="Calibri" w:cs="Calibri"/>
                <w:sz w:val="21"/>
                <w:szCs w:val="21"/>
                <w:lang w:eastAsia="zh-CN"/>
              </w:rPr>
              <w:t>、</w:t>
            </w:r>
            <w:r>
              <w:rPr>
                <w:rFonts w:ascii="Calibri" w:hAnsi="Calibri" w:cs="Calibri"/>
                <w:sz w:val="21"/>
                <w:szCs w:val="21"/>
                <w:lang w:eastAsia="zh-CN"/>
              </w:rPr>
              <w:t>PQ</w:t>
            </w:r>
            <w:r>
              <w:rPr>
                <w:rFonts w:hint="eastAsia" w:ascii="Calibri" w:hAnsi="Calibri" w:cs="Calibri"/>
                <w:sz w:val="21"/>
                <w:szCs w:val="21"/>
                <w:lang w:val="en-US" w:eastAsia="zh-CN"/>
              </w:rPr>
              <w:t>验证</w:t>
            </w:r>
            <w:r>
              <w:rPr>
                <w:rFonts w:hint="eastAsia" w:ascii="宋体" w:hAnsi="宋体"/>
                <w:sz w:val="21"/>
                <w:szCs w:val="21"/>
                <w:lang w:eastAsia="zh-CN"/>
              </w:rPr>
              <w:t>；</w:t>
            </w:r>
          </w:p>
          <w:p>
            <w:pPr>
              <w:pStyle w:val="8"/>
              <w:spacing w:line="460" w:lineRule="exact"/>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2</w:t>
            </w:r>
            <w:r>
              <w:rPr>
                <w:rFonts w:hint="eastAsia" w:ascii="宋体" w:hAnsi="宋体"/>
                <w:sz w:val="21"/>
                <w:szCs w:val="21"/>
                <w:lang w:eastAsia="zh-CN"/>
              </w:rPr>
              <w:t>）安装确认及文件（</w:t>
            </w:r>
            <w:r>
              <w:rPr>
                <w:rFonts w:ascii="宋体" w:hAnsi="宋体"/>
                <w:sz w:val="21"/>
                <w:szCs w:val="21"/>
                <w:lang w:eastAsia="zh-CN"/>
              </w:rPr>
              <w:t>IQ</w:t>
            </w:r>
            <w:r>
              <w:rPr>
                <w:rFonts w:hint="eastAsia" w:ascii="宋体" w:hAnsi="宋体"/>
                <w:sz w:val="21"/>
                <w:szCs w:val="21"/>
                <w:lang w:eastAsia="zh-CN"/>
              </w:rPr>
              <w:t>）；</w:t>
            </w:r>
          </w:p>
          <w:p>
            <w:pPr>
              <w:jc w:val="both"/>
              <w:rPr>
                <w:rFonts w:ascii="宋体" w:hAnsi="宋体"/>
                <w:szCs w:val="21"/>
                <w:lang w:eastAsia="zh-CN"/>
              </w:rPr>
            </w:pPr>
            <w:r>
              <w:rPr>
                <w:rFonts w:hint="eastAsia" w:ascii="宋体" w:hAnsi="宋体"/>
                <w:szCs w:val="21"/>
                <w:lang w:eastAsia="zh-CN"/>
              </w:rPr>
              <w:t>（</w:t>
            </w:r>
            <w:r>
              <w:rPr>
                <w:rFonts w:ascii="宋体" w:hAnsi="宋体"/>
                <w:szCs w:val="21"/>
                <w:lang w:eastAsia="zh-CN"/>
              </w:rPr>
              <w:t>3</w:t>
            </w:r>
            <w:r>
              <w:rPr>
                <w:rFonts w:hint="eastAsia" w:ascii="宋体" w:hAnsi="宋体"/>
                <w:szCs w:val="21"/>
                <w:lang w:eastAsia="zh-CN"/>
              </w:rPr>
              <w:t>）运行确认及文件（</w:t>
            </w:r>
            <w:r>
              <w:rPr>
                <w:rFonts w:ascii="宋体" w:hAnsi="宋体"/>
                <w:szCs w:val="21"/>
                <w:lang w:eastAsia="zh-CN"/>
              </w:rPr>
              <w:t>OQ</w:t>
            </w:r>
            <w:r>
              <w:rPr>
                <w:rFonts w:hint="eastAsia" w:ascii="宋体" w:hAnsi="宋体"/>
                <w:szCs w:val="21"/>
                <w:lang w:eastAsia="zh-CN"/>
              </w:rPr>
              <w:t>）。</w:t>
            </w:r>
          </w:p>
        </w:tc>
        <w:tc>
          <w:tcPr>
            <w:tcW w:w="2082" w:type="dxa"/>
            <w:vAlign w:val="center"/>
          </w:tcPr>
          <w:p>
            <w:pPr>
              <w:jc w:val="both"/>
              <w:rPr>
                <w:szCs w:val="21"/>
                <w:lang w:eastAsia="zh-CN"/>
              </w:rPr>
            </w:pPr>
            <w:r>
              <w:rPr>
                <w:rFonts w:hint="eastAsia"/>
                <w:color w:val="000000"/>
                <w:szCs w:val="21"/>
                <w:lang w:eastAsia="zh-CN"/>
              </w:rPr>
              <w:t>关键</w:t>
            </w:r>
          </w:p>
        </w:tc>
      </w:tr>
      <w:permEnd w:id="39"/>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40" w:edGrp="everyone"/>
            <w:permEnd w:id="40"/>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1" w:edGrp="everyone"/>
          </w:p>
        </w:tc>
        <w:tc>
          <w:tcPr>
            <w:tcW w:w="6970" w:type="dxa"/>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082" w:type="dxa"/>
            <w:vAlign w:val="center"/>
          </w:tcPr>
          <w:p>
            <w:pPr>
              <w:jc w:val="both"/>
              <w:rPr>
                <w:szCs w:val="21"/>
                <w:lang w:eastAsia="zh-CN"/>
              </w:rPr>
            </w:pPr>
            <w:r>
              <w:rPr>
                <w:rFonts w:hint="eastAsia"/>
                <w:color w:val="000000"/>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2" w:edGrp="everyone"/>
          </w:p>
        </w:tc>
        <w:tc>
          <w:tcPr>
            <w:tcW w:w="6970"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vAlign w:val="center"/>
          </w:tcPr>
          <w:p>
            <w:pPr>
              <w:jc w:val="both"/>
              <w:rPr>
                <w:szCs w:val="21"/>
                <w:lang w:eastAsia="zh-CN"/>
              </w:rPr>
            </w:pPr>
            <w:r>
              <w:rPr>
                <w:rFonts w:hint="eastAsia"/>
                <w:color w:val="000000"/>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3" w:edGrp="everyone"/>
          </w:p>
        </w:tc>
        <w:tc>
          <w:tcPr>
            <w:tcW w:w="6970"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vAlign w:val="center"/>
          </w:tcPr>
          <w:p>
            <w:pPr>
              <w:jc w:val="both"/>
              <w:rPr>
                <w:szCs w:val="21"/>
                <w:lang w:eastAsia="zh-CN"/>
              </w:rPr>
            </w:pPr>
            <w:r>
              <w:rPr>
                <w:rFonts w:hint="eastAsia"/>
                <w:color w:val="000000"/>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4" w:edGrp="everyone"/>
          </w:p>
        </w:tc>
        <w:tc>
          <w:tcPr>
            <w:tcW w:w="6970" w:type="dxa"/>
            <w:vAlign w:val="center"/>
          </w:tcPr>
          <w:p>
            <w:pPr>
              <w:spacing w:line="276" w:lineRule="auto"/>
              <w:jc w:val="both"/>
              <w:rPr>
                <w:szCs w:val="21"/>
                <w:lang w:eastAsia="zh-CN"/>
              </w:rPr>
            </w:pPr>
            <w:r>
              <w:rPr>
                <w:lang w:eastAsia="zh-CN"/>
              </w:rPr>
              <w:t>设备运输在运输途中需做好防护措施，不得有任何损伤。</w:t>
            </w:r>
          </w:p>
        </w:tc>
        <w:tc>
          <w:tcPr>
            <w:tcW w:w="2082" w:type="dxa"/>
            <w:vAlign w:val="center"/>
          </w:tcPr>
          <w:p>
            <w:pPr>
              <w:jc w:val="both"/>
              <w:rPr>
                <w:szCs w:val="21"/>
                <w:lang w:eastAsia="zh-CN"/>
              </w:rPr>
            </w:pPr>
            <w:r>
              <w:rPr>
                <w:rFonts w:hint="eastAsia"/>
                <w:color w:val="000000"/>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5" w:edGrp="everyone"/>
          </w:p>
        </w:tc>
        <w:tc>
          <w:tcPr>
            <w:tcW w:w="6970" w:type="dxa"/>
            <w:vAlign w:val="center"/>
          </w:tcPr>
          <w:p>
            <w:pPr>
              <w:spacing w:line="276" w:lineRule="auto"/>
              <w:jc w:val="both"/>
              <w:rPr>
                <w:i/>
                <w:szCs w:val="21"/>
                <w:lang w:eastAsia="zh-CN"/>
              </w:rPr>
            </w:pPr>
            <w:r>
              <w:rPr>
                <w:rFonts w:hint="eastAsia" w:ascii="Calibri" w:hAnsi="Calibri" w:cs="Calibri"/>
                <w:szCs w:val="21"/>
                <w:lang w:eastAsia="zh-CN"/>
              </w:rPr>
              <w:t>供应商提供设备的</w:t>
            </w:r>
            <w:r>
              <w:rPr>
                <w:rFonts w:ascii="Calibri" w:hAnsi="Calibri" w:cs="Calibri"/>
                <w:szCs w:val="21"/>
                <w:lang w:eastAsia="zh-CN"/>
              </w:rPr>
              <w:t>IQ</w:t>
            </w:r>
            <w:r>
              <w:rPr>
                <w:rFonts w:hint="eastAsia" w:ascii="Calibri" w:hAnsi="Calibri" w:cs="Calibri"/>
                <w:szCs w:val="21"/>
                <w:lang w:eastAsia="zh-CN"/>
              </w:rPr>
              <w:t>、</w:t>
            </w:r>
            <w:r>
              <w:rPr>
                <w:rFonts w:ascii="Calibri" w:hAnsi="Calibri" w:cs="Calibri"/>
                <w:szCs w:val="21"/>
                <w:lang w:eastAsia="zh-CN"/>
              </w:rPr>
              <w:t>OQ</w:t>
            </w:r>
            <w:r>
              <w:rPr>
                <w:rFonts w:hint="eastAsia" w:ascii="Calibri" w:hAnsi="Calibri" w:cs="Calibri"/>
                <w:szCs w:val="21"/>
                <w:lang w:eastAsia="zh-CN"/>
              </w:rPr>
              <w:t>服务</w:t>
            </w:r>
          </w:p>
        </w:tc>
        <w:tc>
          <w:tcPr>
            <w:tcW w:w="2082" w:type="dxa"/>
            <w:vAlign w:val="center"/>
          </w:tcPr>
          <w:p>
            <w:pPr>
              <w:jc w:val="both"/>
              <w:rPr>
                <w:szCs w:val="21"/>
                <w:lang w:eastAsia="zh-CN"/>
              </w:rPr>
            </w:pPr>
            <w:r>
              <w:rPr>
                <w:rFonts w:hint="eastAsia"/>
                <w:color w:val="000000"/>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6" w:edGrp="everyone"/>
          </w:p>
        </w:tc>
        <w:tc>
          <w:tcPr>
            <w:tcW w:w="6970" w:type="dxa"/>
            <w:vAlign w:val="center"/>
          </w:tcPr>
          <w:p>
            <w:pPr>
              <w:spacing w:line="276" w:lineRule="auto"/>
              <w:jc w:val="both"/>
              <w:rPr>
                <w:szCs w:val="21"/>
                <w:lang w:eastAsia="zh-CN"/>
              </w:rPr>
            </w:pPr>
            <w:r>
              <w:rPr>
                <w:rFonts w:hint="eastAsia" w:ascii="Calibri" w:hAnsi="Calibri" w:cs="Calibri"/>
                <w:szCs w:val="21"/>
                <w:lang w:eastAsia="zh-CN"/>
              </w:rPr>
              <w:t>供应商协助并指导公司进行设备的</w:t>
            </w:r>
            <w:r>
              <w:rPr>
                <w:rFonts w:ascii="Calibri" w:hAnsi="Calibri" w:cs="Calibri"/>
                <w:szCs w:val="21"/>
                <w:lang w:eastAsia="zh-CN"/>
              </w:rPr>
              <w:t>DQ</w:t>
            </w:r>
            <w:r>
              <w:rPr>
                <w:rFonts w:hint="eastAsia" w:ascii="Calibri" w:hAnsi="Calibri" w:cs="Calibri"/>
                <w:szCs w:val="21"/>
                <w:lang w:eastAsia="zh-CN"/>
              </w:rPr>
              <w:t>、</w:t>
            </w:r>
            <w:r>
              <w:rPr>
                <w:rFonts w:ascii="Calibri" w:hAnsi="Calibri" w:cs="Calibri"/>
                <w:szCs w:val="21"/>
                <w:lang w:eastAsia="zh-CN"/>
              </w:rPr>
              <w:t>PQ</w:t>
            </w:r>
          </w:p>
        </w:tc>
        <w:tc>
          <w:tcPr>
            <w:tcW w:w="2082" w:type="dxa"/>
            <w:vAlign w:val="center"/>
          </w:tcPr>
          <w:p>
            <w:pPr>
              <w:jc w:val="both"/>
              <w:rPr>
                <w:szCs w:val="21"/>
                <w:lang w:eastAsia="zh-CN"/>
              </w:rPr>
            </w:pPr>
            <w:r>
              <w:rPr>
                <w:rFonts w:hint="eastAsia"/>
                <w:color w:val="000000"/>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7" w:edGrp="everyone"/>
          </w:p>
        </w:tc>
        <w:tc>
          <w:tcPr>
            <w:tcW w:w="6970" w:type="dxa"/>
            <w:vAlign w:val="center"/>
          </w:tcPr>
          <w:p>
            <w:pPr>
              <w:spacing w:line="276" w:lineRule="auto"/>
              <w:jc w:val="both"/>
              <w:rPr>
                <w:rFonts w:ascii="Calibri" w:hAnsi="Calibri" w:cs="Calibri"/>
                <w:szCs w:val="21"/>
                <w:lang w:eastAsia="zh-CN"/>
              </w:rPr>
            </w:pPr>
            <w:r>
              <w:rPr>
                <w:rFonts w:hint="eastAsia" w:ascii="宋体" w:hAnsi="宋体"/>
                <w:szCs w:val="21"/>
                <w:lang w:eastAsia="zh-CN"/>
              </w:rPr>
              <w:t>各验证工作开始前验证方案需经过本公司相关部门审核，并经质量保证部批准。</w:t>
            </w:r>
          </w:p>
        </w:tc>
        <w:tc>
          <w:tcPr>
            <w:tcW w:w="2082" w:type="dxa"/>
            <w:vAlign w:val="center"/>
          </w:tcPr>
          <w:p>
            <w:pPr>
              <w:jc w:val="both"/>
              <w:rPr>
                <w:szCs w:val="21"/>
                <w:lang w:eastAsia="zh-CN"/>
              </w:rPr>
            </w:pPr>
            <w:r>
              <w:rPr>
                <w:rFonts w:hint="eastAsia"/>
                <w:color w:val="000000"/>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8" w:edGrp="everyone"/>
          </w:p>
        </w:tc>
        <w:tc>
          <w:tcPr>
            <w:tcW w:w="6970" w:type="dxa"/>
            <w:vAlign w:val="center"/>
          </w:tcPr>
          <w:p>
            <w:pPr>
              <w:spacing w:line="276" w:lineRule="auto"/>
              <w:jc w:val="both"/>
              <w:rPr>
                <w:rFonts w:ascii="Calibri" w:hAnsi="Calibri" w:cs="Calibri"/>
                <w:szCs w:val="21"/>
                <w:lang w:eastAsia="zh-CN"/>
              </w:rPr>
            </w:pPr>
            <w:r>
              <w:rPr>
                <w:rFonts w:hint="eastAsia" w:ascii="宋体" w:hAnsi="宋体"/>
                <w:szCs w:val="21"/>
                <w:lang w:eastAsia="zh-CN"/>
              </w:rPr>
              <w:t>验证工作应按时保质完成，供应商需提供验证工作计划表。</w:t>
            </w:r>
          </w:p>
        </w:tc>
        <w:tc>
          <w:tcPr>
            <w:tcW w:w="2082" w:type="dxa"/>
            <w:vAlign w:val="center"/>
          </w:tcPr>
          <w:p>
            <w:pPr>
              <w:jc w:val="both"/>
              <w:rPr>
                <w:szCs w:val="21"/>
                <w:lang w:eastAsia="zh-CN"/>
              </w:rPr>
            </w:pPr>
            <w:r>
              <w:rPr>
                <w:rFonts w:hint="eastAsia"/>
                <w:color w:val="000000"/>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9" w:edGrp="everyone"/>
          </w:p>
        </w:tc>
        <w:tc>
          <w:tcPr>
            <w:tcW w:w="6970" w:type="dxa"/>
            <w:vAlign w:val="center"/>
          </w:tcPr>
          <w:p>
            <w:pPr>
              <w:spacing w:line="276" w:lineRule="auto"/>
              <w:jc w:val="both"/>
              <w:rPr>
                <w:rFonts w:ascii="Calibri" w:hAnsi="Calibri" w:cs="Calibri"/>
                <w:szCs w:val="21"/>
                <w:lang w:eastAsia="zh-CN"/>
              </w:rPr>
            </w:pPr>
            <w:r>
              <w:rPr>
                <w:rFonts w:hint="eastAsia" w:ascii="宋体" w:hAnsi="宋体"/>
                <w:szCs w:val="21"/>
                <w:lang w:eastAsia="zh-CN"/>
              </w:rPr>
              <w:t>验证工作完成后，验证记录经本公司相关部门审核，并经质量保证部批准。</w:t>
            </w:r>
          </w:p>
        </w:tc>
        <w:tc>
          <w:tcPr>
            <w:tcW w:w="2082" w:type="dxa"/>
            <w:vAlign w:val="center"/>
          </w:tcPr>
          <w:p>
            <w:pPr>
              <w:jc w:val="both"/>
              <w:rPr>
                <w:szCs w:val="21"/>
                <w:lang w:eastAsia="zh-CN"/>
              </w:rPr>
            </w:pPr>
            <w:r>
              <w:rPr>
                <w:rFonts w:hint="eastAsia"/>
                <w:color w:val="000000"/>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0" w:edGrp="everyone"/>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082" w:type="dxa"/>
            <w:vAlign w:val="center"/>
          </w:tcPr>
          <w:p>
            <w:pPr>
              <w:jc w:val="both"/>
              <w:rPr>
                <w:szCs w:val="21"/>
                <w:lang w:eastAsia="zh-CN"/>
              </w:rPr>
            </w:pPr>
            <w:r>
              <w:rPr>
                <w:rFonts w:hint="eastAsia"/>
                <w:color w:val="000000"/>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1" w:edGrp="everyone"/>
          </w:p>
        </w:tc>
        <w:tc>
          <w:tcPr>
            <w:tcW w:w="6970" w:type="dxa"/>
            <w:vAlign w:val="center"/>
          </w:tcPr>
          <w:p>
            <w:pPr>
              <w:rPr>
                <w:szCs w:val="21"/>
                <w:lang w:eastAsia="zh-CN"/>
              </w:rPr>
            </w:pPr>
            <w:r>
              <w:rPr>
                <w:rFonts w:hint="eastAsia"/>
                <w:szCs w:val="21"/>
                <w:lang w:eastAsia="zh-CN"/>
              </w:rPr>
              <w:t>仪器</w:t>
            </w:r>
            <w:r>
              <w:rPr>
                <w:rFonts w:hint="eastAsia" w:hAnsi="宋体"/>
                <w:szCs w:val="21"/>
                <w:u w:val="none" w:color="333333"/>
                <w:lang w:val="zh-TW" w:eastAsia="zh-TW"/>
              </w:rPr>
              <w:t>保修期从确认验收的阶段就开始计算</w:t>
            </w:r>
            <w:r>
              <w:rPr>
                <w:rFonts w:hint="eastAsia" w:hAnsi="宋体"/>
                <w:szCs w:val="21"/>
                <w:u w:val="none" w:color="333333"/>
                <w:lang w:eastAsia="zh-TW"/>
              </w:rPr>
              <w:t>，</w:t>
            </w:r>
            <w:r>
              <w:rPr>
                <w:rFonts w:hint="eastAsia" w:ascii="Calibri" w:hAnsi="Calibri" w:cs="Calibri"/>
                <w:szCs w:val="21"/>
                <w:lang w:eastAsia="zh-CN"/>
              </w:rPr>
              <w:t>提供不少于</w:t>
            </w:r>
            <w:r>
              <w:rPr>
                <w:rFonts w:hint="eastAsia" w:ascii="宋体" w:hAnsi="宋体" w:cs="宋体"/>
                <w:szCs w:val="21"/>
                <w:lang w:val="en-US" w:eastAsia="zh-CN"/>
              </w:rPr>
              <w:t>主机 1 年，驱动部 3 年，压缩机 5 年质保</w:t>
            </w:r>
            <w:r>
              <w:rPr>
                <w:rFonts w:hint="eastAsia" w:ascii="Calibri" w:hAnsi="Calibri" w:cs="Calibri"/>
                <w:szCs w:val="21"/>
                <w:lang w:eastAsia="zh-CN"/>
              </w:rPr>
              <w:t>，</w:t>
            </w:r>
            <w:r>
              <w:rPr>
                <w:rFonts w:hint="eastAsia" w:hAnsi="宋体"/>
                <w:szCs w:val="21"/>
                <w:u w:val="none" w:color="333333"/>
                <w:lang w:val="zh-TW" w:eastAsia="zh-TW"/>
              </w:rPr>
              <w:t>，保修期内免费保修，</w:t>
            </w:r>
            <w:r>
              <w:rPr>
                <w:rFonts w:hint="eastAsia" w:ascii="Calibri" w:hAnsi="Calibri" w:cs="Calibri"/>
                <w:szCs w:val="21"/>
                <w:lang w:eastAsia="zh-CN"/>
              </w:rPr>
              <w:t>如因设备故障导致停止生产时，需要延长保</w:t>
            </w:r>
            <w:r>
              <w:rPr>
                <w:rFonts w:hint="eastAsia" w:hAnsi="宋体"/>
                <w:szCs w:val="21"/>
                <w:u w:val="none" w:color="333333"/>
                <w:lang w:val="zh-TW" w:eastAsia="zh-TW"/>
              </w:rPr>
              <w:t>修</w:t>
            </w:r>
            <w:r>
              <w:rPr>
                <w:rFonts w:hint="eastAsia" w:ascii="Calibri" w:hAnsi="Calibri" w:cs="Calibri"/>
                <w:szCs w:val="21"/>
                <w:lang w:eastAsia="zh-CN"/>
              </w:rPr>
              <w:t>期限，</w:t>
            </w:r>
            <w:r>
              <w:rPr>
                <w:rFonts w:hint="eastAsia" w:hAnsi="宋体"/>
                <w:szCs w:val="21"/>
                <w:u w:val="none" w:color="333333"/>
                <w:lang w:val="zh-TW" w:eastAsia="zh-TW"/>
              </w:rPr>
              <w:t>保修期后应提供良好的售后服务</w:t>
            </w:r>
            <w:r>
              <w:rPr>
                <w:rFonts w:hint="eastAsia" w:ascii="Calibri" w:hAnsi="Calibri" w:cs="Calibri"/>
                <w:szCs w:val="21"/>
                <w:lang w:eastAsia="zh-CN"/>
              </w:rPr>
              <w:t>。</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szCs w:val="21"/>
                <w:lang w:eastAsia="zh-CN"/>
              </w:rPr>
            </w:pPr>
            <w:r>
              <w:rPr>
                <w:rFonts w:hint="eastAsia"/>
                <w:szCs w:val="21"/>
                <w:u w:val="none" w:color="333333"/>
                <w:lang w:eastAsia="zh-CN"/>
              </w:rPr>
              <w:t>质保期内维修或更换关键部件，该关键部件的质保自维修确认后顺延一年</w:t>
            </w:r>
          </w:p>
        </w:tc>
        <w:tc>
          <w:tcPr>
            <w:tcW w:w="2082" w:type="dxa"/>
            <w:vAlign w:val="center"/>
          </w:tcPr>
          <w:p>
            <w:pPr>
              <w:jc w:val="both"/>
              <w:rPr>
                <w:szCs w:val="21"/>
                <w:lang w:eastAsia="zh-CN"/>
              </w:rPr>
            </w:pPr>
            <w:r>
              <w:rPr>
                <w:rFonts w:hint="eastAsia"/>
                <w:color w:val="000000"/>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2" w:edGrp="everyone"/>
          </w:p>
        </w:tc>
        <w:tc>
          <w:tcPr>
            <w:tcW w:w="6970" w:type="dxa"/>
            <w:vAlign w:val="center"/>
          </w:tcPr>
          <w:p>
            <w:pPr>
              <w:spacing w:line="276" w:lineRule="auto"/>
              <w:jc w:val="both"/>
              <w:rPr>
                <w:szCs w:val="21"/>
                <w:lang w:eastAsia="zh-CN"/>
              </w:rPr>
            </w:pPr>
            <w:r>
              <w:rPr>
                <w:rFonts w:hint="eastAsia" w:ascii="宋体" w:hAnsi="宋体" w:cs="宋体"/>
                <w:szCs w:val="21"/>
                <w:u w:val="none" w:color="333333"/>
                <w:lang w:val="zh-TW" w:eastAsia="zh-TW"/>
              </w:rPr>
              <w:t>售后服务必须响应及时，要求设备出现须厂家维修的故障后，应在</w:t>
            </w:r>
            <w:r>
              <w:rPr>
                <w:rFonts w:ascii="宋体" w:hAnsi="宋体" w:cs="宋体"/>
                <w:szCs w:val="21"/>
                <w:u w:val="none" w:color="333333"/>
                <w:lang w:eastAsia="zh-CN"/>
              </w:rPr>
              <w:t>4</w:t>
            </w:r>
            <w:r>
              <w:rPr>
                <w:rFonts w:hint="eastAsia" w:ascii="宋体" w:hAnsi="宋体" w:cs="宋体"/>
                <w:szCs w:val="21"/>
                <w:u w:val="none" w:color="333333"/>
                <w:lang w:val="zh-TW" w:eastAsia="zh-TW"/>
              </w:rPr>
              <w:t>小时内明确答复，当电话沟通无法解决时，须</w:t>
            </w:r>
            <w:r>
              <w:rPr>
                <w:rFonts w:ascii="宋体" w:hAnsi="宋体" w:cs="宋体"/>
                <w:szCs w:val="21"/>
                <w:u w:val="none" w:color="333333"/>
                <w:lang w:eastAsia="zh-CN"/>
              </w:rPr>
              <w:t>24</w:t>
            </w:r>
            <w:r>
              <w:rPr>
                <w:rFonts w:hint="eastAsia" w:ascii="宋体" w:hAnsi="宋体" w:cs="宋体"/>
                <w:szCs w:val="21"/>
                <w:u w:val="none" w:color="333333"/>
                <w:lang w:val="zh-TW" w:eastAsia="zh-TW"/>
              </w:rPr>
              <w:t>小时内派人至现场解决。</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s="宋体"/>
                <w:szCs w:val="21"/>
                <w:u w:val="none" w:color="333333"/>
                <w:lang w:val="zh-TW" w:eastAsia="zh-TW"/>
              </w:rPr>
            </w:pPr>
            <w:r>
              <w:rPr>
                <w:rFonts w:hint="eastAsia" w:hAnsi="宋体"/>
                <w:szCs w:val="21"/>
                <w:u w:val="none" w:color="333333"/>
                <w:lang w:val="zh-TW" w:eastAsia="zh-TW"/>
              </w:rPr>
              <w:t>一年免费保修期后，</w:t>
            </w:r>
            <w:r>
              <w:rPr>
                <w:rFonts w:hint="eastAsia" w:hAnsi="宋体"/>
                <w:szCs w:val="21"/>
                <w:u w:val="none" w:color="333333"/>
                <w:lang w:eastAsia="zh-TW"/>
              </w:rPr>
              <w:t>供应商</w:t>
            </w:r>
            <w:r>
              <w:rPr>
                <w:rFonts w:hint="eastAsia" w:hAnsi="宋体"/>
                <w:szCs w:val="21"/>
                <w:u w:val="none" w:color="333333"/>
                <w:lang w:val="zh-TW" w:eastAsia="zh-TW"/>
              </w:rPr>
              <w:t>应终生提供及时的维修、维护，</w:t>
            </w:r>
            <w:r>
              <w:rPr>
                <w:rFonts w:hint="eastAsia" w:hAnsi="宋体"/>
                <w:szCs w:val="21"/>
                <w:u w:val="none" w:color="333333"/>
                <w:lang w:eastAsia="zh-TW"/>
              </w:rPr>
              <w:t>供应商</w:t>
            </w:r>
            <w:r>
              <w:rPr>
                <w:rFonts w:hint="eastAsia" w:hAnsi="宋体"/>
                <w:szCs w:val="21"/>
                <w:u w:val="none" w:color="333333"/>
                <w:lang w:val="zh-TW" w:eastAsia="zh-TW"/>
              </w:rPr>
              <w:t>应定期回访，解决设备运行当中可能出现的疑问，排除潜在故障，使设备保持良好工作状态。</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hAnsi="宋体"/>
                <w:szCs w:val="21"/>
                <w:u w:val="none" w:color="333333"/>
                <w:lang w:val="zh-TW" w:eastAsia="zh-TW"/>
              </w:rPr>
            </w:pPr>
            <w:r>
              <w:rPr>
                <w:rFonts w:hint="eastAsia" w:hAnsi="宋体"/>
                <w:szCs w:val="21"/>
                <w:u w:val="none" w:color="333333"/>
                <w:lang w:eastAsia="zh-TW"/>
              </w:rPr>
              <w:t>供应商</w:t>
            </w:r>
            <w:r>
              <w:rPr>
                <w:rFonts w:hint="eastAsia" w:hAnsi="宋体"/>
                <w:szCs w:val="21"/>
                <w:u w:val="none" w:color="333333"/>
                <w:lang w:val="zh-TW" w:eastAsia="zh-TW"/>
              </w:rPr>
              <w:t>应提供合格的备件，用于设备相应部件的维修、更换。</w:t>
            </w:r>
          </w:p>
        </w:tc>
        <w:tc>
          <w:tcPr>
            <w:tcW w:w="2082" w:type="dxa"/>
            <w:vAlign w:val="center"/>
          </w:tcPr>
          <w:p>
            <w:pPr>
              <w:jc w:val="both"/>
              <w:rPr>
                <w:szCs w:val="21"/>
                <w:lang w:eastAsia="zh-CN"/>
              </w:rPr>
            </w:pPr>
            <w:r>
              <w:rPr>
                <w:rFonts w:hint="eastAsia"/>
                <w:color w:val="000000"/>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0"/>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3" w:edGrp="everyone"/>
          </w:p>
        </w:tc>
        <w:tc>
          <w:tcPr>
            <w:tcW w:w="6970" w:type="dxa"/>
            <w:vAlign w:val="center"/>
          </w:tcPr>
          <w:p>
            <w:pPr>
              <w:spacing w:line="276" w:lineRule="auto"/>
              <w:jc w:val="both"/>
              <w:rPr>
                <w:szCs w:val="21"/>
                <w:lang w:eastAsia="zh-CN"/>
              </w:rPr>
            </w:pPr>
            <w:r>
              <w:rPr>
                <w:rFonts w:hint="eastAsia" w:hAnsi="宋体"/>
                <w:szCs w:val="21"/>
                <w:u w:val="none" w:color="333333"/>
                <w:lang w:val="zh-TW" w:eastAsia="zh-TW"/>
              </w:rPr>
              <w:t>货物到达买方使用现场后，由买卖双方共同验收，卖方工程师免费为买方提供调试。</w:t>
            </w:r>
          </w:p>
        </w:tc>
        <w:tc>
          <w:tcPr>
            <w:tcW w:w="2082" w:type="dxa"/>
            <w:vAlign w:val="center"/>
          </w:tcPr>
          <w:p>
            <w:pPr>
              <w:jc w:val="both"/>
              <w:rPr>
                <w:szCs w:val="21"/>
                <w:lang w:eastAsia="zh-CN"/>
              </w:rPr>
            </w:pPr>
            <w:r>
              <w:rPr>
                <w:rFonts w:hint="eastAsia"/>
                <w:color w:val="000000"/>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4" w:edGrp="everyone"/>
          </w:p>
        </w:tc>
        <w:tc>
          <w:tcPr>
            <w:tcW w:w="6970" w:type="dxa"/>
            <w:vAlign w:val="center"/>
          </w:tcPr>
          <w:p>
            <w:pPr>
              <w:spacing w:line="276" w:lineRule="auto"/>
              <w:jc w:val="both"/>
              <w:rPr>
                <w:szCs w:val="21"/>
                <w:lang w:eastAsia="zh-CN"/>
              </w:rPr>
            </w:pPr>
            <w:r>
              <w:rPr>
                <w:rFonts w:hint="eastAsia" w:ascii="宋体" w:hAnsi="宋体"/>
                <w:szCs w:val="21"/>
                <w:lang w:eastAsia="zh-CN"/>
              </w:rPr>
              <w:t>供</w:t>
            </w:r>
            <w:r>
              <w:rPr>
                <w:rFonts w:hint="eastAsia" w:hAnsi="宋体"/>
                <w:szCs w:val="21"/>
                <w:u w:val="none" w:color="333333"/>
                <w:lang w:val="zh-TW" w:eastAsia="zh-TW"/>
              </w:rPr>
              <w:t>供应商进厂施工需遵守安全和施工规定</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确认</w:t>
            </w:r>
            <w:r>
              <w:rPr>
                <w:rFonts w:hint="eastAsia" w:ascii="宋体" w:hAnsi="宋体"/>
                <w:szCs w:val="21"/>
                <w:lang w:val="en-US" w:eastAsia="zh-CN"/>
              </w:rPr>
              <w:t>设备</w:t>
            </w:r>
            <w:r>
              <w:rPr>
                <w:rFonts w:hint="eastAsia" w:ascii="宋体" w:hAnsi="宋体"/>
                <w:szCs w:val="21"/>
                <w:lang w:eastAsia="zh-CN"/>
              </w:rPr>
              <w:t>验收合格后，买卖双方签订验收报告。</w:t>
            </w:r>
          </w:p>
        </w:tc>
        <w:tc>
          <w:tcPr>
            <w:tcW w:w="2082" w:type="dxa"/>
            <w:vAlign w:val="center"/>
          </w:tcPr>
          <w:p>
            <w:pPr>
              <w:jc w:val="both"/>
              <w:rPr>
                <w:szCs w:val="21"/>
                <w:lang w:eastAsia="zh-CN"/>
              </w:rPr>
            </w:pPr>
            <w:r>
              <w:rPr>
                <w:rFonts w:hint="eastAsia"/>
                <w:color w:val="000000"/>
                <w:szCs w:val="21"/>
                <w:lang w:eastAsia="zh-CN"/>
              </w:rPr>
              <w:t>关键</w:t>
            </w:r>
          </w:p>
        </w:tc>
      </w:tr>
      <w:permEnd w:id="54"/>
    </w:tbl>
    <w:p/>
    <w:p>
      <w:pPr>
        <w:pStyle w:val="30"/>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color w:val="4472C4"/>
          <w:szCs w:val="21"/>
          <w:lang w:eastAsia="zh-CN"/>
        </w:rPr>
      </w:pPr>
      <w:permStart w:id="55" w:edGrp="everyone"/>
      <w:r>
        <w:rPr>
          <w:rFonts w:ascii="宋体" w:hAnsi="宋体"/>
          <w:color w:val="000000"/>
          <w:szCs w:val="21"/>
        </w:rPr>
        <w:t>N/A</w:t>
      </w:r>
    </w:p>
    <w:permEnd w:id="55"/>
    <w:p>
      <w:pPr>
        <w:pStyle w:val="34"/>
        <w:spacing w:before="0" w:line="360" w:lineRule="auto"/>
        <w:ind w:left="357"/>
        <w:jc w:val="left"/>
        <w:rPr>
          <w:color w:val="4472C4"/>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456228432">
    <w:nsid w:val="CE01DC50"/>
    <w:multiLevelType w:val="singleLevel"/>
    <w:tmpl w:val="CE01DC50"/>
    <w:lvl w:ilvl="0" w:tentative="1">
      <w:start w:val="1"/>
      <w:numFmt w:val="decimal"/>
      <w:lvlText w:val="%1."/>
      <w:lvlJc w:val="left"/>
      <w:pPr>
        <w:tabs>
          <w:tab w:val="left" w:pos="312"/>
        </w:tabs>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3456228432"/>
  </w:num>
  <w:num w:numId="11">
    <w:abstractNumId w:val="196115971"/>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0A0F"/>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206F"/>
    <w:rsid w:val="00063572"/>
    <w:rsid w:val="00063B90"/>
    <w:rsid w:val="00064A43"/>
    <w:rsid w:val="000661D1"/>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3A"/>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0470"/>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5A12"/>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0FCA"/>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E6D8E"/>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95A"/>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2E9C"/>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01E0"/>
    <w:rsid w:val="007A102A"/>
    <w:rsid w:val="007A15E6"/>
    <w:rsid w:val="007A194B"/>
    <w:rsid w:val="007A44C8"/>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30CE"/>
    <w:rsid w:val="007E3532"/>
    <w:rsid w:val="007E5FE3"/>
    <w:rsid w:val="007E64DF"/>
    <w:rsid w:val="007E657D"/>
    <w:rsid w:val="007E7119"/>
    <w:rsid w:val="007E71BB"/>
    <w:rsid w:val="007E7B90"/>
    <w:rsid w:val="007E7C13"/>
    <w:rsid w:val="007F0125"/>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0F26"/>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699C"/>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17E21"/>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26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356"/>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21F5"/>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16B4"/>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6AD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B6C7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B2174DB"/>
    <w:rsid w:val="103205AF"/>
    <w:rsid w:val="45A1091C"/>
    <w:rsid w:val="68BF095B"/>
    <w:rsid w:val="7A8177E6"/>
    <w:rsid w:val="7E91067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US"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8"/>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val="en-US"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蓉生彩蝶正文"/>
    <w:basedOn w:val="1"/>
    <w:qFormat/>
    <w:uiPriority w:val="0"/>
    <w:pPr>
      <w:spacing w:before="100" w:beforeAutospacing="1" w:after="100" w:afterAutospacing="1"/>
      <w:ind w:left="420"/>
    </w:pPr>
    <w:rPr>
      <w:rFonts w:ascii="Arial" w:hAnsi="Arial"/>
    </w:rPr>
  </w:style>
  <w:style w:type="character" w:customStyle="1" w:styleId="37">
    <w:name w:val="页眉 Char"/>
    <w:link w:val="15"/>
    <w:qFormat/>
    <w:uiPriority w:val="0"/>
    <w:rPr>
      <w:rFonts w:eastAsia="宋体"/>
      <w:sz w:val="24"/>
      <w:lang w:eastAsia="en-US" w:bidi="ar-SA"/>
    </w:rPr>
  </w:style>
  <w:style w:type="character" w:customStyle="1" w:styleId="38">
    <w:name w:val="批注文字 Char"/>
    <w:link w:val="7"/>
    <w:semiHidden/>
    <w:qFormat/>
    <w:uiPriority w:val="0"/>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2"/>
    <w:qFormat/>
    <w:uiPriority w:val="0"/>
    <w:rPr>
      <w:rFonts w:ascii="Arial" w:hAnsi="Arial" w:eastAsia="PMingLiU"/>
      <w:color w:val="0070C0"/>
      <w:lang w:eastAsia="zh-TW"/>
    </w:rPr>
  </w:style>
  <w:style w:type="character" w:customStyle="1" w:styleId="43">
    <w:name w:val="Text Char"/>
    <w:link w:val="34"/>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Char"/>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703</Words>
  <Characters>4012</Characters>
  <Lines>33</Lines>
  <Paragraphs>9</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2019-04-02T03:28:00Z</dcterms:created>
  <dc:creator>Lilly</dc:creator>
  <cp:lastModifiedBy>汪洋</cp:lastModifiedBy>
  <cp:lastPrinted>2017-06-22T01:53:00Z</cp:lastPrinted>
  <dcterms:modified xsi:type="dcterms:W3CDTF">2019-12-31T03:37:35Z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