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外箱喷码机</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permStart w:id="1" w:edGrp="everyone"/>
      <w:permEnd w:id="1"/>
    </w:p>
    <w:bookmarkEnd w:id="5"/>
    <w:p>
      <w:pPr>
        <w:pStyle w:val="32"/>
        <w:widowControl w:val="0"/>
        <w:spacing w:after="158" w:afterLines="50" w:line="240" w:lineRule="auto"/>
        <w:jc w:val="center"/>
        <w:rPr>
          <w:sz w:val="21"/>
          <w:szCs w:val="21"/>
          <w:lang w:val="zh-CN" w:eastAsia="zh-CN"/>
        </w:rPr>
      </w:pPr>
      <w:r>
        <w:rPr>
          <w:sz w:val="21"/>
          <w:szCs w:val="21"/>
          <w:lang w:val="zh-CN" w:eastAsia="zh-CN"/>
        </w:rPr>
        <w:t>目录</w:t>
      </w:r>
    </w:p>
    <w:p>
      <w:pPr>
        <w:rPr>
          <w:i/>
          <w:color w:val="00B0F0"/>
          <w:lang w:val="zh-CN" w:eastAsia="zh-CN"/>
        </w:rPr>
      </w:pPr>
      <w:permStart w:id="2"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2"/>
        </w:rPr>
        <w:t>修订历史</w:t>
      </w:r>
      <w:r>
        <w:tab/>
      </w:r>
      <w:r>
        <w:fldChar w:fldCharType="begin"/>
      </w:r>
      <w:r>
        <w:instrText xml:space="preserve"> PAGEREF _Toc522716114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2"/>
        </w:rPr>
        <w:t>5</w:t>
      </w:r>
      <w:r>
        <w:rPr>
          <w:b w:val="0"/>
          <w:bCs w:val="0"/>
          <w:caps w:val="0"/>
          <w:szCs w:val="22"/>
        </w:rPr>
        <w:tab/>
      </w:r>
      <w:r>
        <w:rPr>
          <w:rStyle w:val="22"/>
        </w:rPr>
        <w:t>系统描述</w:t>
      </w:r>
      <w:r>
        <w:tab/>
      </w:r>
      <w:r>
        <w:fldChar w:fldCharType="begin"/>
      </w:r>
      <w:r>
        <w:instrText xml:space="preserve"> PAGEREF _Toc522716119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2"/>
        </w:rPr>
        <w:t>7</w:t>
      </w:r>
      <w:r>
        <w:rPr>
          <w:b w:val="0"/>
          <w:bCs w:val="0"/>
          <w:caps w:val="0"/>
          <w:szCs w:val="22"/>
        </w:rPr>
        <w:tab/>
      </w:r>
      <w:r>
        <w:rPr>
          <w:rStyle w:val="22"/>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2"/>
        </w:rPr>
        <w:t>8</w:t>
      </w:r>
      <w:r>
        <w:rPr>
          <w:b w:val="0"/>
          <w:bCs w:val="0"/>
          <w:caps w:val="0"/>
          <w:szCs w:val="22"/>
        </w:rPr>
        <w:tab/>
      </w:r>
      <w:r>
        <w:rPr>
          <w:rStyle w:val="22"/>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2"/>
        </w:rPr>
        <w:t>9</w:t>
      </w:r>
      <w:r>
        <w:rPr>
          <w:b w:val="0"/>
          <w:bCs w:val="0"/>
          <w:caps w:val="0"/>
          <w:szCs w:val="22"/>
        </w:rPr>
        <w:tab/>
      </w:r>
      <w:r>
        <w:rPr>
          <w:rStyle w:val="22"/>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2"/>
        </w:rPr>
        <w:t>10</w:t>
      </w:r>
      <w:r>
        <w:rPr>
          <w:b w:val="0"/>
          <w:bCs w:val="0"/>
          <w:caps w:val="0"/>
          <w:szCs w:val="22"/>
        </w:rPr>
        <w:tab/>
      </w:r>
      <w:r>
        <w:rPr>
          <w:rStyle w:val="22"/>
        </w:rPr>
        <w:t>文件要求</w:t>
      </w:r>
      <w:r>
        <w:tab/>
      </w:r>
      <w:r>
        <w:fldChar w:fldCharType="begin"/>
      </w:r>
      <w:r>
        <w:instrText xml:space="preserve"> PAGEREF _Toc522716124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2"/>
        </w:rPr>
        <w:t>11</w:t>
      </w:r>
      <w:r>
        <w:rPr>
          <w:b w:val="0"/>
          <w:bCs w:val="0"/>
          <w:caps w:val="0"/>
          <w:szCs w:val="22"/>
        </w:rPr>
        <w:tab/>
      </w:r>
      <w:r>
        <w:rPr>
          <w:rStyle w:val="22"/>
        </w:rPr>
        <w:t>服务要求</w:t>
      </w:r>
      <w:r>
        <w:tab/>
      </w:r>
      <w:r>
        <w:fldChar w:fldCharType="begin"/>
      </w:r>
      <w:r>
        <w:instrText xml:space="preserve"> PAGEREF _Toc522716125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lang w:val="en-US" w:eastAsia="zh-CN"/>
        </w:rPr>
      </w:pPr>
      <w:r>
        <w:rPr>
          <w:lang w:val="en-US" w:eastAsia="zh-CN"/>
        </w:rPr>
        <w:br w:type="page"/>
      </w:r>
      <w:bookmarkStart w:id="6" w:name="_Toc522107734"/>
    </w:p>
    <w:bookmarkEnd w:id="6"/>
    <w:p>
      <w:pPr>
        <w:pStyle w:val="31"/>
        <w:numPr>
          <w:ilvl w:val="0"/>
          <w:numId w:val="3"/>
        </w:numPr>
        <w:spacing w:after="158" w:afterLines="50"/>
        <w:ind w:left="426" w:hanging="426" w:hangingChars="202"/>
        <w:outlineLvl w:val="0"/>
        <w:rPr>
          <w:rFonts w:ascii="Times New Roman" w:hAnsi="Times New Roman"/>
          <w:b/>
        </w:rPr>
      </w:pPr>
      <w:bookmarkStart w:id="7" w:name="_Toc522107735"/>
      <w:bookmarkStart w:id="8" w:name="_Toc522716115"/>
      <w:r>
        <w:rPr>
          <w:rFonts w:ascii="Times New Roman" w:hAnsi="Times New Roman"/>
          <w:b/>
        </w:rPr>
        <w:t>目的</w:t>
      </w:r>
      <w:bookmarkEnd w:id="7"/>
      <w:bookmarkEnd w:id="8"/>
    </w:p>
    <w:p>
      <w:pPr>
        <w:pStyle w:val="35"/>
        <w:spacing w:before="0" w:line="360" w:lineRule="auto"/>
        <w:ind w:left="357"/>
        <w:jc w:val="left"/>
        <w:rPr>
          <w:szCs w:val="21"/>
          <w:lang w:eastAsia="zh-CN"/>
        </w:rPr>
      </w:pPr>
      <w:bookmarkStart w:id="9" w:name="_Toc481702475"/>
      <w:bookmarkStart w:id="10" w:name="_Toc482359936"/>
      <w:bookmarkStart w:id="11" w:name="_Toc482360281"/>
      <w:bookmarkStart w:id="12" w:name="_Toc482369805"/>
      <w:bookmarkStart w:id="13" w:name="_Toc482370061"/>
      <w:bookmarkStart w:id="14" w:name="_Toc482370141"/>
      <w:bookmarkStart w:id="15" w:name="_Toc482370349"/>
      <w:bookmarkStart w:id="16" w:name="_Toc482370757"/>
      <w:bookmarkStart w:id="17" w:name="_Toc482625279"/>
      <w:r>
        <w:rPr>
          <w:szCs w:val="21"/>
          <w:lang w:eastAsia="zh-CN"/>
        </w:rPr>
        <w:t>本文件的目的是描述武汉生物制品研究所有限责任公司</w:t>
      </w:r>
      <w:permStart w:id="3" w:edGrp="everyone"/>
      <w:r>
        <w:rPr>
          <w:rFonts w:hint="eastAsia"/>
          <w:szCs w:val="21"/>
          <w:lang w:eastAsia="zh-CN"/>
        </w:rPr>
        <w:t>联合疫苗楼包装车间外箱喷码</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联合疫苗楼包装车间外箱喷码机</w:t>
      </w:r>
      <w:permEnd w:id="4"/>
      <w:r>
        <w:rPr>
          <w:szCs w:val="21"/>
          <w:lang w:eastAsia="zh-CN"/>
        </w:rPr>
        <w:t>。</w:t>
      </w:r>
      <w:bookmarkEnd w:id="9"/>
      <w:bookmarkEnd w:id="10"/>
      <w:bookmarkEnd w:id="11"/>
      <w:bookmarkEnd w:id="12"/>
      <w:bookmarkEnd w:id="13"/>
      <w:bookmarkEnd w:id="14"/>
      <w:bookmarkEnd w:id="15"/>
      <w:bookmarkEnd w:id="16"/>
      <w:bookmarkEnd w:id="17"/>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107737"/>
      <w:bookmarkStart w:id="21" w:name="_Toc522716117"/>
      <w:r>
        <w:rPr>
          <w:rFonts w:ascii="Times New Roman" w:hAnsi="Times New Roman"/>
          <w:b/>
        </w:rPr>
        <w:t>参考文件</w:t>
      </w:r>
      <w:bookmarkEnd w:id="20"/>
      <w:bookmarkEnd w:id="21"/>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iCs/>
          <w:szCs w:val="21"/>
          <w:lang w:eastAsia="zh-CN"/>
        </w:rPr>
      </w:pPr>
      <w:permStart w:id="5" w:edGrp="everyone"/>
      <w:r>
        <w:rPr>
          <w:rFonts w:hint="eastAsia"/>
          <w:iCs/>
          <w:szCs w:val="21"/>
          <w:lang w:eastAsia="zh-CN"/>
        </w:rPr>
        <w:t>中国药典</w:t>
      </w:r>
      <w:r>
        <w:rPr>
          <w:iCs/>
          <w:szCs w:val="21"/>
        </w:rPr>
        <w:t>2015</w:t>
      </w:r>
      <w:r>
        <w:rPr>
          <w:rFonts w:hint="eastAsia"/>
          <w:iCs/>
          <w:szCs w:val="21"/>
        </w:rPr>
        <w:t>年版</w:t>
      </w:r>
    </w:p>
    <w:p>
      <w:pPr>
        <w:pStyle w:val="35"/>
        <w:numPr>
          <w:ilvl w:val="0"/>
          <w:numId w:val="5"/>
        </w:numPr>
        <w:spacing w:before="0" w:line="360" w:lineRule="auto"/>
        <w:ind w:left="777"/>
        <w:jc w:val="left"/>
        <w:rPr>
          <w:iCs/>
          <w:szCs w:val="21"/>
          <w:lang w:eastAsia="zh-CN"/>
        </w:rPr>
      </w:pPr>
      <w:r>
        <w:rPr>
          <w:rFonts w:hint="eastAsia"/>
          <w:iCs/>
          <w:szCs w:val="21"/>
          <w:lang w:eastAsia="zh-CN"/>
        </w:rPr>
        <w:t>《药品生产质量管理规范》（</w:t>
      </w:r>
      <w:r>
        <w:rPr>
          <w:iCs/>
          <w:szCs w:val="21"/>
          <w:lang w:eastAsia="zh-CN"/>
        </w:rPr>
        <w:t>2010</w:t>
      </w:r>
      <w:r>
        <w:rPr>
          <w:rFonts w:hint="eastAsia"/>
          <w:iCs/>
          <w:szCs w:val="21"/>
          <w:lang w:eastAsia="zh-CN"/>
        </w:rPr>
        <w:t>修订版）</w:t>
      </w:r>
    </w:p>
    <w:permEnd w:id="5"/>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35"/>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2" w:name="_Toc522107739"/>
      <w:bookmarkStart w:id="23" w:name="_Toc522716119"/>
      <w:permStart w:id="7" w:edGrp="everyone"/>
      <w:permEnd w:id="7"/>
      <w:r>
        <w:rPr>
          <w:rFonts w:ascii="Times New Roman" w:hAnsi="Times New Roman"/>
          <w:b/>
        </w:rPr>
        <w:t>系统描述</w:t>
      </w:r>
      <w:bookmarkEnd w:id="22"/>
      <w:bookmarkEnd w:id="23"/>
    </w:p>
    <w:p>
      <w:pPr>
        <w:pStyle w:val="35"/>
        <w:spacing w:before="0" w:line="360" w:lineRule="auto"/>
        <w:ind w:left="357"/>
        <w:jc w:val="left"/>
        <w:rPr>
          <w:i/>
          <w:color w:val="4472C4"/>
          <w:szCs w:val="21"/>
          <w:lang w:eastAsia="zh-CN"/>
        </w:rPr>
      </w:pPr>
      <w:permStart w:id="8" w:edGrp="everyone"/>
      <w:r>
        <w:rPr>
          <w:rFonts w:hint="eastAsia"/>
          <w:szCs w:val="21"/>
          <w:lang w:eastAsia="zh-CN"/>
        </w:rPr>
        <w:t>联合疫苗楼包装间</w:t>
      </w:r>
      <w:r>
        <w:rPr>
          <w:rFonts w:hint="eastAsia" w:ascii="宋体" w:hAnsi="宋体"/>
          <w:color w:val="000000"/>
          <w:lang w:eastAsia="zh-CN"/>
        </w:rPr>
        <w:t>需要购买外箱喷码机，用于外箱三期喷码包装设备，</w:t>
      </w:r>
      <w:r>
        <w:rPr>
          <w:rFonts w:hint="eastAsia"/>
          <w:szCs w:val="21"/>
          <w:lang w:eastAsia="zh-CN"/>
        </w:rPr>
        <w:t>外箱喷码机主要用于外箱三期喷码</w:t>
      </w:r>
      <w:r>
        <w:rPr>
          <w:rFonts w:hint="eastAsia"/>
          <w:i/>
          <w:color w:val="4472C4"/>
          <w:szCs w:val="21"/>
          <w:lang w:eastAsia="zh-CN"/>
        </w:rPr>
        <w:t>。</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p>
    <w:p>
      <w:pPr>
        <w:pStyle w:val="31"/>
        <w:spacing w:after="158" w:afterLines="50"/>
        <w:ind w:left="425" w:firstLine="0" w:firstLineChars="0"/>
        <w:rPr>
          <w:rFonts w:ascii="Times New Roman" w:hAnsi="Times New Roman"/>
          <w:szCs w:val="21"/>
        </w:rPr>
      </w:pPr>
      <w:permStart w:id="9" w:edGrp="everyone"/>
      <w:permEnd w:id="9"/>
      <w:bookmarkStart w:id="49" w:name="_GoBack"/>
      <w:bookmarkEnd w:id="4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5" w:name="OLE_LINK1"/>
            <w:bookmarkStart w:id="26"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ascii="宋体" w:hAnsi="宋体"/>
                <w:color w:val="000000"/>
                <w:lang w:eastAsia="zh-CN"/>
              </w:rPr>
              <w:t>联合疫苗楼一楼包装车间</w:t>
            </w:r>
          </w:p>
        </w:tc>
        <w:tc>
          <w:tcPr>
            <w:tcW w:w="2125" w:type="dxa"/>
            <w:vAlign w:val="center"/>
          </w:tcPr>
          <w:p>
            <w:pPr>
              <w:jc w:val="center"/>
              <w:rPr>
                <w:i/>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rFonts w:hint="eastAsia" w:ascii="宋体" w:hAnsi="宋体"/>
                <w:color w:val="000000"/>
                <w:lang w:eastAsia="zh-CN"/>
              </w:rPr>
              <w:t>包装间面积250㎡</w:t>
            </w:r>
          </w:p>
        </w:tc>
        <w:tc>
          <w:tcPr>
            <w:tcW w:w="2125" w:type="dxa"/>
            <w:vAlign w:val="center"/>
          </w:tcPr>
          <w:p>
            <w:pPr>
              <w:jc w:val="center"/>
              <w:rPr>
                <w:szCs w:val="21"/>
                <w:lang w:eastAsia="zh-CN"/>
              </w:rPr>
            </w:pPr>
            <w:r>
              <w:rPr>
                <w:rFonts w:hint="eastAsia"/>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70C0"/>
                <w:szCs w:val="21"/>
                <w:lang w:val="en-US" w:eastAsia="zh-CN"/>
              </w:rPr>
            </w:pPr>
            <w:r>
              <w:rPr>
                <w:rFonts w:ascii="宋体" w:hAnsi="宋体"/>
                <w:color w:val="000000"/>
                <w:lang w:eastAsia="zh-CN"/>
              </w:rPr>
              <w:t>设备的形式尺寸应符合制造商说明书及技术文件规定的要求。</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ascii="宋体" w:hAnsi="宋体"/>
                <w:color w:val="000000"/>
                <w:lang w:eastAsia="zh-CN"/>
              </w:rPr>
              <w:t>供应商必须给出设备选型方案及相应附件选型方案，并交给我公司使用部门及工程类部门审核。</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ascii="宋体" w:hAnsi="宋体"/>
                <w:color w:val="000000"/>
                <w:lang w:eastAsia="zh-CN"/>
              </w:rPr>
              <w:t>设备</w:t>
            </w:r>
            <w:r>
              <w:rPr>
                <w:rFonts w:hint="eastAsia" w:ascii="宋体" w:hAnsi="宋体"/>
                <w:color w:val="000000"/>
                <w:lang w:eastAsia="zh-CN"/>
              </w:rPr>
              <w:t>安装后应留</w:t>
            </w:r>
            <w:r>
              <w:rPr>
                <w:rFonts w:ascii="宋体" w:hAnsi="宋体"/>
                <w:color w:val="000000"/>
                <w:lang w:eastAsia="zh-CN"/>
              </w:rPr>
              <w:t>有足够的</w:t>
            </w:r>
            <w:r>
              <w:rPr>
                <w:rFonts w:hint="eastAsia" w:ascii="宋体" w:hAnsi="宋体"/>
                <w:color w:val="000000"/>
                <w:lang w:eastAsia="zh-CN"/>
              </w:rPr>
              <w:t>生产操作和维修</w:t>
            </w:r>
            <w:r>
              <w:rPr>
                <w:rFonts w:ascii="宋体" w:hAnsi="宋体"/>
                <w:color w:val="000000"/>
                <w:lang w:eastAsia="zh-CN"/>
              </w:rPr>
              <w:t>空间</w:t>
            </w:r>
            <w:r>
              <w:rPr>
                <w:rFonts w:hint="eastAsia" w:ascii="宋体" w:hAnsi="宋体"/>
                <w:color w:val="000000"/>
                <w:lang w:eastAsia="zh-CN"/>
              </w:rPr>
              <w:t>，满足使用和维修的需要。</w:t>
            </w:r>
          </w:p>
        </w:tc>
        <w:tc>
          <w:tcPr>
            <w:tcW w:w="2125" w:type="dxa"/>
            <w:vAlign w:val="center"/>
          </w:tcPr>
          <w:p>
            <w:pPr>
              <w:jc w:val="center"/>
              <w:rPr>
                <w:iCs/>
                <w:szCs w:val="21"/>
                <w:lang w:eastAsia="zh-CN"/>
              </w:rPr>
            </w:pPr>
            <w:r>
              <w:rPr>
                <w:rFonts w:hint="eastAsia"/>
                <w:iCs/>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color w:val="0070C0"/>
                <w:szCs w:val="21"/>
                <w:lang w:eastAsia="zh-CN"/>
              </w:rPr>
            </w:pPr>
            <w:r>
              <w:rPr>
                <w:rFonts w:hint="eastAsia" w:ascii="宋体" w:hAnsi="宋体"/>
                <w:color w:val="000000"/>
                <w:szCs w:val="21"/>
                <w:lang w:eastAsia="zh-CN"/>
              </w:rPr>
              <w:t>重量（</w:t>
            </w:r>
            <w:r>
              <w:rPr>
                <w:color w:val="000000"/>
                <w:szCs w:val="21"/>
                <w:lang w:eastAsia="zh-CN"/>
              </w:rPr>
              <w:t>kg</w:t>
            </w:r>
            <w:r>
              <w:rPr>
                <w:rFonts w:hint="eastAsia" w:ascii="宋体" w:hAnsi="宋体"/>
                <w:color w:val="000000"/>
                <w:szCs w:val="21"/>
                <w:lang w:eastAsia="zh-CN"/>
              </w:rPr>
              <w:t>）不超出房间地面承重要求</w:t>
            </w:r>
          </w:p>
        </w:tc>
        <w:tc>
          <w:tcPr>
            <w:tcW w:w="2125" w:type="dxa"/>
            <w:vAlign w:val="center"/>
          </w:tcPr>
          <w:p>
            <w:pPr>
              <w:jc w:val="center"/>
              <w:rPr>
                <w:szCs w:val="21"/>
                <w:lang w:eastAsia="zh-CN"/>
              </w:rPr>
            </w:pPr>
            <w:r>
              <w:rPr>
                <w:rFonts w:hint="eastAsia"/>
                <w:iCs/>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i/>
                <w:szCs w:val="21"/>
                <w:lang w:eastAsia="zh-CN"/>
              </w:rPr>
            </w:pPr>
            <w:r>
              <w:rPr>
                <w:rFonts w:hint="eastAsia" w:ascii="宋体" w:hAnsi="宋体"/>
                <w:color w:val="000000"/>
                <w:lang w:eastAsia="zh-CN"/>
              </w:rPr>
              <w:t>6-8bar无水无油的压缩空气</w:t>
            </w:r>
          </w:p>
        </w:tc>
        <w:tc>
          <w:tcPr>
            <w:tcW w:w="2125" w:type="dxa"/>
            <w:vAlign w:val="center"/>
          </w:tcPr>
          <w:p>
            <w:pPr>
              <w:jc w:val="center"/>
              <w:rPr>
                <w:szCs w:val="21"/>
                <w:lang w:eastAsia="zh-CN"/>
              </w:rPr>
            </w:pPr>
            <w:r>
              <w:rPr>
                <w:rFonts w:hint="eastAsia"/>
                <w:iCs/>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iCs/>
                <w:lang w:eastAsia="zh-CN"/>
              </w:rPr>
              <w:t>工作环境</w:t>
            </w:r>
            <w:r>
              <w:rPr>
                <w:rFonts w:hint="eastAsia"/>
                <w:color w:val="000000"/>
                <w:lang w:eastAsia="zh-CN"/>
              </w:rPr>
              <w:t>温度：</w:t>
            </w:r>
            <w:r>
              <w:rPr>
                <w:iCs/>
                <w:lang w:eastAsia="zh-CN"/>
              </w:rPr>
              <w:t>18</w:t>
            </w:r>
            <w:r>
              <w:rPr>
                <w:rFonts w:hint="eastAsia"/>
                <w:iCs/>
                <w:lang w:eastAsia="zh-CN"/>
              </w:rPr>
              <w:t>℃～</w:t>
            </w:r>
            <w:r>
              <w:rPr>
                <w:iCs/>
                <w:lang w:eastAsia="zh-CN"/>
              </w:rPr>
              <w:t>2</w:t>
            </w:r>
            <w:r>
              <w:rPr>
                <w:rFonts w:hint="eastAsia"/>
                <w:iCs/>
                <w:lang w:eastAsia="zh-CN"/>
              </w:rPr>
              <w:t>5℃环境   设备适应温度：0℃～35℃</w:t>
            </w:r>
          </w:p>
        </w:tc>
        <w:tc>
          <w:tcPr>
            <w:tcW w:w="2125" w:type="dxa"/>
            <w:vAlign w:val="center"/>
          </w:tcPr>
          <w:p>
            <w:pPr>
              <w:jc w:val="center"/>
              <w:rPr>
                <w:szCs w:val="21"/>
                <w:lang w:eastAsia="zh-CN"/>
              </w:rPr>
            </w:pPr>
            <w:r>
              <w:rPr>
                <w:rFonts w:hint="eastAsia"/>
                <w:iCs/>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color w:val="000000"/>
                <w:lang w:eastAsia="zh-CN"/>
              </w:rPr>
              <w:t>工</w:t>
            </w:r>
            <w:r>
              <w:rPr>
                <w:rFonts w:hint="eastAsia"/>
                <w:iCs/>
                <w:lang w:eastAsia="zh-CN"/>
              </w:rPr>
              <w:t>作环境湿度：</w:t>
            </w:r>
            <w:r>
              <w:rPr>
                <w:iCs/>
                <w:lang w:eastAsia="zh-CN"/>
              </w:rPr>
              <w:t>45%</w:t>
            </w:r>
            <w:r>
              <w:rPr>
                <w:rFonts w:hint="eastAsia"/>
                <w:iCs/>
                <w:lang w:eastAsia="zh-CN"/>
              </w:rPr>
              <w:t>～</w:t>
            </w:r>
            <w:r>
              <w:rPr>
                <w:iCs/>
                <w:lang w:eastAsia="zh-CN"/>
              </w:rPr>
              <w:t>65%</w:t>
            </w:r>
            <w:r>
              <w:rPr>
                <w:rFonts w:hint="eastAsia"/>
                <w:iCs/>
                <w:lang w:eastAsia="zh-CN"/>
              </w:rPr>
              <w:t xml:space="preserve">   设备适应湿度：</w:t>
            </w:r>
            <w:r>
              <w:rPr>
                <w:iCs/>
                <w:lang w:eastAsia="zh-CN"/>
              </w:rPr>
              <w:t>45%</w:t>
            </w:r>
            <w:r>
              <w:rPr>
                <w:rFonts w:hint="eastAsia"/>
                <w:iCs/>
                <w:lang w:eastAsia="zh-CN"/>
              </w:rPr>
              <w:t>～70</w:t>
            </w:r>
            <w:r>
              <w:rPr>
                <w:iCs/>
                <w:lang w:eastAsia="zh-CN"/>
              </w:rPr>
              <w:t>%</w:t>
            </w:r>
          </w:p>
        </w:tc>
        <w:tc>
          <w:tcPr>
            <w:tcW w:w="2125" w:type="dxa"/>
            <w:vAlign w:val="center"/>
          </w:tcPr>
          <w:p>
            <w:pPr>
              <w:jc w:val="center"/>
              <w:rPr>
                <w:szCs w:val="21"/>
                <w:lang w:eastAsia="zh-CN"/>
              </w:rPr>
            </w:pPr>
            <w:r>
              <w:rPr>
                <w:rFonts w:hint="eastAsia"/>
                <w:iCs/>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 CNC区</w:t>
            </w:r>
          </w:p>
        </w:tc>
        <w:tc>
          <w:tcPr>
            <w:tcW w:w="2125" w:type="dxa"/>
            <w:vAlign w:val="center"/>
          </w:tcPr>
          <w:p>
            <w:pPr>
              <w:jc w:val="center"/>
              <w:rPr>
                <w:szCs w:val="21"/>
                <w:lang w:eastAsia="zh-CN"/>
              </w:rPr>
            </w:pPr>
            <w:r>
              <w:rPr>
                <w:rFonts w:hint="eastAsia"/>
                <w:iCs/>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交流电电源：</w:t>
            </w:r>
            <w:r>
              <w:rPr>
                <w:iCs/>
                <w:szCs w:val="21"/>
                <w:lang w:eastAsia="zh-CN"/>
              </w:rPr>
              <w:t>～220±10%V，50±1Hz</w:t>
            </w:r>
          </w:p>
        </w:tc>
        <w:tc>
          <w:tcPr>
            <w:tcW w:w="2125" w:type="dxa"/>
            <w:vAlign w:val="center"/>
          </w:tcPr>
          <w:p>
            <w:pPr>
              <w:jc w:val="center"/>
              <w:rPr>
                <w:szCs w:val="21"/>
                <w:lang w:eastAsia="zh-CN"/>
              </w:rPr>
            </w:pPr>
            <w:r>
              <w:rPr>
                <w:rFonts w:hint="eastAsia"/>
                <w:iCs/>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vAlign w:val="center"/>
          </w:tcPr>
          <w:p>
            <w:pPr>
              <w:pStyle w:val="8"/>
              <w:spacing w:line="360" w:lineRule="auto"/>
              <w:rPr>
                <w:color w:val="000000"/>
                <w:sz w:val="21"/>
                <w:szCs w:val="20"/>
                <w:lang w:eastAsia="zh-CN"/>
              </w:rPr>
            </w:pPr>
            <w:r>
              <w:rPr>
                <w:rFonts w:hint="eastAsia"/>
                <w:color w:val="000000"/>
                <w:sz w:val="21"/>
                <w:szCs w:val="20"/>
                <w:lang w:eastAsia="zh-CN"/>
              </w:rPr>
              <w:t>设备各零部件齐全并且连接可靠，外观端正，不得有异常变形、毛刺和锈蚀等缺陷。</w:t>
            </w:r>
          </w:p>
          <w:p>
            <w:pPr>
              <w:spacing w:line="276" w:lineRule="auto"/>
              <w:jc w:val="both"/>
              <w:rPr>
                <w:color w:val="000000"/>
                <w:lang w:eastAsia="zh-CN"/>
              </w:rPr>
            </w:pPr>
            <w:r>
              <w:rPr>
                <w:color w:val="000000"/>
                <w:lang w:eastAsia="zh-CN"/>
              </w:rPr>
              <w:t>所有暴露的机器表面</w:t>
            </w:r>
            <w:r>
              <w:rPr>
                <w:rFonts w:hint="eastAsia"/>
                <w:color w:val="000000"/>
                <w:lang w:eastAsia="zh-CN"/>
              </w:rPr>
              <w:t>、电气柜表面等使用的不锈钢</w:t>
            </w:r>
            <w:r>
              <w:rPr>
                <w:color w:val="000000"/>
                <w:lang w:eastAsia="zh-CN"/>
              </w:rPr>
              <w:t>都应</w:t>
            </w:r>
            <w:r>
              <w:rPr>
                <w:rFonts w:hint="eastAsia"/>
                <w:color w:val="000000"/>
                <w:lang w:eastAsia="zh-CN"/>
              </w:rPr>
              <w:t>为表面拉丝处理过的</w:t>
            </w:r>
            <w:r>
              <w:rPr>
                <w:color w:val="000000"/>
                <w:lang w:eastAsia="zh-CN"/>
              </w:rPr>
              <w:t>AISI 304</w:t>
            </w:r>
            <w:r>
              <w:rPr>
                <w:rFonts w:hint="eastAsia"/>
                <w:color w:val="000000"/>
                <w:lang w:eastAsia="zh-CN"/>
              </w:rPr>
              <w:t>材料</w:t>
            </w:r>
          </w:p>
          <w:p>
            <w:pPr>
              <w:pStyle w:val="8"/>
              <w:spacing w:line="360" w:lineRule="auto"/>
              <w:rPr>
                <w:rFonts w:ascii="宋体"/>
                <w:color w:val="000000"/>
                <w:lang w:eastAsia="zh-CN"/>
              </w:rPr>
            </w:pPr>
            <w:r>
              <w:rPr>
                <w:rFonts w:hint="eastAsia"/>
                <w:color w:val="000000"/>
                <w:sz w:val="21"/>
                <w:szCs w:val="20"/>
                <w:lang w:eastAsia="zh-CN"/>
              </w:rPr>
              <w:t>设备操作面的高度符合人体工程学的要求，适合中国人的体型及身高，保证操作工人工作的舒适与便捷。</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color w:val="000000"/>
                <w:lang w:eastAsia="zh-CN"/>
              </w:rPr>
              <w:t>标识：至少应有以下永久贴牢和清楚易认的标识：</w:t>
            </w:r>
          </w:p>
          <w:p>
            <w:pPr>
              <w:spacing w:line="276" w:lineRule="auto"/>
              <w:jc w:val="both"/>
              <w:rPr>
                <w:color w:val="000000"/>
                <w:lang w:eastAsia="zh-CN"/>
              </w:rPr>
            </w:pPr>
            <w:r>
              <w:rPr>
                <w:color w:val="000000"/>
                <w:lang w:eastAsia="zh-CN"/>
              </w:rPr>
              <w:t>（1）制造/供应单位；</w:t>
            </w:r>
          </w:p>
          <w:p>
            <w:pPr>
              <w:spacing w:line="276" w:lineRule="auto"/>
              <w:jc w:val="both"/>
              <w:rPr>
                <w:color w:val="000000"/>
                <w:lang w:eastAsia="zh-CN"/>
              </w:rPr>
            </w:pPr>
            <w:r>
              <w:rPr>
                <w:color w:val="000000"/>
                <w:lang w:eastAsia="zh-CN"/>
              </w:rPr>
              <w:t>（2）产品注册号；</w:t>
            </w:r>
          </w:p>
          <w:p>
            <w:pPr>
              <w:spacing w:line="276" w:lineRule="auto"/>
              <w:jc w:val="both"/>
              <w:rPr>
                <w:color w:val="000000"/>
                <w:lang w:eastAsia="zh-CN"/>
              </w:rPr>
            </w:pPr>
            <w:r>
              <w:rPr>
                <w:color w:val="000000"/>
                <w:lang w:eastAsia="zh-CN"/>
              </w:rPr>
              <w:t>（3）型号；</w:t>
            </w:r>
          </w:p>
          <w:p>
            <w:pPr>
              <w:spacing w:line="276" w:lineRule="auto"/>
              <w:jc w:val="both"/>
              <w:rPr>
                <w:color w:val="000000"/>
                <w:lang w:eastAsia="zh-CN"/>
              </w:rPr>
            </w:pPr>
            <w:r>
              <w:rPr>
                <w:color w:val="000000"/>
                <w:lang w:eastAsia="zh-CN"/>
              </w:rPr>
              <w:t>（4）生产日期或编号；</w:t>
            </w:r>
          </w:p>
          <w:p>
            <w:pPr>
              <w:spacing w:line="276" w:lineRule="auto"/>
              <w:jc w:val="both"/>
              <w:rPr>
                <w:color w:val="000000"/>
                <w:lang w:eastAsia="zh-CN"/>
              </w:rPr>
            </w:pPr>
            <w:r>
              <w:rPr>
                <w:color w:val="000000"/>
                <w:lang w:eastAsia="zh-CN"/>
              </w:rPr>
              <w:t>（5）对设备必要的说明；</w:t>
            </w:r>
          </w:p>
          <w:p>
            <w:pPr>
              <w:pStyle w:val="8"/>
              <w:spacing w:line="276" w:lineRule="auto"/>
              <w:rPr>
                <w:color w:val="0070C0"/>
                <w:sz w:val="21"/>
                <w:szCs w:val="21"/>
                <w:lang w:eastAsia="zh-CN"/>
              </w:rPr>
            </w:pPr>
            <w:r>
              <w:rPr>
                <w:color w:val="000000"/>
                <w:sz w:val="21"/>
                <w:szCs w:val="20"/>
                <w:lang w:eastAsia="zh-CN"/>
              </w:rPr>
              <w:t>（6）安全标识。</w:t>
            </w:r>
          </w:p>
        </w:tc>
        <w:tc>
          <w:tcPr>
            <w:tcW w:w="2125" w:type="dxa"/>
            <w:vAlign w:val="center"/>
          </w:tcPr>
          <w:p>
            <w:pPr>
              <w:jc w:val="center"/>
              <w:rPr>
                <w:szCs w:val="21"/>
                <w:lang w:eastAsia="zh-CN"/>
              </w:rPr>
            </w:pPr>
            <w:r>
              <w:rPr>
                <w:rFonts w:hint="eastAsia"/>
                <w:iCs/>
                <w:szCs w:val="21"/>
                <w:lang w:eastAsia="zh-CN"/>
              </w:rPr>
              <w:t>关键</w:t>
            </w:r>
          </w:p>
        </w:tc>
      </w:tr>
      <w:bookmarkEnd w:id="25"/>
      <w:bookmarkEnd w:id="26"/>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35"/>
        <w:spacing w:before="0" w:line="360" w:lineRule="auto"/>
        <w:jc w:val="left"/>
        <w:rPr>
          <w:bCs/>
          <w:i/>
          <w:color w:val="4472C4"/>
          <w:kern w:val="44"/>
          <w:szCs w:val="21"/>
          <w:lang w:eastAsia="zh-CN"/>
        </w:rPr>
      </w:pPr>
      <w:permStart w:id="2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left="426" w:firstLine="0" w:firstLineChars="0"/>
              <w:rPr>
                <w:rFonts w:ascii="Times New Roman" w:hAnsi="Times New Roman"/>
                <w:szCs w:val="21"/>
              </w:rPr>
            </w:pPr>
            <w:permStart w:id="21" w:edGrp="everyone"/>
          </w:p>
        </w:tc>
        <w:tc>
          <w:tcPr>
            <w:tcW w:w="9253" w:type="dxa"/>
            <w:gridSpan w:val="2"/>
            <w:vAlign w:val="center"/>
          </w:tcPr>
          <w:p>
            <w:pPr>
              <w:jc w:val="both"/>
              <w:rPr>
                <w:szCs w:val="21"/>
                <w:lang w:eastAsia="zh-CN"/>
              </w:rPr>
            </w:pPr>
            <w:r>
              <w:rPr>
                <w:szCs w:val="21"/>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szCs w:val="21"/>
                <w:lang w:eastAsia="zh-CN"/>
              </w:rPr>
            </w:pPr>
            <w:r>
              <w:rPr>
                <w:rFonts w:hint="eastAsia"/>
                <w:iCs/>
                <w:szCs w:val="21"/>
                <w:lang w:eastAsia="zh-CN"/>
              </w:rPr>
              <w:t>每分钟外箱喷码打印速度最大100米/分</w:t>
            </w:r>
          </w:p>
        </w:tc>
        <w:tc>
          <w:tcPr>
            <w:tcW w:w="2125" w:type="dxa"/>
            <w:vAlign w:val="center"/>
          </w:tcPr>
          <w:p>
            <w:pPr>
              <w:jc w:val="center"/>
              <w:rPr>
                <w:szCs w:val="21"/>
                <w:lang w:eastAsia="zh-CN"/>
              </w:rPr>
            </w:pPr>
            <w:r>
              <w:rPr>
                <w:rFonts w:hint="eastAsia"/>
                <w:iCs/>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
                <w:szCs w:val="21"/>
                <w:lang w:eastAsia="zh-CN"/>
              </w:rPr>
            </w:pPr>
            <w:r>
              <w:rPr>
                <w:rFonts w:hint="eastAsia"/>
                <w:iCs/>
                <w:szCs w:val="21"/>
                <w:lang w:eastAsia="zh-CN"/>
              </w:rPr>
              <w:t>打</w:t>
            </w:r>
            <w:r>
              <w:rPr>
                <w:rFonts w:hint="eastAsia" w:ascii="宋体" w:hAnsi="宋体"/>
                <w:iCs/>
                <w:szCs w:val="21"/>
                <w:lang w:eastAsia="zh-CN"/>
              </w:rPr>
              <w:t>印分辨率从</w:t>
            </w:r>
            <w:r>
              <w:rPr>
                <w:rFonts w:ascii="宋体" w:hAnsi="宋体"/>
                <w:iCs/>
                <w:szCs w:val="21"/>
                <w:lang w:eastAsia="zh-CN"/>
              </w:rPr>
              <w:t>300×150dpi至 600×600dpi</w:t>
            </w:r>
            <w:r>
              <w:rPr>
                <w:rFonts w:hint="eastAsia" w:ascii="宋体" w:hAnsi="宋体"/>
                <w:color w:val="000000"/>
                <w:lang w:eastAsia="zh-CN"/>
              </w:rPr>
              <w:t>，</w:t>
            </w:r>
            <w:r>
              <w:rPr>
                <w:rFonts w:hint="eastAsia" w:ascii="宋体" w:hAnsi="宋体"/>
                <w:iCs/>
                <w:szCs w:val="21"/>
                <w:lang w:eastAsia="zh-CN"/>
              </w:rPr>
              <w:t>电机运行噪音≤</w:t>
            </w:r>
            <w:r>
              <w:rPr>
                <w:rFonts w:ascii="宋体" w:hAnsi="宋体"/>
                <w:iCs/>
                <w:szCs w:val="21"/>
                <w:lang w:val="en-US" w:eastAsia="zh-CN"/>
              </w:rPr>
              <w:t>7</w:t>
            </w:r>
            <w:r>
              <w:rPr>
                <w:rFonts w:hint="eastAsia" w:ascii="宋体" w:hAnsi="宋体"/>
                <w:iCs/>
                <w:szCs w:val="21"/>
                <w:lang w:val="en-US" w:eastAsia="zh-CN"/>
              </w:rPr>
              <w:t>5</w:t>
            </w:r>
            <w:r>
              <w:rPr>
                <w:rFonts w:ascii="宋体" w:hAnsi="宋体"/>
                <w:iCs/>
                <w:szCs w:val="21"/>
                <w:lang w:val="en-US" w:eastAsia="zh-CN"/>
              </w:rPr>
              <w:t>db</w:t>
            </w:r>
          </w:p>
        </w:tc>
        <w:tc>
          <w:tcPr>
            <w:tcW w:w="2125" w:type="dxa"/>
            <w:vAlign w:val="center"/>
          </w:tcPr>
          <w:p>
            <w:pPr>
              <w:jc w:val="center"/>
              <w:rPr>
                <w:szCs w:val="21"/>
                <w:lang w:eastAsia="zh-CN"/>
              </w:rPr>
            </w:pPr>
            <w:r>
              <w:rPr>
                <w:rFonts w:hint="eastAsia"/>
                <w:iCs/>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eastAsia="zh-CN"/>
              </w:rPr>
              <w:t>以一天</w:t>
            </w:r>
            <w:r>
              <w:rPr>
                <w:rFonts w:ascii="宋体" w:hAnsi="宋体"/>
                <w:szCs w:val="21"/>
                <w:lang w:eastAsia="zh-CN"/>
              </w:rPr>
              <w:t>8</w:t>
            </w:r>
            <w:r>
              <w:rPr>
                <w:rFonts w:hint="eastAsia" w:ascii="宋体" w:hAnsi="宋体"/>
                <w:szCs w:val="21"/>
                <w:lang w:eastAsia="zh-CN"/>
              </w:rPr>
              <w:t>小时工作时间计算，停机处理问题总时间不得超过3分钟</w:t>
            </w:r>
          </w:p>
        </w:tc>
        <w:tc>
          <w:tcPr>
            <w:tcW w:w="2125" w:type="dxa"/>
            <w:vAlign w:val="center"/>
          </w:tcPr>
          <w:p>
            <w:pPr>
              <w:jc w:val="center"/>
              <w:rPr>
                <w:szCs w:val="21"/>
                <w:lang w:eastAsia="zh-CN"/>
              </w:rPr>
            </w:pPr>
            <w:r>
              <w:rPr>
                <w:rFonts w:hint="eastAsia"/>
                <w:iCs/>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vAlign w:val="center"/>
          </w:tcPr>
          <w:p>
            <w:pPr>
              <w:pStyle w:val="8"/>
              <w:spacing w:line="360" w:lineRule="auto"/>
              <w:rPr>
                <w:sz w:val="21"/>
                <w:szCs w:val="20"/>
                <w:lang w:eastAsia="zh-CN"/>
              </w:rPr>
            </w:pPr>
            <w:r>
              <w:rPr>
                <w:rFonts w:hint="eastAsia" w:ascii="宋体" w:hAnsi="宋体"/>
                <w:iCs/>
                <w:sz w:val="21"/>
                <w:szCs w:val="21"/>
                <w:lang w:eastAsia="zh-CN"/>
              </w:rPr>
              <w:t>喷码机配置输送带，1.0m高度×0.6m宽度×2.0m长度，可自动分页及收集。</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rFonts w:ascii="宋体" w:hAnsi="宋体"/>
                <w:sz w:val="21"/>
                <w:szCs w:val="20"/>
                <w:lang w:eastAsia="zh-CN"/>
              </w:rPr>
            </w:pPr>
            <w:r>
              <w:rPr>
                <w:rFonts w:hint="eastAsia" w:ascii="宋体" w:hAnsi="宋体"/>
                <w:iCs/>
                <w:sz w:val="21"/>
                <w:szCs w:val="21"/>
                <w:lang w:eastAsia="zh-CN"/>
              </w:rPr>
              <w:t>配置双TIJ热发泡喷头，喷印距离2-5mm,单次喷印字体最小高度1mm,喷印字体最大高度25mm。</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rFonts w:ascii="宋体" w:hAnsi="宋体"/>
                <w:sz w:val="21"/>
                <w:szCs w:val="20"/>
                <w:lang w:eastAsia="zh-CN"/>
              </w:rPr>
            </w:pPr>
            <w:r>
              <w:rPr>
                <w:rFonts w:hint="eastAsia" w:ascii="宋体" w:hAnsi="宋体"/>
                <w:iCs/>
                <w:sz w:val="21"/>
                <w:szCs w:val="21"/>
                <w:lang w:eastAsia="zh-CN"/>
              </w:rPr>
              <w:t>打印灰度深浅可调。</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sz w:val="21"/>
                <w:szCs w:val="20"/>
                <w:lang w:eastAsia="zh-CN"/>
              </w:rPr>
            </w:pPr>
            <w:r>
              <w:rPr>
                <w:rFonts w:hint="eastAsia"/>
                <w:sz w:val="21"/>
                <w:szCs w:val="20"/>
                <w:lang w:eastAsia="zh-CN"/>
              </w:rPr>
              <w:t>可以和贴标机配置墨盒兼容</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sz w:val="21"/>
                <w:szCs w:val="20"/>
                <w:lang w:eastAsia="zh-CN"/>
              </w:rPr>
            </w:pPr>
            <w:r>
              <w:rPr>
                <w:rFonts w:hint="eastAsia"/>
                <w:sz w:val="21"/>
                <w:szCs w:val="20"/>
                <w:lang w:eastAsia="zh-CN"/>
              </w:rPr>
              <w:t>外箱立式喷印输送带配分料收料功能</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rFonts w:ascii="宋体" w:hAnsi="宋体"/>
                <w:sz w:val="21"/>
                <w:szCs w:val="20"/>
                <w:lang w:eastAsia="zh-CN"/>
              </w:rPr>
            </w:pPr>
            <w:r>
              <w:rPr>
                <w:rFonts w:ascii="宋体" w:hAnsi="宋体"/>
                <w:sz w:val="21"/>
                <w:szCs w:val="20"/>
                <w:lang w:eastAsia="zh-CN"/>
              </w:rPr>
              <w:t>5 英寸高清彩色屏显</w:t>
            </w:r>
            <w:r>
              <w:rPr>
                <w:rFonts w:hint="eastAsia" w:ascii="宋体" w:hAnsi="宋体"/>
                <w:sz w:val="21"/>
                <w:szCs w:val="20"/>
                <w:lang w:eastAsia="zh-CN"/>
              </w:rPr>
              <w:t>，</w:t>
            </w:r>
            <w:r>
              <w:rPr>
                <w:rFonts w:ascii="宋体" w:hAnsi="宋体"/>
                <w:sz w:val="21"/>
                <w:szCs w:val="20"/>
                <w:lang w:eastAsia="zh-CN"/>
              </w:rPr>
              <w:t>四核 CPU 丨网口（可定制）</w:t>
            </w:r>
            <w:r>
              <w:rPr>
                <w:rFonts w:hint="eastAsia" w:ascii="宋体" w:hAnsi="宋体"/>
                <w:sz w:val="21"/>
                <w:szCs w:val="20"/>
                <w:lang w:eastAsia="zh-CN"/>
              </w:rPr>
              <w:t>，</w:t>
            </w:r>
            <w:r>
              <w:rPr>
                <w:rFonts w:ascii="宋体" w:hAnsi="宋体"/>
                <w:sz w:val="21"/>
                <w:szCs w:val="20"/>
                <w:lang w:eastAsia="zh-CN"/>
              </w:rPr>
              <w:t>支持蓝牙、 wifi； 支持外部同步器与外置光电传感器</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rFonts w:ascii="宋体" w:hAnsi="宋体"/>
                <w:sz w:val="21"/>
                <w:szCs w:val="20"/>
                <w:lang w:eastAsia="zh-CN"/>
              </w:rPr>
            </w:pPr>
            <w:r>
              <w:rPr>
                <w:rFonts w:ascii="宋体" w:hAnsi="宋体"/>
                <w:sz w:val="21"/>
                <w:szCs w:val="20"/>
                <w:lang w:eastAsia="zh-CN"/>
              </w:rPr>
              <w:t>四核处理器， 主频可达 1.4GHz</w:t>
            </w:r>
            <w:r>
              <w:rPr>
                <w:rFonts w:hint="eastAsia" w:ascii="宋体" w:hAnsi="宋体"/>
                <w:sz w:val="21"/>
                <w:szCs w:val="20"/>
                <w:lang w:eastAsia="zh-CN"/>
              </w:rPr>
              <w:t xml:space="preserve"> ，</w:t>
            </w:r>
            <w:r>
              <w:rPr>
                <w:rFonts w:ascii="宋体" w:hAnsi="宋体"/>
                <w:sz w:val="21"/>
                <w:szCs w:val="20"/>
                <w:lang w:eastAsia="zh-CN"/>
              </w:rPr>
              <w:t>通讯接口： USB、 RS232、 蓝牙、 WiFi、 网口（可定制）</w:t>
            </w:r>
          </w:p>
        </w:tc>
        <w:tc>
          <w:tcPr>
            <w:tcW w:w="2125" w:type="dxa"/>
            <w:vAlign w:val="center"/>
          </w:tcPr>
          <w:p>
            <w:pPr>
              <w:jc w:val="center"/>
              <w:rPr>
                <w:iCs/>
                <w:szCs w:val="21"/>
                <w:lang w:eastAsia="zh-CN"/>
              </w:rPr>
            </w:pPr>
            <w:r>
              <w:rPr>
                <w:rFonts w:hint="eastAsia"/>
                <w:iCs/>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2370359"/>
      <w:bookmarkStart w:id="32" w:name="_Toc481702480"/>
      <w:bookmarkStart w:id="33" w:name="_Toc482359946"/>
      <w:bookmarkStart w:id="34" w:name="_Toc482360291"/>
      <w:bookmarkStart w:id="35" w:name="_Toc482369815"/>
      <w:bookmarkStart w:id="36" w:name="_Toc482370071"/>
      <w:bookmarkStart w:id="37" w:name="_Toc483400317"/>
      <w:bookmarkStart w:id="38" w:name="_Toc482370767"/>
      <w:bookmarkStart w:id="39" w:name="_Toc482625289"/>
      <w:bookmarkStart w:id="40" w:name="_Toc482717202"/>
      <w:bookmarkStart w:id="41" w:name="_Toc483227237"/>
      <w:bookmarkStart w:id="42" w:name="_Toc482370151"/>
      <w:r>
        <w:rPr>
          <w:rFonts w:ascii="Times New Roman" w:hAnsi="Times New Roman"/>
          <w:b/>
        </w:rPr>
        <w:t>电气、自动控制要求</w:t>
      </w:r>
      <w:bookmarkEnd w:id="29"/>
    </w:p>
    <w:p>
      <w:pPr>
        <w:pStyle w:val="35"/>
        <w:spacing w:before="0" w:line="360" w:lineRule="auto"/>
        <w:ind w:left="425"/>
        <w:jc w:val="left"/>
        <w:rPr>
          <w:i/>
          <w:color w:val="4472C4"/>
          <w:szCs w:val="21"/>
          <w:lang w:eastAsia="zh-CN"/>
        </w:rPr>
      </w:pPr>
      <w:permStart w:id="26"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vAlign w:val="center"/>
          </w:tcPr>
          <w:p>
            <w:pPr>
              <w:pStyle w:val="8"/>
              <w:spacing w:line="360" w:lineRule="auto"/>
              <w:rPr>
                <w:color w:val="000000"/>
                <w:sz w:val="21"/>
                <w:szCs w:val="20"/>
                <w:lang w:eastAsia="zh-CN"/>
              </w:rPr>
            </w:pPr>
            <w:r>
              <w:rPr>
                <w:rFonts w:hint="eastAsia" w:ascii="宋体" w:hAnsi="宋体"/>
                <w:sz w:val="21"/>
                <w:szCs w:val="20"/>
                <w:lang w:eastAsia="zh-CN"/>
              </w:rPr>
              <w:t>容易编辑和修改喷印资料内容。可以很轻易的变化资料，资料内容中可加入日期时间、流水号码、批号等会变动性的资料。</w:t>
            </w:r>
          </w:p>
        </w:tc>
        <w:tc>
          <w:tcPr>
            <w:tcW w:w="2125" w:type="dxa"/>
            <w:vAlign w:val="center"/>
          </w:tcPr>
          <w:p>
            <w:pPr>
              <w:jc w:val="center"/>
              <w:rPr>
                <w:szCs w:val="21"/>
                <w:lang w:eastAsia="zh-CN"/>
              </w:rPr>
            </w:pPr>
            <w:r>
              <w:rPr>
                <w:rFonts w:hint="eastAsia"/>
                <w:iCs/>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vAlign w:val="center"/>
          </w:tcPr>
          <w:p>
            <w:pPr>
              <w:pStyle w:val="8"/>
              <w:spacing w:line="360" w:lineRule="auto"/>
              <w:rPr>
                <w:szCs w:val="21"/>
                <w:lang w:eastAsia="zh-CN"/>
              </w:rPr>
            </w:pPr>
            <w:r>
              <w:rPr>
                <w:rFonts w:hint="eastAsia" w:ascii="宋体" w:hAnsi="宋体"/>
                <w:sz w:val="21"/>
                <w:szCs w:val="20"/>
                <w:lang w:eastAsia="zh-CN"/>
              </w:rPr>
              <w:t>需要墨盒墨水空瓶警告</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rFonts w:ascii="宋体" w:hAnsi="宋体"/>
                <w:sz w:val="21"/>
                <w:szCs w:val="20"/>
                <w:lang w:eastAsia="zh-CN"/>
              </w:rPr>
            </w:pPr>
            <w:r>
              <w:rPr>
                <w:rFonts w:hint="eastAsia" w:ascii="宋体" w:hAnsi="宋体"/>
                <w:iCs/>
                <w:sz w:val="21"/>
                <w:szCs w:val="21"/>
                <w:lang w:eastAsia="zh-CN"/>
              </w:rPr>
              <w:t>能外接报警灯，外接计米器</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字符控制：自动重复，打印延时，序列号打印，字高调整，信息重复，自动颠倒</w:t>
            </w:r>
            <w:r>
              <w:rPr>
                <w:rFonts w:ascii="宋体" w:hAnsi="宋体"/>
                <w:lang w:eastAsia="zh-CN"/>
              </w:rPr>
              <w:t>/</w:t>
            </w:r>
            <w:r>
              <w:rPr>
                <w:rFonts w:hint="eastAsia" w:ascii="宋体" w:hAnsi="宋体"/>
                <w:lang w:eastAsia="zh-CN"/>
              </w:rPr>
              <w:t>翻转，打印计数。</w:t>
            </w:r>
          </w:p>
          <w:p>
            <w:pPr>
              <w:pStyle w:val="8"/>
              <w:jc w:val="both"/>
              <w:rPr>
                <w:rFonts w:ascii="宋体" w:hAnsi="宋体"/>
                <w:sz w:val="21"/>
                <w:szCs w:val="20"/>
                <w:lang w:eastAsia="zh-CN"/>
              </w:rPr>
            </w:pP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多行图标显示界面,最少存储</w:t>
            </w:r>
            <w:r>
              <w:rPr>
                <w:rFonts w:ascii="宋体" w:hAnsi="宋体"/>
                <w:lang w:eastAsia="zh-CN"/>
              </w:rPr>
              <w:t>4M</w:t>
            </w:r>
            <w:r>
              <w:rPr>
                <w:rFonts w:hint="eastAsia" w:ascii="宋体" w:hAnsi="宋体"/>
                <w:lang w:eastAsia="zh-CN"/>
              </w:rPr>
              <w:t>信息打印信息可以选择。</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支持设定信息参数记忆存储。</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中文输入：汉语拼音输入。</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ascii="宋体" w:hAnsi="宋体"/>
                <w:lang w:eastAsia="zh-CN"/>
              </w:rPr>
              <w:t>墨水颜色： 黑色、 白色、 红色、 黄色、 蓝色、 绿色、 隐形、 UV</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ascii="宋体" w:hAnsi="宋体"/>
                <w:lang w:eastAsia="zh-CN"/>
              </w:rPr>
              <w:t>喷印内容： 中文、 英文、 数字、 符号、 二维码、 条形码、 图片、 日期、 计数器、 可变数据</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lang w:eastAsia="zh-CN"/>
              </w:rPr>
              <w:t>可选择不同的打印触发方式，多种模式可选。自动喷印：无需其他触发条件，自动喷印。外置电眼：通过扩展接口，连接外部电眼，启动打印。</w:t>
            </w:r>
          </w:p>
        </w:tc>
        <w:tc>
          <w:tcPr>
            <w:tcW w:w="2125" w:type="dxa"/>
            <w:vAlign w:val="center"/>
          </w:tcPr>
          <w:p>
            <w:pPr>
              <w:jc w:val="center"/>
              <w:rPr>
                <w:iCs/>
                <w:szCs w:val="21"/>
                <w:lang w:eastAsia="zh-CN"/>
              </w:rPr>
            </w:pPr>
            <w:r>
              <w:rPr>
                <w:rFonts w:hint="eastAsia"/>
                <w:iCs/>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29" w:edGrp="everyone"/>
          </w:p>
        </w:tc>
        <w:tc>
          <w:tcPr>
            <w:tcW w:w="9253" w:type="dxa"/>
            <w:gridSpan w:val="2"/>
            <w:vAlign w:val="center"/>
          </w:tcPr>
          <w:p>
            <w:pPr>
              <w:spacing w:line="276" w:lineRule="auto"/>
              <w:jc w:val="both"/>
              <w:rPr>
                <w:szCs w:val="21"/>
                <w:lang w:eastAsia="zh-CN"/>
              </w:rPr>
            </w:pPr>
            <w:r>
              <w:rPr>
                <w:szCs w:val="21"/>
                <w:lang w:val="en-US" w:eastAsia="zh-CN"/>
              </w:rPr>
              <w:t>N/A</w:t>
            </w:r>
          </w:p>
          <w:p>
            <w:pPr>
              <w:jc w:val="center"/>
              <w:rPr>
                <w:szCs w:val="21"/>
                <w:lang w:eastAsia="zh-CN"/>
              </w:rPr>
            </w:pPr>
          </w:p>
        </w:tc>
      </w:tr>
      <w:permEnd w:id="29"/>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35"/>
        <w:spacing w:before="0" w:line="360" w:lineRule="auto"/>
        <w:ind w:left="357"/>
        <w:jc w:val="left"/>
        <w:rPr>
          <w:i/>
          <w:color w:val="4472C4"/>
          <w:szCs w:val="21"/>
          <w:lang w:eastAsia="zh-CN"/>
        </w:rPr>
      </w:pPr>
      <w:permStart w:id="3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31" w:edGrp="everyone"/>
          </w:p>
        </w:tc>
        <w:tc>
          <w:tcPr>
            <w:tcW w:w="9253" w:type="dxa"/>
            <w:gridSpan w:val="2"/>
            <w:vAlign w:val="center"/>
          </w:tcPr>
          <w:p>
            <w:pPr>
              <w:jc w:val="both"/>
              <w:rPr>
                <w:szCs w:val="21"/>
                <w:lang w:eastAsia="zh-CN"/>
              </w:rPr>
            </w:pPr>
            <w:r>
              <w:rPr>
                <w:szCs w:val="21"/>
                <w:lang w:val="en-US" w:eastAsia="zh-CN"/>
              </w:rPr>
              <w:t>N/A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szCs w:val="21"/>
                <w:lang w:eastAsia="zh-CN"/>
              </w:rPr>
            </w:pPr>
            <w:r>
              <w:rPr>
                <w:rFonts w:hint="eastAsia"/>
                <w:color w:val="000000"/>
                <w:lang w:eastAsia="zh-CN"/>
              </w:rPr>
              <w:t>进口设备符合CE标准。</w:t>
            </w:r>
          </w:p>
        </w:tc>
        <w:tc>
          <w:tcPr>
            <w:tcW w:w="2125" w:type="dxa"/>
            <w:vAlign w:val="center"/>
          </w:tcPr>
          <w:p>
            <w:pPr>
              <w:jc w:val="center"/>
              <w:rPr>
                <w:szCs w:val="21"/>
                <w:lang w:eastAsia="zh-CN"/>
              </w:rPr>
            </w:pPr>
            <w:r>
              <w:rPr>
                <w:rFonts w:hint="eastAsia"/>
                <w:iCs/>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pPr>
              <w:spacing w:line="276" w:lineRule="auto"/>
              <w:jc w:val="both"/>
              <w:rPr>
                <w:szCs w:val="21"/>
                <w:lang w:eastAsia="zh-CN"/>
              </w:rPr>
            </w:pPr>
            <w:r>
              <w:rPr>
                <w:rFonts w:hint="eastAsia"/>
                <w:color w:val="000000"/>
                <w:lang w:eastAsia="zh-CN"/>
              </w:rPr>
              <w:t>电气安全高于GB4793.1的要求。</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电磁兼容性应高于GB/T18268—2000《测量、控制和实验室用的电设备电磁兼容性要求》。</w:t>
            </w:r>
          </w:p>
          <w:p>
            <w:pPr>
              <w:jc w:val="both"/>
              <w:rPr>
                <w:rFonts w:ascii="宋体" w:hAnsi="宋体"/>
                <w:color w:val="000000"/>
                <w:lang w:eastAsia="zh-CN"/>
              </w:rPr>
            </w:pP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ascii="宋体" w:hAnsi="宋体" w:cs="Arial"/>
                <w:lang w:eastAsia="zh-CN"/>
              </w:rPr>
              <w:t>设备配备急停按钮</w:t>
            </w:r>
            <w:r>
              <w:rPr>
                <w:rFonts w:hint="eastAsia" w:ascii="宋体" w:hAnsi="宋体" w:cs="Arial"/>
                <w:lang w:eastAsia="zh-CN"/>
              </w:rPr>
              <w:t>，</w:t>
            </w:r>
            <w:r>
              <w:rPr>
                <w:rFonts w:hint="eastAsia" w:ascii="宋体" w:hAnsi="宋体"/>
                <w:bCs/>
                <w:szCs w:val="30"/>
                <w:lang w:eastAsia="zh-CN"/>
              </w:rPr>
              <w:t>急停按钮应安装在操作人员能够迅速按到的位置；设备急停后，必须立即停止机械部位的运转，并完全断电，避免对人体的潜在威胁。</w:t>
            </w:r>
          </w:p>
        </w:tc>
        <w:tc>
          <w:tcPr>
            <w:tcW w:w="2125" w:type="dxa"/>
            <w:vAlign w:val="center"/>
          </w:tcPr>
          <w:p>
            <w:pPr>
              <w:jc w:val="center"/>
              <w:rPr>
                <w:iCs/>
                <w:szCs w:val="21"/>
                <w:lang w:eastAsia="zh-CN"/>
              </w:rPr>
            </w:pPr>
            <w:r>
              <w:rPr>
                <w:rFonts w:hint="eastAsia"/>
                <w:iCs/>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107743"/>
      <w:bookmarkStart w:id="45" w:name="_Toc522716124"/>
      <w:r>
        <w:rPr>
          <w:rFonts w:ascii="Times New Roman" w:hAnsi="Times New Roman"/>
          <w:b/>
        </w:rPr>
        <w:t>文件要求</w:t>
      </w:r>
      <w:bookmarkEnd w:id="44"/>
      <w:bookmarkEnd w:id="45"/>
    </w:p>
    <w:p>
      <w:pPr>
        <w:pStyle w:val="35"/>
        <w:spacing w:before="0" w:line="360" w:lineRule="auto"/>
        <w:ind w:left="357"/>
        <w:jc w:val="left"/>
        <w:rPr>
          <w:i/>
          <w:szCs w:val="21"/>
          <w:lang w:eastAsia="zh-CN"/>
        </w:rPr>
      </w:pPr>
      <w:permStart w:id="34"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rPr>
                <w:rFonts w:hint="eastAsia" w:ascii="宋体" w:hAnsi="宋体"/>
                <w:szCs w:val="21"/>
                <w:lang w:eastAsia="zh-CN"/>
              </w:rPr>
              <w:t>投标文件、合同及订单</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lang w:eastAsia="zh-CN"/>
              </w:rPr>
              <w:t>投标文件内必须包含关于本URS的详细技术响应列表。</w:t>
            </w:r>
          </w:p>
        </w:tc>
        <w:tc>
          <w:tcPr>
            <w:tcW w:w="2125" w:type="dxa"/>
            <w:vAlign w:val="center"/>
          </w:tcPr>
          <w:p>
            <w:pPr>
              <w:jc w:val="center"/>
              <w:rPr>
                <w:szCs w:val="21"/>
                <w:lang w:eastAsia="zh-CN"/>
              </w:rPr>
            </w:pPr>
            <w:r>
              <w:rPr>
                <w:rFonts w:hint="eastAsia"/>
                <w:iCs/>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jc w:val="both"/>
              <w:rPr>
                <w:szCs w:val="21"/>
                <w:lang w:eastAsia="zh-CN"/>
              </w:rPr>
            </w:pPr>
            <w:r>
              <w:rPr>
                <w:rFonts w:hint="eastAsia" w:ascii="宋体" w:hAnsi="宋体"/>
                <w:szCs w:val="21"/>
                <w:lang w:eastAsia="zh-CN"/>
              </w:rPr>
              <w:t>卖方发运清单及相关检验报告</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宋体"/>
                <w:szCs w:val="21"/>
                <w:lang w:eastAsia="zh-CN"/>
              </w:rPr>
            </w:pPr>
            <w:r>
              <w:rPr>
                <w:rFonts w:hint="eastAsia" w:ascii="宋体" w:hAnsi="宋体" w:cs="宋体"/>
                <w:szCs w:val="21"/>
                <w:lang w:eastAsia="zh-CN"/>
              </w:rPr>
              <w:t>供应商需要提供符合</w:t>
            </w:r>
            <w:r>
              <w:rPr>
                <w:rFonts w:ascii="宋体" w:hAnsi="宋体" w:cs="宋体"/>
                <w:szCs w:val="21"/>
                <w:lang w:eastAsia="zh-CN"/>
              </w:rPr>
              <w:t>GMP</w:t>
            </w:r>
            <w:r>
              <w:rPr>
                <w:rFonts w:hint="eastAsia" w:ascii="宋体" w:hAnsi="宋体" w:cs="宋体"/>
                <w:szCs w:val="21"/>
                <w:lang w:eastAsia="zh-CN"/>
              </w:rPr>
              <w:t>要求的第三方校验报告</w:t>
            </w:r>
          </w:p>
        </w:tc>
        <w:tc>
          <w:tcPr>
            <w:tcW w:w="2125" w:type="dxa"/>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宋体"/>
                <w:szCs w:val="21"/>
                <w:lang w:eastAsia="zh-CN"/>
              </w:rPr>
            </w:pPr>
            <w:r>
              <w:rPr>
                <w:rFonts w:hint="eastAsia" w:ascii="宋体" w:hAnsi="宋体" w:cs="宋体"/>
                <w:szCs w:val="21"/>
                <w:lang w:eastAsia="zh-CN"/>
              </w:rPr>
              <w:t>系统设计说明、功能说明、配置清单及说明</w:t>
            </w:r>
          </w:p>
        </w:tc>
        <w:tc>
          <w:tcPr>
            <w:tcW w:w="2125" w:type="dxa"/>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宋体"/>
                <w:szCs w:val="21"/>
                <w:lang w:eastAsia="zh-CN"/>
              </w:rPr>
            </w:pPr>
            <w:r>
              <w:rPr>
                <w:rFonts w:hint="eastAsia" w:ascii="宋体" w:hAnsi="宋体" w:cs="宋体"/>
                <w:szCs w:val="21"/>
                <w:lang w:eastAsia="zh-CN"/>
              </w:rPr>
              <w:t>图纸：各种测试、调试、确认与验证所需P&amp;ID图、控制原理图、装配图、接线图、PLC图、各类安装图纸、各类计算机化系统图纸，并附电子版</w:t>
            </w:r>
          </w:p>
        </w:tc>
        <w:tc>
          <w:tcPr>
            <w:tcW w:w="2125" w:type="dxa"/>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cs="宋体"/>
                <w:szCs w:val="21"/>
                <w:lang w:eastAsia="zh-CN"/>
              </w:rPr>
              <w:t>配件清单、易损件清单、备件、消耗品清单</w:t>
            </w:r>
            <w:r>
              <w:rPr>
                <w:rFonts w:hint="eastAsia" w:ascii="宋体" w:hAnsi="宋体"/>
                <w:szCs w:val="21"/>
                <w:lang w:eastAsia="zh-CN"/>
              </w:rPr>
              <w:t>：包括名称、编号、对应厂家名称、生产地、规格及必要说明</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宋体"/>
                <w:szCs w:val="21"/>
                <w:lang w:eastAsia="zh-CN"/>
              </w:rPr>
            </w:pPr>
            <w:r>
              <w:rPr>
                <w:rFonts w:hint="eastAsia" w:ascii="宋体" w:hAnsi="宋体" w:cs="宋体"/>
                <w:szCs w:val="21"/>
                <w:lang w:eastAsia="zh-CN"/>
              </w:rPr>
              <w:t>清单：组件清单、材料清单、权限清单、报警清单、文件清单、图纸清单等相关清单文件</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宋体"/>
                <w:szCs w:val="21"/>
                <w:lang w:eastAsia="zh-CN"/>
              </w:rPr>
            </w:pPr>
            <w:r>
              <w:rPr>
                <w:rFonts w:hint="eastAsia" w:ascii="宋体" w:hAnsi="宋体"/>
                <w:szCs w:val="21"/>
                <w:lang w:eastAsia="zh-CN"/>
              </w:rPr>
              <w:t>设备厂家文件：出厂测试合格证、相关检测报告、各种标示、必要的材质证书。</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使用操作说明书及维护保养说明（即运行及维护手册</w:t>
            </w:r>
            <w:r>
              <w:rPr>
                <w:rFonts w:hint="eastAsia" w:ascii="宋体" w:hAnsi="宋体"/>
                <w:sz w:val="24"/>
                <w:lang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lang w:eastAsia="zh-CN"/>
              </w:rPr>
              <w:t>提供设备及其零部件使用寿命清单及说明。</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提供验证文件，包括：</w:t>
            </w:r>
          </w:p>
          <w:p>
            <w:pPr>
              <w:jc w:val="both"/>
              <w:rPr>
                <w:rFonts w:ascii="宋体" w:hAnsi="宋体"/>
                <w:szCs w:val="21"/>
                <w:lang w:eastAsia="zh-CN"/>
              </w:rPr>
            </w:pPr>
            <w:r>
              <w:rPr>
                <w:rFonts w:hint="eastAsia" w:ascii="宋体" w:hAnsi="宋体"/>
                <w:szCs w:val="21"/>
                <w:lang w:eastAsia="zh-CN"/>
              </w:rPr>
              <w:t>（1）安装确认及文件（</w:t>
            </w:r>
            <w:r>
              <w:rPr>
                <w:rFonts w:ascii="宋体" w:hAnsi="宋体"/>
                <w:szCs w:val="21"/>
                <w:lang w:eastAsia="zh-CN"/>
              </w:rPr>
              <w:t>IQ</w:t>
            </w:r>
            <w:r>
              <w:rPr>
                <w:rFonts w:hint="eastAsia" w:ascii="宋体" w:hAnsi="宋体"/>
                <w:szCs w:val="21"/>
                <w:lang w:eastAsia="zh-CN"/>
              </w:rPr>
              <w:t>）；</w:t>
            </w:r>
          </w:p>
          <w:p>
            <w:pPr>
              <w:jc w:val="both"/>
              <w:rPr>
                <w:rFonts w:ascii="宋体" w:hAnsi="宋体"/>
                <w:szCs w:val="21"/>
                <w:lang w:eastAsia="zh-CN"/>
              </w:rPr>
            </w:pPr>
            <w:r>
              <w:rPr>
                <w:rFonts w:hint="eastAsia" w:ascii="宋体" w:hAnsi="宋体"/>
                <w:szCs w:val="21"/>
                <w:lang w:eastAsia="zh-CN"/>
              </w:rPr>
              <w:t>（2）运行确认及文件（</w:t>
            </w:r>
            <w:r>
              <w:rPr>
                <w:rFonts w:ascii="宋体" w:hAnsi="宋体"/>
                <w:szCs w:val="21"/>
                <w:lang w:eastAsia="zh-CN"/>
              </w:rPr>
              <w:t>OQ</w:t>
            </w:r>
            <w:r>
              <w:rPr>
                <w:rFonts w:hint="eastAsia" w:ascii="宋体" w:hAnsi="宋体"/>
                <w:szCs w:val="21"/>
                <w:lang w:eastAsia="zh-CN"/>
              </w:rPr>
              <w:t>）；</w:t>
            </w:r>
          </w:p>
          <w:p>
            <w:pPr>
              <w:jc w:val="both"/>
              <w:rPr>
                <w:lang w:eastAsia="zh-CN"/>
              </w:rPr>
            </w:pPr>
            <w:r>
              <w:rPr>
                <w:rFonts w:hint="eastAsia" w:ascii="宋体" w:hAnsi="宋体"/>
                <w:szCs w:val="21"/>
                <w:lang w:eastAsia="zh-CN"/>
              </w:rPr>
              <w:t>（3）设备生产商负责制定设备</w:t>
            </w:r>
            <w:r>
              <w:rPr>
                <w:rFonts w:ascii="宋体" w:hAnsi="宋体"/>
                <w:szCs w:val="21"/>
                <w:lang w:eastAsia="zh-CN"/>
              </w:rPr>
              <w:t>IQ/OQ</w:t>
            </w:r>
            <w:r>
              <w:rPr>
                <w:rFonts w:hint="eastAsia" w:ascii="宋体" w:hAnsi="宋体"/>
                <w:szCs w:val="21"/>
                <w:lang w:eastAsia="zh-CN"/>
              </w:rPr>
              <w:t>验证文件、并负责验证工作的实施，该验证文件作为设备必备文件。</w:t>
            </w:r>
          </w:p>
        </w:tc>
        <w:tc>
          <w:tcPr>
            <w:tcW w:w="2125" w:type="dxa"/>
            <w:vAlign w:val="center"/>
          </w:tcPr>
          <w:p>
            <w:pPr>
              <w:jc w:val="center"/>
              <w:rPr>
                <w:szCs w:val="21"/>
                <w:lang w:eastAsia="zh-CN"/>
              </w:rPr>
            </w:pPr>
            <w:r>
              <w:rPr>
                <w:rFonts w:hint="eastAsia"/>
                <w:iCs/>
                <w:szCs w:val="21"/>
                <w:lang w:eastAsia="zh-CN"/>
              </w:rPr>
              <w:t>关键</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olor w:val="FF0000"/>
                <w:szCs w:val="21"/>
                <w:lang w:eastAsia="zh-CN"/>
              </w:rPr>
            </w:pPr>
            <w:r>
              <w:rPr>
                <w:rFonts w:hint="eastAsia" w:ascii="宋体" w:hAnsi="宋体"/>
                <w:szCs w:val="21"/>
                <w:lang w:eastAsia="zh-CN"/>
              </w:rPr>
              <w:t>工程交付文件：满足GEP要求的工程文件交付包及电子版说明书（上述条款规定的文件需提供电子版，并在设备开箱验收时将最终批准的电子版全套资料交工程技术部存档)）</w:t>
            </w:r>
          </w:p>
        </w:tc>
        <w:tc>
          <w:tcPr>
            <w:tcW w:w="2125" w:type="dxa"/>
            <w:vAlign w:val="center"/>
          </w:tcPr>
          <w:p>
            <w:pPr>
              <w:jc w:val="center"/>
              <w:rPr>
                <w:iCs/>
                <w:color w:val="FF0000"/>
                <w:szCs w:val="21"/>
                <w:lang w:eastAsia="zh-CN"/>
              </w:rPr>
            </w:pPr>
            <w:r>
              <w:rPr>
                <w:rFonts w:hint="eastAsia"/>
                <w:iCs/>
                <w:szCs w:val="21"/>
                <w:lang w:eastAsia="zh-CN"/>
              </w:rPr>
              <w:t>关键</w:t>
            </w:r>
          </w:p>
        </w:tc>
      </w:tr>
      <w:permEnd w:id="36"/>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35"/>
        <w:spacing w:before="0" w:line="360" w:lineRule="auto"/>
        <w:ind w:left="357"/>
        <w:jc w:val="left"/>
        <w:rPr>
          <w:i/>
          <w:color w:val="4472C4"/>
          <w:szCs w:val="21"/>
          <w:lang w:eastAsia="zh-CN"/>
        </w:rPr>
      </w:pPr>
      <w:permStart w:id="37"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7"/>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vAlign w:val="center"/>
          </w:tcPr>
          <w:p>
            <w:pPr>
              <w:jc w:val="both"/>
              <w:rPr>
                <w:color w:val="0070C0"/>
                <w:szCs w:val="21"/>
                <w:lang w:eastAsia="zh-CN"/>
              </w:rPr>
            </w:pPr>
            <w:r>
              <w:rPr>
                <w:rFonts w:ascii="宋体" w:hAnsi="宋体"/>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iCs/>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color w:val="0070C0"/>
                <w:szCs w:val="21"/>
                <w:lang w:eastAsia="zh-CN"/>
              </w:rPr>
            </w:pPr>
            <w:r>
              <w:rPr>
                <w:color w:val="000000"/>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center"/>
              <w:rPr>
                <w:szCs w:val="21"/>
                <w:lang w:eastAsia="zh-CN"/>
              </w:rPr>
            </w:pPr>
            <w:r>
              <w:rPr>
                <w:rFonts w:hint="eastAsia"/>
                <w:iCs/>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vAlign w:val="center"/>
          </w:tcPr>
          <w:p>
            <w:pPr>
              <w:jc w:val="both"/>
              <w:rPr>
                <w:color w:val="0070C0"/>
                <w:lang w:eastAsia="zh-CN"/>
              </w:rPr>
            </w:pPr>
            <w:r>
              <w:rPr>
                <w:rFonts w:ascii="宋体" w:hAnsi="宋体"/>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iCs/>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color w:val="000000"/>
                <w:lang w:eastAsia="zh-CN"/>
              </w:rPr>
              <w:t>设备运输在运输途中需做好防护措施，不得有任何损伤。</w:t>
            </w:r>
          </w:p>
        </w:tc>
        <w:tc>
          <w:tcPr>
            <w:tcW w:w="2125" w:type="dxa"/>
            <w:vAlign w:val="center"/>
          </w:tcPr>
          <w:p>
            <w:pPr>
              <w:jc w:val="center"/>
              <w:rPr>
                <w:szCs w:val="21"/>
                <w:lang w:eastAsia="zh-CN"/>
              </w:rPr>
            </w:pPr>
            <w:r>
              <w:rPr>
                <w:rFonts w:hint="eastAsia"/>
                <w:iCs/>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i/>
                <w:szCs w:val="21"/>
                <w:lang w:eastAsia="zh-CN"/>
              </w:rPr>
            </w:pPr>
            <w:r>
              <w:rPr>
                <w:rFonts w:hint="eastAsia" w:ascii="宋体" w:hAnsi="宋体"/>
                <w:szCs w:val="21"/>
                <w:lang w:val="en-US" w:eastAsia="zh-CN"/>
              </w:rPr>
              <w:t>供应商需要完成以下验证项目，并提供中文版验证文件</w:t>
            </w:r>
            <w:r>
              <w:rPr>
                <w:color w:val="000000"/>
                <w:lang w:eastAsia="zh-CN"/>
              </w:rPr>
              <w:t>。</w:t>
            </w:r>
            <w:r>
              <w:rPr>
                <w:rFonts w:hint="eastAsia" w:ascii="宋体" w:hAnsi="宋体"/>
                <w:szCs w:val="21"/>
                <w:lang w:val="en-US" w:eastAsia="zh-CN"/>
              </w:rPr>
              <w:t>安装确认（</w:t>
            </w:r>
            <w:r>
              <w:rPr>
                <w:rFonts w:ascii="宋体" w:hAnsi="宋体"/>
                <w:szCs w:val="21"/>
                <w:lang w:val="en-US" w:eastAsia="zh-CN"/>
              </w:rPr>
              <w:t>IQ</w:t>
            </w:r>
            <w:r>
              <w:rPr>
                <w:rFonts w:hint="eastAsia" w:ascii="宋体" w:hAnsi="宋体"/>
                <w:szCs w:val="21"/>
                <w:lang w:val="en-US" w:eastAsia="zh-CN"/>
              </w:rPr>
              <w:t>）；运行确认（</w:t>
            </w:r>
            <w:r>
              <w:rPr>
                <w:rFonts w:ascii="宋体" w:hAnsi="宋体"/>
                <w:szCs w:val="21"/>
                <w:lang w:val="en-US" w:eastAsia="zh-CN"/>
              </w:rPr>
              <w:t>OQ</w:t>
            </w:r>
            <w:r>
              <w:rPr>
                <w:rFonts w:hint="eastAsia" w:ascii="宋体" w:hAnsi="宋体"/>
                <w:szCs w:val="21"/>
                <w:lang w:val="en-US" w:eastAsia="zh-CN"/>
              </w:rPr>
              <w:t>）。</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szCs w:val="21"/>
                <w:lang w:val="en-US" w:eastAsia="zh-CN"/>
              </w:rPr>
              <w:t>供应商必须派出具备该类系统验证经验，且熟悉验证相关文件编写及验证工作实施的验证工程师开展验证工作,供应商协助完成</w:t>
            </w:r>
            <w:r>
              <w:rPr>
                <w:rFonts w:ascii="宋体" w:hAnsi="宋体"/>
                <w:szCs w:val="21"/>
                <w:lang w:val="en-US" w:eastAsia="zh-CN"/>
              </w:rPr>
              <w:t>PQ</w:t>
            </w:r>
            <w:r>
              <w:rPr>
                <w:rFonts w:hint="eastAsia" w:ascii="宋体" w:hAnsi="宋体"/>
                <w:szCs w:val="21"/>
                <w:lang w:val="en-US" w:eastAsia="zh-CN"/>
              </w:rPr>
              <w:t>。</w:t>
            </w:r>
          </w:p>
        </w:tc>
        <w:tc>
          <w:tcPr>
            <w:tcW w:w="2125" w:type="dxa"/>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szCs w:val="21"/>
                <w:lang w:val="en-US" w:eastAsia="zh-CN"/>
              </w:rPr>
              <w:t>验证工作应按时保质完成，供应商需提供验证工作计划表。</w:t>
            </w:r>
          </w:p>
        </w:tc>
        <w:tc>
          <w:tcPr>
            <w:tcW w:w="2125" w:type="dxa"/>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szCs w:val="21"/>
                <w:lang w:val="en-US" w:eastAsia="zh-CN"/>
              </w:rPr>
              <w:t>验证工作完成后，验证文件应经本公司相关部门审核，并经质量保证部批准。</w:t>
            </w:r>
          </w:p>
        </w:tc>
        <w:tc>
          <w:tcPr>
            <w:tcW w:w="2125" w:type="dxa"/>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szCs w:val="21"/>
                <w:lang w:val="en-US" w:eastAsia="zh-CN"/>
              </w:rPr>
              <w:t>验收前，验证工作已成功完成，验证最终报告已经本公司相关部门审核，并经质量保证部批准。</w:t>
            </w:r>
          </w:p>
        </w:tc>
        <w:tc>
          <w:tcPr>
            <w:tcW w:w="2125" w:type="dxa"/>
            <w:vAlign w:val="center"/>
          </w:tcPr>
          <w:p>
            <w:pPr>
              <w:jc w:val="center"/>
              <w:rPr>
                <w:szCs w:val="21"/>
                <w:lang w:val="en-US" w:eastAsia="zh-CN"/>
              </w:rPr>
            </w:pPr>
            <w:r>
              <w:rPr>
                <w:rFonts w:hint="eastAsia"/>
                <w:iCs/>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设备质保期为一年，一年内免费保修，一年后应提供良好的售后服务</w:t>
            </w:r>
          </w:p>
        </w:tc>
        <w:tc>
          <w:tcPr>
            <w:tcW w:w="2125" w:type="dxa"/>
            <w:vAlign w:val="center"/>
          </w:tcPr>
          <w:p>
            <w:pPr>
              <w:jc w:val="center"/>
              <w:rPr>
                <w:szCs w:val="21"/>
                <w:lang w:eastAsia="zh-CN"/>
              </w:rPr>
            </w:pPr>
            <w:r>
              <w:rPr>
                <w:rFonts w:hint="eastAsia"/>
                <w:iCs/>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ascii="宋体" w:hAnsi="宋体"/>
                <w:szCs w:val="21"/>
                <w:lang w:eastAsia="zh-CN"/>
              </w:rPr>
              <w:t>售后服务必须响应及时，要求设备出现须厂家维修的故障后，应在</w:t>
            </w:r>
            <w:r>
              <w:rPr>
                <w:szCs w:val="21"/>
                <w:lang w:eastAsia="zh-CN"/>
              </w:rPr>
              <w:t>4</w:t>
            </w:r>
            <w:r>
              <w:rPr>
                <w:rFonts w:hint="eastAsia" w:ascii="宋体" w:hAnsi="宋体"/>
                <w:szCs w:val="21"/>
                <w:lang w:eastAsia="zh-CN"/>
              </w:rPr>
              <w:t>小时内明确答复，当电话沟通无法解决时，须</w:t>
            </w:r>
            <w:r>
              <w:rPr>
                <w:szCs w:val="21"/>
                <w:lang w:eastAsia="zh-CN"/>
              </w:rPr>
              <w:t>24</w:t>
            </w:r>
            <w:r>
              <w:rPr>
                <w:rFonts w:hint="eastAsia" w:ascii="宋体" w:hAnsi="宋体"/>
                <w:szCs w:val="21"/>
                <w:lang w:eastAsia="zh-CN"/>
              </w:rPr>
              <w:t>小时内派人至现场解决。</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易损件需配备一套备用</w:t>
            </w:r>
          </w:p>
        </w:tc>
        <w:tc>
          <w:tcPr>
            <w:tcW w:w="2125" w:type="dxa"/>
            <w:vAlign w:val="center"/>
          </w:tcPr>
          <w:p>
            <w:pPr>
              <w:jc w:val="center"/>
              <w:rPr>
                <w:szCs w:val="21"/>
                <w:lang w:eastAsia="zh-CN"/>
              </w:rPr>
            </w:pPr>
            <w:r>
              <w:rPr>
                <w:rFonts w:hint="eastAsia"/>
                <w:iCs/>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vAlign w:val="center"/>
          </w:tcPr>
          <w:p>
            <w:pPr>
              <w:jc w:val="center"/>
              <w:rPr>
                <w:szCs w:val="21"/>
                <w:lang w:eastAsia="zh-CN"/>
              </w:rPr>
            </w:pPr>
            <w:r>
              <w:rPr>
                <w:rFonts w:hint="eastAsia"/>
                <w:iCs/>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rFonts w:hint="eastAsia" w:ascii="宋体" w:hAnsi="宋体"/>
                <w:szCs w:val="21"/>
                <w:lang w:eastAsia="zh-CN"/>
              </w:rPr>
              <w:t>供应商进厂施工需遵守安全和施工规定。</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设备经相关部门验收合格后，确认设备验收合格后，买卖双方签订验收报告。</w:t>
            </w:r>
          </w:p>
        </w:tc>
        <w:tc>
          <w:tcPr>
            <w:tcW w:w="2125" w:type="dxa"/>
            <w:vAlign w:val="center"/>
          </w:tcPr>
          <w:p>
            <w:pPr>
              <w:jc w:val="center"/>
              <w:rPr>
                <w:szCs w:val="21"/>
                <w:lang w:eastAsia="zh-CN"/>
              </w:rPr>
            </w:pPr>
            <w:r>
              <w:rPr>
                <w:rFonts w:hint="eastAsia"/>
                <w:iCs/>
                <w:szCs w:val="21"/>
                <w:lang w:eastAsia="zh-CN"/>
              </w:rPr>
              <w:t>关键</w:t>
            </w:r>
          </w:p>
        </w:tc>
      </w:tr>
      <w:permEnd w:id="46"/>
    </w:tbl>
    <w:p/>
    <w:p>
      <w:pPr>
        <w:pStyle w:val="31"/>
        <w:numPr>
          <w:ilvl w:val="0"/>
          <w:numId w:val="3"/>
        </w:numPr>
        <w:spacing w:after="158" w:afterLines="50"/>
        <w:ind w:left="426" w:hanging="426" w:hangingChars="202"/>
        <w:outlineLvl w:val="0"/>
        <w:rPr>
          <w:rFonts w:ascii="Times New Roman" w:hAnsi="Times New Roman"/>
          <w:b/>
        </w:rPr>
      </w:pPr>
      <w:bookmarkStart w:id="47" w:name="_Toc522716126"/>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5"/>
        <w:spacing w:before="0" w:line="360" w:lineRule="auto"/>
        <w:ind w:left="357"/>
        <w:jc w:val="left"/>
        <w:rPr>
          <w:color w:val="4472C4"/>
          <w:szCs w:val="21"/>
          <w:lang w:eastAsia="zh-CN"/>
        </w:rPr>
      </w:pPr>
      <w:permStart w:id="47" w:edGrp="everyone"/>
      <w:r>
        <w:rPr>
          <w:szCs w:val="21"/>
          <w:lang w:eastAsia="zh-CN"/>
        </w:rPr>
        <w:t>N/A</w:t>
      </w:r>
      <w:permEnd w:id="4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2943692">
    <w:nsid w:val="16D341CC"/>
    <w:multiLevelType w:val="multilevel"/>
    <w:tmpl w:val="16D341CC"/>
    <w:lvl w:ilvl="0" w:tentative="1">
      <w:start w:val="1"/>
      <w:numFmt w:val="decimal"/>
      <w:lvlText w:val="URS %1"/>
      <w:lvlJc w:val="left"/>
      <w:pPr>
        <w:ind w:left="420"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1EFE"/>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0CD1"/>
    <w:rsid w:val="00031243"/>
    <w:rsid w:val="00031900"/>
    <w:rsid w:val="00033AF9"/>
    <w:rsid w:val="000355F3"/>
    <w:rsid w:val="00036FBD"/>
    <w:rsid w:val="00037987"/>
    <w:rsid w:val="00037F15"/>
    <w:rsid w:val="00037F55"/>
    <w:rsid w:val="000404F1"/>
    <w:rsid w:val="00041104"/>
    <w:rsid w:val="00041A2A"/>
    <w:rsid w:val="00041D89"/>
    <w:rsid w:val="00044DFD"/>
    <w:rsid w:val="00045C39"/>
    <w:rsid w:val="000467C2"/>
    <w:rsid w:val="00046B5E"/>
    <w:rsid w:val="00047038"/>
    <w:rsid w:val="00047BA8"/>
    <w:rsid w:val="00047CAF"/>
    <w:rsid w:val="00050E43"/>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011A"/>
    <w:rsid w:val="000818AC"/>
    <w:rsid w:val="00082C13"/>
    <w:rsid w:val="00083D58"/>
    <w:rsid w:val="000844A8"/>
    <w:rsid w:val="00084F90"/>
    <w:rsid w:val="00086564"/>
    <w:rsid w:val="00086CA0"/>
    <w:rsid w:val="00087002"/>
    <w:rsid w:val="00087A5B"/>
    <w:rsid w:val="00087B75"/>
    <w:rsid w:val="00091A59"/>
    <w:rsid w:val="00092C03"/>
    <w:rsid w:val="00096510"/>
    <w:rsid w:val="0009764B"/>
    <w:rsid w:val="00097A7D"/>
    <w:rsid w:val="00097CA2"/>
    <w:rsid w:val="000A1D9E"/>
    <w:rsid w:val="000A2664"/>
    <w:rsid w:val="000A2851"/>
    <w:rsid w:val="000A2C3C"/>
    <w:rsid w:val="000A41DA"/>
    <w:rsid w:val="000A55CC"/>
    <w:rsid w:val="000A5CEE"/>
    <w:rsid w:val="000A6423"/>
    <w:rsid w:val="000A6661"/>
    <w:rsid w:val="000A6A09"/>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55DD"/>
    <w:rsid w:val="00106571"/>
    <w:rsid w:val="00106B5D"/>
    <w:rsid w:val="00110CF0"/>
    <w:rsid w:val="001120B7"/>
    <w:rsid w:val="0011231F"/>
    <w:rsid w:val="00112670"/>
    <w:rsid w:val="00112DD4"/>
    <w:rsid w:val="00112F30"/>
    <w:rsid w:val="00113FFF"/>
    <w:rsid w:val="00114353"/>
    <w:rsid w:val="001144F0"/>
    <w:rsid w:val="00115728"/>
    <w:rsid w:val="001163FC"/>
    <w:rsid w:val="00116F39"/>
    <w:rsid w:val="00117A01"/>
    <w:rsid w:val="00121B6E"/>
    <w:rsid w:val="00122051"/>
    <w:rsid w:val="00124244"/>
    <w:rsid w:val="00124915"/>
    <w:rsid w:val="00124E69"/>
    <w:rsid w:val="00125CC1"/>
    <w:rsid w:val="001273B0"/>
    <w:rsid w:val="00127CB8"/>
    <w:rsid w:val="001313C3"/>
    <w:rsid w:val="00132F4C"/>
    <w:rsid w:val="00134C68"/>
    <w:rsid w:val="00135FD6"/>
    <w:rsid w:val="001374CF"/>
    <w:rsid w:val="001417F1"/>
    <w:rsid w:val="00143952"/>
    <w:rsid w:val="001442AB"/>
    <w:rsid w:val="0014477D"/>
    <w:rsid w:val="00144D00"/>
    <w:rsid w:val="00144E8A"/>
    <w:rsid w:val="00145034"/>
    <w:rsid w:val="0014560D"/>
    <w:rsid w:val="00145DC7"/>
    <w:rsid w:val="00145F74"/>
    <w:rsid w:val="00146568"/>
    <w:rsid w:val="00150BCC"/>
    <w:rsid w:val="001541A9"/>
    <w:rsid w:val="001544B4"/>
    <w:rsid w:val="001549D1"/>
    <w:rsid w:val="00154CD3"/>
    <w:rsid w:val="00155295"/>
    <w:rsid w:val="001560AD"/>
    <w:rsid w:val="0015633E"/>
    <w:rsid w:val="0015752C"/>
    <w:rsid w:val="0016077F"/>
    <w:rsid w:val="00160CEA"/>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1D36"/>
    <w:rsid w:val="00182A27"/>
    <w:rsid w:val="0018335F"/>
    <w:rsid w:val="00184DDD"/>
    <w:rsid w:val="00184FFD"/>
    <w:rsid w:val="00185449"/>
    <w:rsid w:val="00186314"/>
    <w:rsid w:val="00187B04"/>
    <w:rsid w:val="00190000"/>
    <w:rsid w:val="001929C2"/>
    <w:rsid w:val="00192B8F"/>
    <w:rsid w:val="00192DE4"/>
    <w:rsid w:val="00193D66"/>
    <w:rsid w:val="00194BB7"/>
    <w:rsid w:val="001A1DE7"/>
    <w:rsid w:val="001A3BB0"/>
    <w:rsid w:val="001A4947"/>
    <w:rsid w:val="001A64C0"/>
    <w:rsid w:val="001A685F"/>
    <w:rsid w:val="001A7EB6"/>
    <w:rsid w:val="001A7FE4"/>
    <w:rsid w:val="001B0278"/>
    <w:rsid w:val="001B28C8"/>
    <w:rsid w:val="001B4654"/>
    <w:rsid w:val="001B6432"/>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4ED9"/>
    <w:rsid w:val="001E5657"/>
    <w:rsid w:val="001E5F94"/>
    <w:rsid w:val="001E744F"/>
    <w:rsid w:val="001F0557"/>
    <w:rsid w:val="001F065A"/>
    <w:rsid w:val="001F1FE7"/>
    <w:rsid w:val="001F25DD"/>
    <w:rsid w:val="001F334F"/>
    <w:rsid w:val="001F3552"/>
    <w:rsid w:val="001F473D"/>
    <w:rsid w:val="001F4BFD"/>
    <w:rsid w:val="001F7405"/>
    <w:rsid w:val="001F7E95"/>
    <w:rsid w:val="00201487"/>
    <w:rsid w:val="00202219"/>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669B0"/>
    <w:rsid w:val="0027137F"/>
    <w:rsid w:val="002723D2"/>
    <w:rsid w:val="002732E5"/>
    <w:rsid w:val="002745D9"/>
    <w:rsid w:val="00274823"/>
    <w:rsid w:val="0027577D"/>
    <w:rsid w:val="00275F43"/>
    <w:rsid w:val="002810E3"/>
    <w:rsid w:val="00282EAA"/>
    <w:rsid w:val="0028384D"/>
    <w:rsid w:val="0028525D"/>
    <w:rsid w:val="00285DCC"/>
    <w:rsid w:val="002860DB"/>
    <w:rsid w:val="00286CE5"/>
    <w:rsid w:val="0029023F"/>
    <w:rsid w:val="002913B7"/>
    <w:rsid w:val="00291541"/>
    <w:rsid w:val="00291C5E"/>
    <w:rsid w:val="00292353"/>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0B10"/>
    <w:rsid w:val="002D2477"/>
    <w:rsid w:val="002D2AAB"/>
    <w:rsid w:val="002D691F"/>
    <w:rsid w:val="002D6A50"/>
    <w:rsid w:val="002D6D1C"/>
    <w:rsid w:val="002E077F"/>
    <w:rsid w:val="002E1D21"/>
    <w:rsid w:val="002E3B36"/>
    <w:rsid w:val="002E59BF"/>
    <w:rsid w:val="002E63F6"/>
    <w:rsid w:val="002E69A1"/>
    <w:rsid w:val="002F1C5E"/>
    <w:rsid w:val="002F1D63"/>
    <w:rsid w:val="002F340E"/>
    <w:rsid w:val="002F4181"/>
    <w:rsid w:val="002F4392"/>
    <w:rsid w:val="002F4641"/>
    <w:rsid w:val="002F4B22"/>
    <w:rsid w:val="00302176"/>
    <w:rsid w:val="00302AF8"/>
    <w:rsid w:val="00303A64"/>
    <w:rsid w:val="00304F42"/>
    <w:rsid w:val="00304F96"/>
    <w:rsid w:val="00305477"/>
    <w:rsid w:val="00306131"/>
    <w:rsid w:val="00311B2C"/>
    <w:rsid w:val="00311EE4"/>
    <w:rsid w:val="0031318B"/>
    <w:rsid w:val="003137B7"/>
    <w:rsid w:val="00314406"/>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36E75"/>
    <w:rsid w:val="00341B2F"/>
    <w:rsid w:val="00342915"/>
    <w:rsid w:val="00344B04"/>
    <w:rsid w:val="00345847"/>
    <w:rsid w:val="00347576"/>
    <w:rsid w:val="00347772"/>
    <w:rsid w:val="00347A51"/>
    <w:rsid w:val="00347B19"/>
    <w:rsid w:val="003500BF"/>
    <w:rsid w:val="003514DF"/>
    <w:rsid w:val="003531FA"/>
    <w:rsid w:val="0035416F"/>
    <w:rsid w:val="003549FE"/>
    <w:rsid w:val="00355AAC"/>
    <w:rsid w:val="00355D7D"/>
    <w:rsid w:val="003647CA"/>
    <w:rsid w:val="00370514"/>
    <w:rsid w:val="0037056A"/>
    <w:rsid w:val="003726DF"/>
    <w:rsid w:val="0037345A"/>
    <w:rsid w:val="00373FFA"/>
    <w:rsid w:val="0037455F"/>
    <w:rsid w:val="00374BE8"/>
    <w:rsid w:val="00376C31"/>
    <w:rsid w:val="00380EB7"/>
    <w:rsid w:val="003810F5"/>
    <w:rsid w:val="00381C39"/>
    <w:rsid w:val="00381CF6"/>
    <w:rsid w:val="0038326A"/>
    <w:rsid w:val="0038367F"/>
    <w:rsid w:val="00385002"/>
    <w:rsid w:val="00387B81"/>
    <w:rsid w:val="00391016"/>
    <w:rsid w:val="00393529"/>
    <w:rsid w:val="00393B6A"/>
    <w:rsid w:val="00394006"/>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B7A75"/>
    <w:rsid w:val="003C02C6"/>
    <w:rsid w:val="003C03D7"/>
    <w:rsid w:val="003C0712"/>
    <w:rsid w:val="003C558E"/>
    <w:rsid w:val="003C6ECF"/>
    <w:rsid w:val="003C73BC"/>
    <w:rsid w:val="003D2243"/>
    <w:rsid w:val="003D3C09"/>
    <w:rsid w:val="003D464A"/>
    <w:rsid w:val="003D4EFF"/>
    <w:rsid w:val="003D5F4A"/>
    <w:rsid w:val="003D662C"/>
    <w:rsid w:val="003D77E5"/>
    <w:rsid w:val="003D7980"/>
    <w:rsid w:val="003E49F8"/>
    <w:rsid w:val="003E5109"/>
    <w:rsid w:val="003E5507"/>
    <w:rsid w:val="003E60EE"/>
    <w:rsid w:val="003E6B48"/>
    <w:rsid w:val="003E748F"/>
    <w:rsid w:val="003F3F47"/>
    <w:rsid w:val="003F6E0C"/>
    <w:rsid w:val="004003A8"/>
    <w:rsid w:val="0040240E"/>
    <w:rsid w:val="00402756"/>
    <w:rsid w:val="00404175"/>
    <w:rsid w:val="00405B3A"/>
    <w:rsid w:val="004074DC"/>
    <w:rsid w:val="00410FF3"/>
    <w:rsid w:val="004111CC"/>
    <w:rsid w:val="004122A3"/>
    <w:rsid w:val="004153CC"/>
    <w:rsid w:val="00416E8B"/>
    <w:rsid w:val="00420273"/>
    <w:rsid w:val="00420AA0"/>
    <w:rsid w:val="0042116C"/>
    <w:rsid w:val="00422D19"/>
    <w:rsid w:val="00422DFE"/>
    <w:rsid w:val="00424D83"/>
    <w:rsid w:val="00424E29"/>
    <w:rsid w:val="004274B4"/>
    <w:rsid w:val="00427D22"/>
    <w:rsid w:val="00427E2D"/>
    <w:rsid w:val="00432568"/>
    <w:rsid w:val="004362D4"/>
    <w:rsid w:val="00436C7C"/>
    <w:rsid w:val="00437440"/>
    <w:rsid w:val="00440378"/>
    <w:rsid w:val="00442B53"/>
    <w:rsid w:val="00443256"/>
    <w:rsid w:val="00444D2D"/>
    <w:rsid w:val="004510B1"/>
    <w:rsid w:val="00451C5D"/>
    <w:rsid w:val="00451D74"/>
    <w:rsid w:val="00452E73"/>
    <w:rsid w:val="00453375"/>
    <w:rsid w:val="004545FD"/>
    <w:rsid w:val="004565EF"/>
    <w:rsid w:val="00457FF9"/>
    <w:rsid w:val="004601ED"/>
    <w:rsid w:val="00460711"/>
    <w:rsid w:val="0046108B"/>
    <w:rsid w:val="00467AE6"/>
    <w:rsid w:val="00467EC9"/>
    <w:rsid w:val="00477791"/>
    <w:rsid w:val="00480286"/>
    <w:rsid w:val="00480C3B"/>
    <w:rsid w:val="00480FE3"/>
    <w:rsid w:val="004815CC"/>
    <w:rsid w:val="00481C94"/>
    <w:rsid w:val="00482D58"/>
    <w:rsid w:val="00484A8D"/>
    <w:rsid w:val="00486A4E"/>
    <w:rsid w:val="00486B09"/>
    <w:rsid w:val="0049139F"/>
    <w:rsid w:val="00494F07"/>
    <w:rsid w:val="00496116"/>
    <w:rsid w:val="004965A0"/>
    <w:rsid w:val="00497335"/>
    <w:rsid w:val="004A05A7"/>
    <w:rsid w:val="004A2E6B"/>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E547A"/>
    <w:rsid w:val="004E5CFB"/>
    <w:rsid w:val="004F0539"/>
    <w:rsid w:val="004F0885"/>
    <w:rsid w:val="004F10A4"/>
    <w:rsid w:val="004F342E"/>
    <w:rsid w:val="004F43C1"/>
    <w:rsid w:val="004F4C63"/>
    <w:rsid w:val="004F5AE6"/>
    <w:rsid w:val="004F5C19"/>
    <w:rsid w:val="004F6CA3"/>
    <w:rsid w:val="004F7B6A"/>
    <w:rsid w:val="0050090F"/>
    <w:rsid w:val="0050208D"/>
    <w:rsid w:val="0050284B"/>
    <w:rsid w:val="00502F99"/>
    <w:rsid w:val="00504B71"/>
    <w:rsid w:val="0050628A"/>
    <w:rsid w:val="00507991"/>
    <w:rsid w:val="00507C94"/>
    <w:rsid w:val="00507EB2"/>
    <w:rsid w:val="00510111"/>
    <w:rsid w:val="00511AB4"/>
    <w:rsid w:val="00512690"/>
    <w:rsid w:val="00512A4E"/>
    <w:rsid w:val="00514EA4"/>
    <w:rsid w:val="00516BB4"/>
    <w:rsid w:val="0051702A"/>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6787"/>
    <w:rsid w:val="00597FCC"/>
    <w:rsid w:val="005A01C3"/>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3B68"/>
    <w:rsid w:val="005D42FF"/>
    <w:rsid w:val="005E2725"/>
    <w:rsid w:val="005E65FA"/>
    <w:rsid w:val="005E6D2B"/>
    <w:rsid w:val="005F19CE"/>
    <w:rsid w:val="005F28F4"/>
    <w:rsid w:val="005F43BB"/>
    <w:rsid w:val="005F4C81"/>
    <w:rsid w:val="005F503E"/>
    <w:rsid w:val="005F6CB3"/>
    <w:rsid w:val="005F7612"/>
    <w:rsid w:val="005F7663"/>
    <w:rsid w:val="005F7D63"/>
    <w:rsid w:val="00607170"/>
    <w:rsid w:val="00607408"/>
    <w:rsid w:val="00610AEE"/>
    <w:rsid w:val="00616BAC"/>
    <w:rsid w:val="00620598"/>
    <w:rsid w:val="0062081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B48"/>
    <w:rsid w:val="006506CF"/>
    <w:rsid w:val="00650A76"/>
    <w:rsid w:val="00650CD0"/>
    <w:rsid w:val="00650DA4"/>
    <w:rsid w:val="00651DA5"/>
    <w:rsid w:val="006520F6"/>
    <w:rsid w:val="00652D22"/>
    <w:rsid w:val="00656797"/>
    <w:rsid w:val="00656AC1"/>
    <w:rsid w:val="006571EC"/>
    <w:rsid w:val="0066086B"/>
    <w:rsid w:val="00660A8C"/>
    <w:rsid w:val="006629A4"/>
    <w:rsid w:val="006632B2"/>
    <w:rsid w:val="00664084"/>
    <w:rsid w:val="0066445E"/>
    <w:rsid w:val="00667045"/>
    <w:rsid w:val="00670A00"/>
    <w:rsid w:val="00670C23"/>
    <w:rsid w:val="00672B86"/>
    <w:rsid w:val="00673031"/>
    <w:rsid w:val="00673EB3"/>
    <w:rsid w:val="00676BF6"/>
    <w:rsid w:val="00680BE8"/>
    <w:rsid w:val="00686409"/>
    <w:rsid w:val="00686D19"/>
    <w:rsid w:val="0068777F"/>
    <w:rsid w:val="00693018"/>
    <w:rsid w:val="0069588C"/>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092E"/>
    <w:rsid w:val="006E152B"/>
    <w:rsid w:val="006E36D1"/>
    <w:rsid w:val="006E4002"/>
    <w:rsid w:val="006E4DB6"/>
    <w:rsid w:val="006E622E"/>
    <w:rsid w:val="006E7938"/>
    <w:rsid w:val="006E79FB"/>
    <w:rsid w:val="006F229A"/>
    <w:rsid w:val="006F3BB9"/>
    <w:rsid w:val="006F4AA6"/>
    <w:rsid w:val="006F598E"/>
    <w:rsid w:val="006F689B"/>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5190"/>
    <w:rsid w:val="00736FFB"/>
    <w:rsid w:val="00740080"/>
    <w:rsid w:val="00740913"/>
    <w:rsid w:val="00741A30"/>
    <w:rsid w:val="007504DC"/>
    <w:rsid w:val="0075142F"/>
    <w:rsid w:val="00751965"/>
    <w:rsid w:val="007524EF"/>
    <w:rsid w:val="00752689"/>
    <w:rsid w:val="00756D1D"/>
    <w:rsid w:val="00757A3E"/>
    <w:rsid w:val="00760886"/>
    <w:rsid w:val="007615CA"/>
    <w:rsid w:val="00761ADD"/>
    <w:rsid w:val="00762B3A"/>
    <w:rsid w:val="00765449"/>
    <w:rsid w:val="00765D6E"/>
    <w:rsid w:val="00765D7E"/>
    <w:rsid w:val="007674B6"/>
    <w:rsid w:val="00770E90"/>
    <w:rsid w:val="00772C42"/>
    <w:rsid w:val="0077302F"/>
    <w:rsid w:val="00773661"/>
    <w:rsid w:val="00774A61"/>
    <w:rsid w:val="00774E08"/>
    <w:rsid w:val="00774E72"/>
    <w:rsid w:val="0077746F"/>
    <w:rsid w:val="007775FE"/>
    <w:rsid w:val="00780A5F"/>
    <w:rsid w:val="007819DD"/>
    <w:rsid w:val="00784913"/>
    <w:rsid w:val="00785B90"/>
    <w:rsid w:val="0078639C"/>
    <w:rsid w:val="007913D3"/>
    <w:rsid w:val="0079790C"/>
    <w:rsid w:val="007A102A"/>
    <w:rsid w:val="007A15E6"/>
    <w:rsid w:val="007A194B"/>
    <w:rsid w:val="007A2C01"/>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6EB"/>
    <w:rsid w:val="00827EA4"/>
    <w:rsid w:val="008301D6"/>
    <w:rsid w:val="00830443"/>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4D37"/>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36A0"/>
    <w:rsid w:val="008A4E05"/>
    <w:rsid w:val="008A56DB"/>
    <w:rsid w:val="008A6CFC"/>
    <w:rsid w:val="008B2125"/>
    <w:rsid w:val="008B25D4"/>
    <w:rsid w:val="008B38E5"/>
    <w:rsid w:val="008B58C4"/>
    <w:rsid w:val="008B6CD2"/>
    <w:rsid w:val="008B72DD"/>
    <w:rsid w:val="008C050B"/>
    <w:rsid w:val="008C1132"/>
    <w:rsid w:val="008C2B77"/>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5E3E"/>
    <w:rsid w:val="008D6227"/>
    <w:rsid w:val="008D7A8B"/>
    <w:rsid w:val="008E41D3"/>
    <w:rsid w:val="008E43F1"/>
    <w:rsid w:val="008E594F"/>
    <w:rsid w:val="008E7312"/>
    <w:rsid w:val="008F297F"/>
    <w:rsid w:val="008F447E"/>
    <w:rsid w:val="00904BA9"/>
    <w:rsid w:val="00904E7E"/>
    <w:rsid w:val="009076D4"/>
    <w:rsid w:val="0091086B"/>
    <w:rsid w:val="00911129"/>
    <w:rsid w:val="00912EA3"/>
    <w:rsid w:val="009135C7"/>
    <w:rsid w:val="00914B6E"/>
    <w:rsid w:val="009156A2"/>
    <w:rsid w:val="0091579A"/>
    <w:rsid w:val="0091615D"/>
    <w:rsid w:val="00923F7E"/>
    <w:rsid w:val="00924C96"/>
    <w:rsid w:val="00925030"/>
    <w:rsid w:val="00925B32"/>
    <w:rsid w:val="00930A64"/>
    <w:rsid w:val="00930BE5"/>
    <w:rsid w:val="00931403"/>
    <w:rsid w:val="00934991"/>
    <w:rsid w:val="009351A7"/>
    <w:rsid w:val="0093640F"/>
    <w:rsid w:val="0094180B"/>
    <w:rsid w:val="009426B9"/>
    <w:rsid w:val="00944E85"/>
    <w:rsid w:val="00945459"/>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66B7"/>
    <w:rsid w:val="00997844"/>
    <w:rsid w:val="009978C2"/>
    <w:rsid w:val="009A345F"/>
    <w:rsid w:val="009A4AE5"/>
    <w:rsid w:val="009A5218"/>
    <w:rsid w:val="009A6806"/>
    <w:rsid w:val="009B1717"/>
    <w:rsid w:val="009B22D2"/>
    <w:rsid w:val="009B27F2"/>
    <w:rsid w:val="009B2839"/>
    <w:rsid w:val="009B4C17"/>
    <w:rsid w:val="009B5BF6"/>
    <w:rsid w:val="009C1C79"/>
    <w:rsid w:val="009C2934"/>
    <w:rsid w:val="009C339C"/>
    <w:rsid w:val="009C33B8"/>
    <w:rsid w:val="009D07A0"/>
    <w:rsid w:val="009D107D"/>
    <w:rsid w:val="009D1871"/>
    <w:rsid w:val="009D2985"/>
    <w:rsid w:val="009D3033"/>
    <w:rsid w:val="009D5770"/>
    <w:rsid w:val="009D6759"/>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6AA"/>
    <w:rsid w:val="00A049F9"/>
    <w:rsid w:val="00A0529B"/>
    <w:rsid w:val="00A0766F"/>
    <w:rsid w:val="00A10713"/>
    <w:rsid w:val="00A1252C"/>
    <w:rsid w:val="00A13B8B"/>
    <w:rsid w:val="00A151B7"/>
    <w:rsid w:val="00A1782D"/>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363"/>
    <w:rsid w:val="00A51476"/>
    <w:rsid w:val="00A526D2"/>
    <w:rsid w:val="00A54412"/>
    <w:rsid w:val="00A5498B"/>
    <w:rsid w:val="00A550C8"/>
    <w:rsid w:val="00A5564C"/>
    <w:rsid w:val="00A559EC"/>
    <w:rsid w:val="00A569F8"/>
    <w:rsid w:val="00A56E60"/>
    <w:rsid w:val="00A571B3"/>
    <w:rsid w:val="00A57A8F"/>
    <w:rsid w:val="00A61884"/>
    <w:rsid w:val="00A626B5"/>
    <w:rsid w:val="00A62DF0"/>
    <w:rsid w:val="00A63620"/>
    <w:rsid w:val="00A63ECE"/>
    <w:rsid w:val="00A66342"/>
    <w:rsid w:val="00A665C8"/>
    <w:rsid w:val="00A6749E"/>
    <w:rsid w:val="00A67D7A"/>
    <w:rsid w:val="00A70D88"/>
    <w:rsid w:val="00A71142"/>
    <w:rsid w:val="00A72895"/>
    <w:rsid w:val="00A73520"/>
    <w:rsid w:val="00A74589"/>
    <w:rsid w:val="00A74E1B"/>
    <w:rsid w:val="00A75050"/>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1CEF"/>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2833"/>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731"/>
    <w:rsid w:val="00B15D01"/>
    <w:rsid w:val="00B20EBF"/>
    <w:rsid w:val="00B24F44"/>
    <w:rsid w:val="00B25428"/>
    <w:rsid w:val="00B255BB"/>
    <w:rsid w:val="00B25E24"/>
    <w:rsid w:val="00B2609A"/>
    <w:rsid w:val="00B301B1"/>
    <w:rsid w:val="00B353E7"/>
    <w:rsid w:val="00B35759"/>
    <w:rsid w:val="00B3619A"/>
    <w:rsid w:val="00B365B7"/>
    <w:rsid w:val="00B40BCA"/>
    <w:rsid w:val="00B40D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0A9C"/>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461"/>
    <w:rsid w:val="00BC68C3"/>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03A"/>
    <w:rsid w:val="00C005D8"/>
    <w:rsid w:val="00C02F31"/>
    <w:rsid w:val="00C04DA5"/>
    <w:rsid w:val="00C050FC"/>
    <w:rsid w:val="00C05D40"/>
    <w:rsid w:val="00C07F6B"/>
    <w:rsid w:val="00C113BA"/>
    <w:rsid w:val="00C11905"/>
    <w:rsid w:val="00C14462"/>
    <w:rsid w:val="00C16542"/>
    <w:rsid w:val="00C22382"/>
    <w:rsid w:val="00C2355B"/>
    <w:rsid w:val="00C254C0"/>
    <w:rsid w:val="00C274A6"/>
    <w:rsid w:val="00C34201"/>
    <w:rsid w:val="00C35A38"/>
    <w:rsid w:val="00C35EC9"/>
    <w:rsid w:val="00C36807"/>
    <w:rsid w:val="00C37392"/>
    <w:rsid w:val="00C41545"/>
    <w:rsid w:val="00C4209D"/>
    <w:rsid w:val="00C432B3"/>
    <w:rsid w:val="00C45E98"/>
    <w:rsid w:val="00C4771E"/>
    <w:rsid w:val="00C47D15"/>
    <w:rsid w:val="00C50279"/>
    <w:rsid w:val="00C505EC"/>
    <w:rsid w:val="00C5165A"/>
    <w:rsid w:val="00C52841"/>
    <w:rsid w:val="00C52A6C"/>
    <w:rsid w:val="00C54FC6"/>
    <w:rsid w:val="00C56F88"/>
    <w:rsid w:val="00C57B7E"/>
    <w:rsid w:val="00C60217"/>
    <w:rsid w:val="00C63AFF"/>
    <w:rsid w:val="00C66D15"/>
    <w:rsid w:val="00C671D0"/>
    <w:rsid w:val="00C70449"/>
    <w:rsid w:val="00C7071B"/>
    <w:rsid w:val="00C73904"/>
    <w:rsid w:val="00C73BAE"/>
    <w:rsid w:val="00C73F7B"/>
    <w:rsid w:val="00C74055"/>
    <w:rsid w:val="00C7421D"/>
    <w:rsid w:val="00C76481"/>
    <w:rsid w:val="00C76812"/>
    <w:rsid w:val="00C8028C"/>
    <w:rsid w:val="00C83D88"/>
    <w:rsid w:val="00C84961"/>
    <w:rsid w:val="00C84B06"/>
    <w:rsid w:val="00C87100"/>
    <w:rsid w:val="00C87CAC"/>
    <w:rsid w:val="00C913A1"/>
    <w:rsid w:val="00C950D6"/>
    <w:rsid w:val="00C97646"/>
    <w:rsid w:val="00C97672"/>
    <w:rsid w:val="00CA31DF"/>
    <w:rsid w:val="00CA55BD"/>
    <w:rsid w:val="00CB0837"/>
    <w:rsid w:val="00CB2BFA"/>
    <w:rsid w:val="00CB3888"/>
    <w:rsid w:val="00CB400E"/>
    <w:rsid w:val="00CB48F6"/>
    <w:rsid w:val="00CB5F04"/>
    <w:rsid w:val="00CB67F1"/>
    <w:rsid w:val="00CB68A8"/>
    <w:rsid w:val="00CB7DC8"/>
    <w:rsid w:val="00CC0EC0"/>
    <w:rsid w:val="00CC34DB"/>
    <w:rsid w:val="00CC51AC"/>
    <w:rsid w:val="00CC609D"/>
    <w:rsid w:val="00CC7044"/>
    <w:rsid w:val="00CD11FF"/>
    <w:rsid w:val="00CD15E7"/>
    <w:rsid w:val="00CE07A9"/>
    <w:rsid w:val="00CE1012"/>
    <w:rsid w:val="00CE32A0"/>
    <w:rsid w:val="00CE419E"/>
    <w:rsid w:val="00CE5011"/>
    <w:rsid w:val="00CE574A"/>
    <w:rsid w:val="00CE5DC5"/>
    <w:rsid w:val="00CE5DC8"/>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5FDF"/>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1CA1"/>
    <w:rsid w:val="00D83D95"/>
    <w:rsid w:val="00D90293"/>
    <w:rsid w:val="00D90496"/>
    <w:rsid w:val="00D917BC"/>
    <w:rsid w:val="00D942DE"/>
    <w:rsid w:val="00D9491E"/>
    <w:rsid w:val="00DA070D"/>
    <w:rsid w:val="00DA3B2F"/>
    <w:rsid w:val="00DA4731"/>
    <w:rsid w:val="00DA5040"/>
    <w:rsid w:val="00DA7D5F"/>
    <w:rsid w:val="00DA7F19"/>
    <w:rsid w:val="00DB053E"/>
    <w:rsid w:val="00DB11B2"/>
    <w:rsid w:val="00DB161E"/>
    <w:rsid w:val="00DB31B5"/>
    <w:rsid w:val="00DB5BBA"/>
    <w:rsid w:val="00DC03DB"/>
    <w:rsid w:val="00DC1206"/>
    <w:rsid w:val="00DC2BE8"/>
    <w:rsid w:val="00DC2BEC"/>
    <w:rsid w:val="00DC2C6F"/>
    <w:rsid w:val="00DC3256"/>
    <w:rsid w:val="00DC35A6"/>
    <w:rsid w:val="00DC59BF"/>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25A5"/>
    <w:rsid w:val="00E33928"/>
    <w:rsid w:val="00E33C90"/>
    <w:rsid w:val="00E34D15"/>
    <w:rsid w:val="00E3575C"/>
    <w:rsid w:val="00E35E86"/>
    <w:rsid w:val="00E36B45"/>
    <w:rsid w:val="00E37BF1"/>
    <w:rsid w:val="00E41D3F"/>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3C4C"/>
    <w:rsid w:val="00E76FF1"/>
    <w:rsid w:val="00E774FE"/>
    <w:rsid w:val="00E77AC4"/>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0AD1"/>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0C51"/>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BA5"/>
    <w:rsid w:val="00F10C82"/>
    <w:rsid w:val="00F13B2E"/>
    <w:rsid w:val="00F176A0"/>
    <w:rsid w:val="00F20174"/>
    <w:rsid w:val="00F22098"/>
    <w:rsid w:val="00F223BC"/>
    <w:rsid w:val="00F23780"/>
    <w:rsid w:val="00F2395F"/>
    <w:rsid w:val="00F24059"/>
    <w:rsid w:val="00F26185"/>
    <w:rsid w:val="00F3178C"/>
    <w:rsid w:val="00F33DE5"/>
    <w:rsid w:val="00F34B8F"/>
    <w:rsid w:val="00F369C6"/>
    <w:rsid w:val="00F36D7F"/>
    <w:rsid w:val="00F37186"/>
    <w:rsid w:val="00F42FCF"/>
    <w:rsid w:val="00F44A83"/>
    <w:rsid w:val="00F51743"/>
    <w:rsid w:val="00F529D4"/>
    <w:rsid w:val="00F54F27"/>
    <w:rsid w:val="00F55FC8"/>
    <w:rsid w:val="00F604E3"/>
    <w:rsid w:val="00F610E6"/>
    <w:rsid w:val="00F61B60"/>
    <w:rsid w:val="00F61FCC"/>
    <w:rsid w:val="00F66036"/>
    <w:rsid w:val="00F6689D"/>
    <w:rsid w:val="00F67E23"/>
    <w:rsid w:val="00F71601"/>
    <w:rsid w:val="00F72C75"/>
    <w:rsid w:val="00F74033"/>
    <w:rsid w:val="00F752E3"/>
    <w:rsid w:val="00F759EB"/>
    <w:rsid w:val="00F772F7"/>
    <w:rsid w:val="00F81334"/>
    <w:rsid w:val="00F81A81"/>
    <w:rsid w:val="00F81CC5"/>
    <w:rsid w:val="00F8760D"/>
    <w:rsid w:val="00F87AAD"/>
    <w:rsid w:val="00F9174C"/>
    <w:rsid w:val="00F91D5C"/>
    <w:rsid w:val="00F92097"/>
    <w:rsid w:val="00F92872"/>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0EA"/>
    <w:rsid w:val="00FB728E"/>
    <w:rsid w:val="00FC0ADE"/>
    <w:rsid w:val="00FC0FF1"/>
    <w:rsid w:val="00FC1FDF"/>
    <w:rsid w:val="00FC3360"/>
    <w:rsid w:val="00FC34DA"/>
    <w:rsid w:val="00FC3E27"/>
    <w:rsid w:val="00FC493B"/>
    <w:rsid w:val="00FC63E5"/>
    <w:rsid w:val="00FD0E54"/>
    <w:rsid w:val="00FD166A"/>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28DF6A2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8"/>
    <w:semiHidden/>
    <w:uiPriority w:val="0"/>
    <w:rPr>
      <w:sz w:val="24"/>
    </w:rPr>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9"/>
    <w:uiPriority w:val="99"/>
    <w:pPr>
      <w:tabs>
        <w:tab w:val="center" w:pos="4320"/>
        <w:tab w:val="right" w:pos="8640"/>
      </w:tabs>
    </w:pPr>
    <w:rPr>
      <w:sz w:val="24"/>
    </w:rPr>
  </w:style>
  <w:style w:type="paragraph" w:styleId="15">
    <w:name w:val="header"/>
    <w:basedOn w:val="1"/>
    <w:link w:val="37"/>
    <w:uiPriority w:val="0"/>
    <w:pPr>
      <w:tabs>
        <w:tab w:val="center" w:pos="4320"/>
        <w:tab w:val="right" w:pos="8640"/>
      </w:tabs>
    </w:pPr>
    <w:rPr>
      <w:sz w:val="24"/>
    </w:r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Strong"/>
    <w:basedOn w:val="19"/>
    <w:qFormat/>
    <w:uiPriority w:val="22"/>
    <w:rPr>
      <w:b/>
      <w:bCs/>
    </w:rPr>
  </w:style>
  <w:style w:type="character" w:styleId="21">
    <w:name w:val="page number"/>
    <w:basedOn w:val="19"/>
    <w:uiPriority w:val="0"/>
    <w:rPr/>
  </w:style>
  <w:style w:type="character" w:styleId="22">
    <w:name w:val="Hyperlink"/>
    <w:uiPriority w:val="99"/>
    <w:rPr>
      <w:color w:val="0000FF"/>
      <w:u w:val="single"/>
    </w:rPr>
  </w:style>
  <w:style w:type="character" w:styleId="23">
    <w:name w:val="annotation reference"/>
    <w:semiHidden/>
    <w:uiPriority w:val="0"/>
    <w:rPr>
      <w:sz w:val="21"/>
      <w:szCs w:val="21"/>
    </w:rPr>
  </w:style>
  <w:style w:type="table" w:styleId="25">
    <w:name w:val="Table Grid"/>
    <w:basedOn w:val="24"/>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6">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uiPriority w:val="0"/>
    <w:pPr>
      <w:textAlignment w:val="auto"/>
    </w:pPr>
    <w:rPr>
      <w:rFonts w:ascii="Arial" w:hAnsi="Arial"/>
      <w:szCs w:val="24"/>
      <w:lang w:val="en-US"/>
    </w:rPr>
  </w:style>
  <w:style w:type="paragraph" w:customStyle="1" w:styleId="28">
    <w:name w:val="Style"/>
    <w:basedOn w:val="1"/>
    <w:uiPriority w:val="0"/>
    <w:pPr>
      <w:textAlignment w:val="auto"/>
    </w:pPr>
    <w:rPr>
      <w:rFonts w:ascii="Arial" w:hAnsi="Arial"/>
      <w:szCs w:val="24"/>
      <w:lang w:val="en-US"/>
    </w:rPr>
  </w:style>
  <w:style w:type="paragraph" w:customStyle="1" w:styleId="29">
    <w:name w:val="正文1"/>
    <w:basedOn w:val="1"/>
    <w:uiPriority w:val="0"/>
    <w:pPr>
      <w:textAlignment w:val="auto"/>
    </w:pPr>
    <w:rPr>
      <w:rFonts w:ascii="Arial" w:hAnsi="Arial"/>
      <w:sz w:val="20"/>
      <w:lang w:val="en-US"/>
    </w:rPr>
  </w:style>
  <w:style w:type="paragraph" w:customStyle="1" w:styleId="30">
    <w:name w:val="Revision"/>
    <w:hidden/>
    <w:semiHidden/>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Heading"/>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uiPriority w:val="99"/>
    <w:pPr>
      <w:adjustRightInd/>
      <w:spacing w:before="120"/>
      <w:jc w:val="both"/>
      <w:textAlignment w:val="auto"/>
    </w:pPr>
    <w:rPr>
      <w:sz w:val="24"/>
    </w:rPr>
  </w:style>
  <w:style w:type="paragraph" w:customStyle="1" w:styleId="36">
    <w:name w:val="Table text"/>
    <w:basedOn w:val="1"/>
    <w:qFormat/>
    <w:uiPriority w:val="99"/>
    <w:pPr>
      <w:adjustRightInd/>
      <w:spacing w:before="120" w:after="120"/>
      <w:jc w:val="both"/>
      <w:textAlignment w:val="auto"/>
    </w:pPr>
    <w:rPr>
      <w:lang w:val="en-US"/>
    </w:rPr>
  </w:style>
  <w:style w:type="character" w:customStyle="1" w:styleId="37">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15"/>
    <w:uiPriority w:val="0"/>
    <w:rPr>
      <w:rFonts w:eastAsia="宋体"/>
      <w:sz w:val="24"/>
      <w:lang w:eastAsia="en-US" w:bidi="ar-SA"/>
    </w:rPr>
  </w:style>
  <w:style w:type="character" w:customStyle="1" w:styleId="38">
    <w:name w:val="批注文字 Char"/>
    <w:link w:val="7"/>
    <w:semiHidden/>
    <w:qFormat/>
    <w:uiPriority w:val="0"/>
    <w:rPr>
      <w:sz w:val="24"/>
      <w:lang w:eastAsia="en-US"/>
    </w:rPr>
  </w:style>
  <w:style w:type="character" w:customStyle="1" w:styleId="39">
    <w:name w:val="页脚 Char"/>
    <w:link w:val="14"/>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uiPriority w:val="0"/>
    <w:rPr/>
  </w:style>
  <w:style w:type="character" w:customStyle="1" w:styleId="42">
    <w:name w:val="numbering blue Zchn"/>
    <w:link w:val="33"/>
    <w:uiPriority w:val="0"/>
    <w:rPr>
      <w:rFonts w:ascii="Arial" w:hAnsi="Arial" w:eastAsia="PMingLiU"/>
      <w:color w:val="0070C0"/>
      <w:lang w:eastAsia="zh-TW"/>
    </w:rPr>
  </w:style>
  <w:style w:type="character" w:customStyle="1" w:styleId="43">
    <w:name w:val="Text Char"/>
    <w:link w:val="35"/>
    <w:locked/>
    <w:uiPriority w:val="99"/>
    <w:rPr>
      <w:sz w:val="24"/>
      <w:lang w:eastAsia="en-US"/>
    </w:rPr>
  </w:style>
  <w:style w:type="character" w:customStyle="1" w:styleId="44">
    <w:name w:val="ordinary-span-edit2"/>
    <w:uiPriority w:val="0"/>
  </w:style>
  <w:style w:type="character" w:customStyle="1" w:styleId="45">
    <w:name w:val="apple-converted-space"/>
    <w:basedOn w:val="19"/>
    <w:uiPriority w:val="0"/>
    <w:rPr/>
  </w:style>
  <w:style w:type="character" w:customStyle="1" w:styleId="46">
    <w:name w:val="标题 Char"/>
    <w:link w:val="18"/>
    <w:uiPriority w:val="0"/>
    <w:rPr>
      <w:rFonts w:ascii="Calibri Light" w:hAnsi="Calibri Light" w:cs="Times New Roman"/>
      <w:b/>
      <w:bCs/>
      <w:sz w:val="32"/>
      <w:szCs w:val="32"/>
      <w:lang w:eastAsia="en-US"/>
    </w:rPr>
  </w:style>
  <w:style w:type="character" w:customStyle="1" w:styleId="47">
    <w:name w:val="Footer Char"/>
    <w:basedOn w:val="19"/>
    <w:semiHidden/>
    <w:locked/>
    <w:uiPriority w:val="0"/>
    <w:rPr>
      <w:rFonts w:cs="Times New Roman"/>
      <w:sz w:val="18"/>
      <w:szCs w:val="18"/>
    </w:rPr>
  </w:style>
  <w:style w:type="character" w:customStyle="1" w:styleId="48">
    <w:name w:val="fontstyle01"/>
    <w:basedOn w:val="19"/>
    <w:uiPriority w:val="0"/>
    <w:rPr>
      <w:rFonts w:hint="eastAsia" w:ascii="宋体" w:hAnsi="宋体" w:eastAsia="宋体"/>
      <w:color w:val="000000"/>
      <w:sz w:val="24"/>
      <w:szCs w:val="24"/>
    </w:rPr>
  </w:style>
  <w:style w:type="character" w:customStyle="1" w:styleId="49">
    <w:name w:val="fontstyle21"/>
    <w:basedOn w:val="19"/>
    <w:uiPriority w:val="0"/>
    <w:rPr>
      <w:rFonts w:hint="eastAsia" w:ascii="宋体" w:hAnsi="宋体" w:eastAsia="宋体"/>
      <w:color w:val="000000"/>
      <w:sz w:val="24"/>
      <w:szCs w:val="24"/>
    </w:rPr>
  </w:style>
  <w:style w:type="character" w:customStyle="1" w:styleId="50">
    <w:name w:val="fontstyle31"/>
    <w:basedOn w:val="19"/>
    <w:uiPriority w:val="0"/>
    <w:rPr>
      <w:rFonts w:hint="default" w:ascii="Calibri" w:hAnsi="Calibri" w:cs="Calibri"/>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741</Words>
  <Characters>4226</Characters>
  <Lines>35</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2019-09-26T04:30:00Z</dcterms:created>
  <dc:creator>Lilly</dc:creator>
  <cp:lastModifiedBy>汪洋</cp:lastModifiedBy>
  <cp:lastPrinted>2019-10-25T00:56:00Z</cp:lastPrinted>
  <dcterms:modified xsi:type="dcterms:W3CDTF">2020-03-30T03:08:08Z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