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4532399"/>
      <w:bookmarkStart w:id="3" w:name="_Toc483666358"/>
      <w:bookmarkStart w:id="4" w:name="_Toc483400307"/>
    </w:p>
    <w:p>
      <w:pPr>
        <w:spacing w:afterLines="50"/>
        <w:jc w:val="center"/>
        <w:rPr>
          <w:b/>
          <w:szCs w:val="21"/>
          <w:lang w:eastAsia="zh-CN"/>
        </w:rPr>
      </w:pPr>
      <w:permStart w:id="0" w:edGrp="everyone"/>
      <w:r>
        <w:rPr>
          <w:rFonts w:hint="eastAsia"/>
          <w:b/>
          <w:sz w:val="28"/>
          <w:szCs w:val="28"/>
          <w:lang w:val="en-US" w:eastAsia="zh-CN"/>
        </w:rPr>
        <w:t>联合疫苗楼百日咳车间生物安全柜</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Lines="50" w:line="240" w:lineRule="auto"/>
        <w:jc w:val="center"/>
        <w:rPr>
          <w:sz w:val="21"/>
          <w:szCs w:val="21"/>
          <w:lang w:val="zh-CN" w:eastAsia="zh-CN"/>
        </w:rPr>
      </w:pPr>
      <w:permStart w:id="1" w:edGrp="everyone"/>
      <w:permEnd w:id="1"/>
      <w:r>
        <w:rPr>
          <w:sz w:val="21"/>
          <w:szCs w:val="21"/>
          <w:lang w:val="zh-CN" w:eastAsia="zh-CN"/>
        </w:rPr>
        <w:t xml:space="preserve">目录 </w:t>
      </w:r>
    </w:p>
    <w:p>
      <w:pPr>
        <w:rPr>
          <w:i/>
          <w:color w:val="00B0F0"/>
          <w:lang w:val="zh-CN" w:eastAsia="zh-CN"/>
        </w:rPr>
      </w:pPr>
      <w:permStart w:id="2" w:edGrp="everyone"/>
    </w:p>
    <w:p>
      <w:pPr>
        <w:pStyle w:val="16"/>
        <w:rPr>
          <w:rFonts w:ascii="Calibri" w:hAnsi="Calibri" w:eastAsia="宋体"/>
          <w:b w:val="0"/>
          <w:bCs w:val="0"/>
          <w:caps w:val="0"/>
          <w:szCs w:val="22"/>
        </w:rPr>
      </w:pPr>
      <w:r>
        <w:fldChar w:fldCharType="begin"/>
      </w:r>
      <w:r>
        <w:instrText xml:space="preserve"> TOC \o "1-2" \h \z \u </w:instrText>
      </w:r>
      <w:r>
        <w:fldChar w:fldCharType="separate"/>
      </w:r>
      <w:r>
        <w:fldChar w:fldCharType="begin"/>
      </w:r>
      <w:r>
        <w:instrText xml:space="preserve">HYPERLINK  \l "_Toc17546266" </w:instrText>
      </w:r>
      <w:r>
        <w:fldChar w:fldCharType="separate"/>
      </w:r>
      <w:r>
        <w:rPr>
          <w:rStyle w:val="21"/>
          <w:rFonts w:hint="eastAsia"/>
        </w:rPr>
        <w:t>修订历史</w:t>
      </w:r>
      <w:r>
        <w:tab/>
      </w:r>
      <w:r>
        <w:fldChar w:fldCharType="begin"/>
      </w:r>
      <w:r>
        <w:instrText xml:space="preserve"> PAGEREF _Toc17546266 \h </w:instrText>
      </w:r>
      <w:r>
        <w:fldChar w:fldCharType="separate"/>
      </w:r>
      <w:r>
        <w:t>3</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"_Toc17546267" </w:instrText>
      </w:r>
      <w:r>
        <w:fldChar w:fldCharType="separate"/>
      </w:r>
      <w:r>
        <w:rPr>
          <w:rStyle w:val="21"/>
        </w:rPr>
        <w:t>1</w:t>
      </w:r>
      <w:r>
        <w:rPr>
          <w:rFonts w:ascii="Calibri" w:hAnsi="Calibri" w:eastAsia="宋体"/>
          <w:b w:val="0"/>
          <w:bCs w:val="0"/>
          <w:caps w:val="0"/>
          <w:szCs w:val="22"/>
        </w:rPr>
        <w:tab/>
      </w:r>
      <w:r>
        <w:rPr>
          <w:rStyle w:val="21"/>
          <w:rFonts w:hint="eastAsia"/>
        </w:rPr>
        <w:t>目的</w:t>
      </w:r>
      <w:r>
        <w:tab/>
      </w:r>
      <w:r>
        <w:fldChar w:fldCharType="begin"/>
      </w:r>
      <w:r>
        <w:instrText xml:space="preserve"> PAGEREF _Toc17546267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"_Toc17546268" </w:instrText>
      </w:r>
      <w:r>
        <w:fldChar w:fldCharType="separate"/>
      </w:r>
      <w:r>
        <w:rPr>
          <w:rStyle w:val="21"/>
        </w:rPr>
        <w:t>2</w:t>
      </w:r>
      <w:r>
        <w:rPr>
          <w:rFonts w:ascii="Calibri" w:hAnsi="Calibri" w:eastAsia="宋体"/>
          <w:b w:val="0"/>
          <w:bCs w:val="0"/>
          <w:caps w:val="0"/>
          <w:szCs w:val="22"/>
        </w:rPr>
        <w:tab/>
      </w:r>
      <w:r>
        <w:rPr>
          <w:rStyle w:val="21"/>
          <w:rFonts w:hint="eastAsia"/>
        </w:rPr>
        <w:t>范围</w:t>
      </w:r>
      <w:r>
        <w:tab/>
      </w:r>
      <w:r>
        <w:fldChar w:fldCharType="begin"/>
      </w:r>
      <w:r>
        <w:instrText xml:space="preserve"> PAGEREF _Toc17546268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"_Toc17546269" </w:instrText>
      </w:r>
      <w:r>
        <w:fldChar w:fldCharType="separate"/>
      </w:r>
      <w:r>
        <w:rPr>
          <w:rStyle w:val="21"/>
        </w:rPr>
        <w:t>3</w:t>
      </w:r>
      <w:r>
        <w:rPr>
          <w:rFonts w:ascii="Calibri" w:hAnsi="Calibri" w:eastAsia="宋体"/>
          <w:b w:val="0"/>
          <w:bCs w:val="0"/>
          <w:caps w:val="0"/>
          <w:szCs w:val="22"/>
        </w:rPr>
        <w:tab/>
      </w:r>
      <w:r>
        <w:rPr>
          <w:rStyle w:val="21"/>
          <w:rFonts w:hint="eastAsia"/>
        </w:rPr>
        <w:t>参考文件</w:t>
      </w:r>
      <w:r>
        <w:tab/>
      </w:r>
      <w:r>
        <w:fldChar w:fldCharType="begin"/>
      </w:r>
      <w:r>
        <w:instrText xml:space="preserve"> PAGEREF _Toc17546269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"_Toc17546270" </w:instrText>
      </w:r>
      <w:r>
        <w:fldChar w:fldCharType="separate"/>
      </w:r>
      <w:r>
        <w:rPr>
          <w:rStyle w:val="21"/>
        </w:rPr>
        <w:t>4</w:t>
      </w:r>
      <w:r>
        <w:rPr>
          <w:rFonts w:ascii="Calibri" w:hAnsi="Calibri" w:eastAsia="宋体"/>
          <w:b w:val="0"/>
          <w:bCs w:val="0"/>
          <w:caps w:val="0"/>
          <w:szCs w:val="22"/>
        </w:rPr>
        <w:tab/>
      </w:r>
      <w:r>
        <w:rPr>
          <w:rStyle w:val="21"/>
          <w:rFonts w:hint="eastAsia"/>
        </w:rPr>
        <w:t>职责</w:t>
      </w:r>
      <w:r>
        <w:tab/>
      </w:r>
      <w:r>
        <w:fldChar w:fldCharType="begin"/>
      </w:r>
      <w:r>
        <w:instrText xml:space="preserve"> PAGEREF _Toc17546270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"_Toc17546271" </w:instrText>
      </w:r>
      <w:r>
        <w:fldChar w:fldCharType="separate"/>
      </w:r>
      <w:r>
        <w:rPr>
          <w:rStyle w:val="21"/>
        </w:rPr>
        <w:t>5</w:t>
      </w:r>
      <w:r>
        <w:rPr>
          <w:rFonts w:ascii="Calibri" w:hAnsi="Calibri" w:eastAsia="宋体"/>
          <w:b w:val="0"/>
          <w:bCs w:val="0"/>
          <w:caps w:val="0"/>
          <w:szCs w:val="22"/>
        </w:rPr>
        <w:tab/>
      </w:r>
      <w:r>
        <w:rPr>
          <w:rStyle w:val="21"/>
          <w:rFonts w:hint="eastAsia"/>
        </w:rPr>
        <w:t>系统描述</w:t>
      </w:r>
      <w:r>
        <w:tab/>
      </w:r>
      <w:r>
        <w:fldChar w:fldCharType="begin"/>
      </w:r>
      <w:r>
        <w:instrText xml:space="preserve"> PAGEREF _Toc17546271 \h </w:instrText>
      </w:r>
      <w:r>
        <w:fldChar w:fldCharType="separate"/>
      </w:r>
      <w:r>
        <w:t>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"_Toc17546272" </w:instrText>
      </w:r>
      <w:r>
        <w:fldChar w:fldCharType="separate"/>
      </w:r>
      <w:r>
        <w:rPr>
          <w:rStyle w:val="21"/>
        </w:rPr>
        <w:t>6</w:t>
      </w:r>
      <w:r>
        <w:rPr>
          <w:rFonts w:ascii="Calibri" w:hAnsi="Calibri" w:eastAsia="宋体"/>
          <w:b w:val="0"/>
          <w:bCs w:val="0"/>
          <w:caps w:val="0"/>
          <w:szCs w:val="22"/>
        </w:rPr>
        <w:tab/>
      </w:r>
      <w:r>
        <w:rPr>
          <w:rStyle w:val="21"/>
          <w:rFonts w:hint="eastAsia"/>
        </w:rPr>
        <w:t>安装要求</w:t>
      </w:r>
      <w:r>
        <w:tab/>
      </w:r>
      <w:r>
        <w:fldChar w:fldCharType="begin"/>
      </w:r>
      <w:r>
        <w:instrText xml:space="preserve"> PAGEREF _Toc17546272 \h </w:instrText>
      </w:r>
      <w:r>
        <w:fldChar w:fldCharType="separate"/>
      </w:r>
      <w:r>
        <w:t>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"_Toc17546273" </w:instrText>
      </w:r>
      <w:r>
        <w:fldChar w:fldCharType="separate"/>
      </w:r>
      <w:r>
        <w:rPr>
          <w:rStyle w:val="21"/>
        </w:rPr>
        <w:t>7</w:t>
      </w:r>
      <w:r>
        <w:rPr>
          <w:rFonts w:ascii="Calibri" w:hAnsi="Calibri" w:eastAsia="宋体"/>
          <w:b w:val="0"/>
          <w:bCs w:val="0"/>
          <w:caps w:val="0"/>
          <w:szCs w:val="22"/>
        </w:rPr>
        <w:tab/>
      </w:r>
      <w:r>
        <w:rPr>
          <w:rStyle w:val="21"/>
          <w:rFonts w:hint="eastAsia"/>
        </w:rPr>
        <w:t>运行要求</w:t>
      </w:r>
      <w:r>
        <w:tab/>
      </w:r>
      <w:r>
        <w:fldChar w:fldCharType="begin"/>
      </w:r>
      <w:r>
        <w:instrText xml:space="preserve"> PAGEREF _Toc17546273 \h </w:instrText>
      </w:r>
      <w:r>
        <w:fldChar w:fldCharType="separate"/>
      </w:r>
      <w:r>
        <w:t>8</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"_Toc17546274" </w:instrText>
      </w:r>
      <w:r>
        <w:fldChar w:fldCharType="separate"/>
      </w:r>
      <w:r>
        <w:rPr>
          <w:rStyle w:val="21"/>
        </w:rPr>
        <w:t>8</w:t>
      </w:r>
      <w:r>
        <w:rPr>
          <w:rFonts w:ascii="Calibri" w:hAnsi="Calibri" w:eastAsia="宋体"/>
          <w:b w:val="0"/>
          <w:bCs w:val="0"/>
          <w:caps w:val="0"/>
          <w:szCs w:val="22"/>
        </w:rPr>
        <w:tab/>
      </w:r>
      <w:r>
        <w:rPr>
          <w:rStyle w:val="21"/>
          <w:rFonts w:hint="eastAsia"/>
        </w:rPr>
        <w:t>电气、自动控制要求</w:t>
      </w:r>
      <w:r>
        <w:tab/>
      </w:r>
      <w:r>
        <w:fldChar w:fldCharType="begin"/>
      </w:r>
      <w:r>
        <w:instrText xml:space="preserve"> PAGEREF _Toc17546274 \h </w:instrText>
      </w:r>
      <w:r>
        <w:fldChar w:fldCharType="separate"/>
      </w:r>
      <w:r>
        <w:t>9</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"_Toc17546275" </w:instrText>
      </w:r>
      <w:r>
        <w:fldChar w:fldCharType="separate"/>
      </w:r>
      <w:r>
        <w:rPr>
          <w:rStyle w:val="21"/>
        </w:rPr>
        <w:t>9</w:t>
      </w:r>
      <w:r>
        <w:rPr>
          <w:rFonts w:ascii="Calibri" w:hAnsi="Calibri" w:eastAsia="宋体"/>
          <w:b w:val="0"/>
          <w:bCs w:val="0"/>
          <w:caps w:val="0"/>
          <w:szCs w:val="22"/>
        </w:rPr>
        <w:tab/>
      </w:r>
      <w:r>
        <w:rPr>
          <w:rStyle w:val="21"/>
          <w:rFonts w:hint="eastAsia"/>
        </w:rPr>
        <w:t>安全要求</w:t>
      </w:r>
      <w:r>
        <w:tab/>
      </w:r>
      <w:r>
        <w:fldChar w:fldCharType="begin"/>
      </w:r>
      <w:r>
        <w:instrText xml:space="preserve"> PAGEREF _Toc17546275 \h </w:instrText>
      </w:r>
      <w:r>
        <w:fldChar w:fldCharType="separate"/>
      </w:r>
      <w:r>
        <w:t>9</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"_Toc17546276" </w:instrText>
      </w:r>
      <w:r>
        <w:fldChar w:fldCharType="separate"/>
      </w:r>
      <w:r>
        <w:rPr>
          <w:rStyle w:val="21"/>
        </w:rPr>
        <w:t>10</w:t>
      </w:r>
      <w:r>
        <w:rPr>
          <w:rFonts w:ascii="Calibri" w:hAnsi="Calibri" w:eastAsia="宋体"/>
          <w:b w:val="0"/>
          <w:bCs w:val="0"/>
          <w:caps w:val="0"/>
          <w:szCs w:val="22"/>
        </w:rPr>
        <w:tab/>
      </w:r>
      <w:r>
        <w:rPr>
          <w:rStyle w:val="21"/>
          <w:rFonts w:hint="eastAsia"/>
        </w:rPr>
        <w:t>文件要求</w:t>
      </w:r>
      <w:r>
        <w:tab/>
      </w:r>
      <w:r>
        <w:fldChar w:fldCharType="begin"/>
      </w:r>
      <w:r>
        <w:instrText xml:space="preserve"> PAGEREF _Toc17546276 \h </w:instrText>
      </w:r>
      <w:r>
        <w:fldChar w:fldCharType="separate"/>
      </w:r>
      <w:r>
        <w:t>10</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"_Toc17546277" </w:instrText>
      </w:r>
      <w:r>
        <w:fldChar w:fldCharType="separate"/>
      </w:r>
      <w:r>
        <w:rPr>
          <w:rStyle w:val="21"/>
        </w:rPr>
        <w:t>11</w:t>
      </w:r>
      <w:r>
        <w:rPr>
          <w:rFonts w:ascii="Calibri" w:hAnsi="Calibri" w:eastAsia="宋体"/>
          <w:b w:val="0"/>
          <w:bCs w:val="0"/>
          <w:caps w:val="0"/>
          <w:szCs w:val="22"/>
        </w:rPr>
        <w:tab/>
      </w:r>
      <w:r>
        <w:rPr>
          <w:rStyle w:val="21"/>
          <w:rFonts w:hint="eastAsia"/>
        </w:rPr>
        <w:t>服务要求</w:t>
      </w:r>
      <w:r>
        <w:tab/>
      </w:r>
      <w:r>
        <w:fldChar w:fldCharType="begin"/>
      </w:r>
      <w:r>
        <w:instrText xml:space="preserve"> PAGEREF _Toc17546277 \h </w:instrText>
      </w:r>
      <w:r>
        <w:fldChar w:fldCharType="separate"/>
      </w:r>
      <w:r>
        <w:t>12</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"_Toc17546278" </w:instrText>
      </w:r>
      <w:r>
        <w:fldChar w:fldCharType="separate"/>
      </w:r>
      <w:r>
        <w:rPr>
          <w:rStyle w:val="21"/>
        </w:rPr>
        <w:t>12</w:t>
      </w:r>
      <w:r>
        <w:rPr>
          <w:rFonts w:ascii="Calibri" w:hAnsi="Calibri" w:eastAsia="宋体"/>
          <w:b w:val="0"/>
          <w:bCs w:val="0"/>
          <w:caps w:val="0"/>
          <w:szCs w:val="22"/>
        </w:rPr>
        <w:tab/>
      </w:r>
      <w:r>
        <w:rPr>
          <w:rStyle w:val="21"/>
          <w:rFonts w:hint="eastAsia"/>
        </w:rPr>
        <w:t>附件</w:t>
      </w:r>
      <w:r>
        <w:tab/>
      </w:r>
      <w:r>
        <w:fldChar w:fldCharType="begin"/>
      </w:r>
      <w:r>
        <w:instrText xml:space="preserve"> PAGEREF _Toc17546278 \h </w:instrText>
      </w:r>
      <w:r>
        <w:fldChar w:fldCharType="separate"/>
      </w:r>
      <w:r>
        <w:t>14</w:t>
      </w:r>
      <w:r>
        <w:fldChar w:fldCharType="end"/>
      </w:r>
      <w:r>
        <w:fldChar w:fldCharType="end"/>
      </w:r>
    </w:p>
    <w:p>
      <w:r>
        <w:fldChar w:fldCharType="end"/>
      </w:r>
      <w:permEnd w:id="2"/>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5" w:name="_Toc522107735"/>
      <w:bookmarkStart w:id="6" w:name="_Toc17546267"/>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2625279"/>
      <w:bookmarkStart w:id="8" w:name="_Toc482370061"/>
      <w:bookmarkStart w:id="9" w:name="_Toc482369805"/>
      <w:bookmarkStart w:id="10" w:name="_Toc482370349"/>
      <w:bookmarkStart w:id="11" w:name="_Toc481702475"/>
      <w:bookmarkStart w:id="12" w:name="_Toc482359936"/>
      <w:bookmarkStart w:id="13" w:name="_Toc482370141"/>
      <w:bookmarkStart w:id="14" w:name="_Toc482360281"/>
      <w:bookmarkStart w:id="15" w:name="_Toc482370757"/>
      <w:r>
        <w:rPr>
          <w:szCs w:val="21"/>
          <w:lang w:eastAsia="zh-CN"/>
        </w:rPr>
        <w:t>本文件的目的是描述武汉生物制品研究所有限责任公司</w:t>
      </w:r>
      <w:permStart w:id="3" w:edGrp="everyone"/>
      <w:r>
        <w:rPr>
          <w:rFonts w:hint="eastAsia"/>
          <w:szCs w:val="21"/>
          <w:lang w:eastAsia="zh-CN"/>
        </w:rPr>
        <w:t>联合疫苗楼百日咳车间生物安全柜</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6" w:name="_Toc522107736"/>
      <w:bookmarkStart w:id="17" w:name="_Toc17546268"/>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联合疫苗楼百日咳车间生物安全柜</w:t>
      </w:r>
      <w:permEnd w:id="4"/>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8" w:name="_Toc522107737"/>
      <w:bookmarkStart w:id="19" w:name="_Toc17546269"/>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iCs/>
          <w:szCs w:val="21"/>
          <w:lang w:eastAsia="zh-CN"/>
        </w:rPr>
      </w:pPr>
      <w:permStart w:id="5" w:edGrp="everyone"/>
      <w:r>
        <w:rPr>
          <w:iCs/>
          <w:szCs w:val="21"/>
          <w:lang w:eastAsia="zh-CN"/>
        </w:rPr>
        <w:t xml:space="preserve">中国药典 </w:t>
      </w:r>
      <w:r>
        <w:rPr>
          <w:iCs/>
          <w:szCs w:val="21"/>
        </w:rPr>
        <w:t>2015年版</w:t>
      </w:r>
    </w:p>
    <w:p>
      <w:pPr>
        <w:pStyle w:val="34"/>
        <w:numPr>
          <w:ilvl w:val="0"/>
          <w:numId w:val="5"/>
        </w:numPr>
        <w:spacing w:before="0" w:line="360" w:lineRule="auto"/>
        <w:ind w:left="777"/>
        <w:jc w:val="left"/>
        <w:rPr>
          <w:iCs/>
          <w:szCs w:val="21"/>
          <w:lang w:eastAsia="zh-CN"/>
        </w:rPr>
      </w:pPr>
      <w:r>
        <w:rPr>
          <w:rFonts w:hint="eastAsia" w:ascii="宋体" w:hAnsi="宋体"/>
          <w:color w:val="000000"/>
          <w:szCs w:val="21"/>
          <w:lang w:eastAsia="zh-CN"/>
        </w:rPr>
        <w:t>《药品生产质量管理规范》</w:t>
      </w:r>
      <w:r>
        <w:rPr>
          <w:rFonts w:hint="eastAsia" w:ascii="宋体" w:hAnsi="宋体"/>
          <w:szCs w:val="21"/>
          <w:lang w:eastAsia="zh-CN"/>
        </w:rPr>
        <w:t>（</w:t>
      </w:r>
      <w:r>
        <w:rPr>
          <w:szCs w:val="21"/>
          <w:lang w:eastAsia="zh-CN"/>
        </w:rPr>
        <w:t>2010</w:t>
      </w:r>
      <w:r>
        <w:rPr>
          <w:rFonts w:hint="eastAsia" w:ascii="宋体" w:hAnsi="宋体"/>
          <w:szCs w:val="21"/>
          <w:lang w:eastAsia="zh-CN"/>
        </w:rPr>
        <w:t>年版）</w:t>
      </w:r>
    </w:p>
    <w:p>
      <w:pPr>
        <w:pStyle w:val="8"/>
        <w:numPr>
          <w:ilvl w:val="0"/>
          <w:numId w:val="6"/>
        </w:numPr>
        <w:spacing w:line="360" w:lineRule="auto"/>
        <w:rPr>
          <w:rFonts w:ascii="宋体" w:hAnsi="宋体"/>
          <w:sz w:val="21"/>
          <w:szCs w:val="21"/>
          <w:lang w:eastAsia="zh-CN"/>
        </w:rPr>
      </w:pPr>
      <w:r>
        <w:rPr>
          <w:rFonts w:hint="eastAsia" w:ascii="宋体" w:hAnsi="宋体"/>
          <w:sz w:val="21"/>
          <w:szCs w:val="21"/>
          <w:lang w:eastAsia="zh-CN"/>
        </w:rPr>
        <w:t>《药品</w:t>
      </w:r>
      <w:r>
        <w:rPr>
          <w:rFonts w:ascii="宋体" w:hAnsi="宋体"/>
          <w:sz w:val="21"/>
          <w:szCs w:val="21"/>
          <w:lang w:eastAsia="zh-CN"/>
        </w:rPr>
        <w:t>GMP</w:t>
      </w:r>
      <w:r>
        <w:rPr>
          <w:rFonts w:hint="eastAsia" w:ascii="宋体" w:hAnsi="宋体"/>
          <w:sz w:val="21"/>
          <w:szCs w:val="21"/>
          <w:lang w:eastAsia="zh-CN"/>
        </w:rPr>
        <w:t>指南》无菌药品（</w:t>
      </w:r>
      <w:r>
        <w:rPr>
          <w:sz w:val="21"/>
          <w:szCs w:val="21"/>
          <w:lang w:val="en-US" w:eastAsia="zh-CN"/>
        </w:rPr>
        <w:t>2011</w:t>
      </w:r>
      <w:r>
        <w:rPr>
          <w:rFonts w:hint="eastAsia" w:ascii="宋体" w:hAnsi="宋体"/>
          <w:sz w:val="21"/>
          <w:szCs w:val="21"/>
          <w:lang w:val="en-US" w:eastAsia="zh-CN"/>
        </w:rPr>
        <w:t>年</w:t>
      </w:r>
      <w:r>
        <w:rPr>
          <w:rFonts w:hint="eastAsia" w:ascii="宋体" w:hAnsi="宋体"/>
          <w:sz w:val="21"/>
          <w:szCs w:val="21"/>
          <w:lang w:eastAsia="zh-CN"/>
        </w:rPr>
        <w:t>版）</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iCs/>
          <w:szCs w:val="21"/>
          <w:lang w:eastAsia="zh-CN"/>
        </w:rPr>
      </w:pPr>
      <w:permStart w:id="6" w:edGrp="everyone"/>
      <w:r>
        <w:rPr>
          <w:iCs/>
          <w:szCs w:val="21"/>
          <w:lang w:eastAsia="zh-CN"/>
        </w:rPr>
        <w:t>电气安全应符合GB4793.1和GB4793.4的要求。</w:t>
      </w:r>
    </w:p>
    <w:p>
      <w:pPr>
        <w:pStyle w:val="34"/>
        <w:numPr>
          <w:ilvl w:val="0"/>
          <w:numId w:val="5"/>
        </w:numPr>
        <w:spacing w:before="0" w:line="360" w:lineRule="auto"/>
        <w:ind w:left="777"/>
        <w:jc w:val="left"/>
        <w:rPr>
          <w:iCs/>
          <w:szCs w:val="21"/>
          <w:lang w:eastAsia="zh-CN"/>
        </w:rPr>
      </w:pPr>
      <w:r>
        <w:rPr>
          <w:rFonts w:hint="eastAsia"/>
          <w:iCs/>
          <w:szCs w:val="21"/>
          <w:lang w:eastAsia="zh-CN"/>
        </w:rPr>
        <w:t>符合欧盟EN 12469:2000《Biotechnology-Peformance Criteria for Microbiological Safety Cabinets》</w:t>
      </w:r>
    </w:p>
    <w:p>
      <w:pPr>
        <w:pStyle w:val="34"/>
        <w:numPr>
          <w:ilvl w:val="0"/>
          <w:numId w:val="5"/>
        </w:numPr>
        <w:spacing w:before="0" w:line="360" w:lineRule="auto"/>
        <w:ind w:left="777"/>
        <w:jc w:val="left"/>
        <w:rPr>
          <w:iCs/>
          <w:szCs w:val="21"/>
          <w:lang w:eastAsia="zh-CN"/>
        </w:rPr>
      </w:pPr>
      <w:r>
        <w:rPr>
          <w:rFonts w:hint="eastAsia"/>
          <w:iCs/>
          <w:szCs w:val="21"/>
          <w:lang w:eastAsia="zh-CN"/>
        </w:rPr>
        <w:t>美国NSF/ANSI 49-2002《Class Ⅱ(Laminar Flow)Biosafety Cabinetry》</w:t>
      </w:r>
    </w:p>
    <w:p>
      <w:pPr>
        <w:pStyle w:val="34"/>
        <w:numPr>
          <w:ilvl w:val="0"/>
          <w:numId w:val="5"/>
        </w:numPr>
        <w:spacing w:before="0" w:line="360" w:lineRule="auto"/>
        <w:ind w:left="777"/>
        <w:jc w:val="left"/>
        <w:rPr>
          <w:iCs/>
          <w:szCs w:val="21"/>
          <w:lang w:eastAsia="zh-CN"/>
        </w:rPr>
      </w:pPr>
      <w:r>
        <w:rPr>
          <w:rFonts w:hint="eastAsia"/>
          <w:iCs/>
          <w:szCs w:val="21"/>
          <w:lang w:eastAsia="zh-CN"/>
        </w:rPr>
        <w:t>YY 0569-2005 中华人民共和国医药行业标准《生物安全柜》</w:t>
      </w:r>
    </w:p>
    <w:p>
      <w:pPr>
        <w:pStyle w:val="34"/>
        <w:numPr>
          <w:ilvl w:val="0"/>
          <w:numId w:val="5"/>
        </w:numPr>
        <w:spacing w:before="0" w:line="360" w:lineRule="auto"/>
        <w:ind w:left="777"/>
        <w:jc w:val="left"/>
        <w:rPr>
          <w:iCs/>
          <w:szCs w:val="21"/>
          <w:lang w:eastAsia="zh-CN"/>
        </w:rPr>
      </w:pPr>
      <w:r>
        <w:rPr>
          <w:rFonts w:hint="eastAsia"/>
          <w:iCs/>
          <w:szCs w:val="21"/>
          <w:lang w:eastAsia="zh-CN"/>
        </w:rPr>
        <w:t>JG 170-2005 中华人民共和国建筑工业行业标准《生物安全柜》</w:t>
      </w:r>
    </w:p>
    <w:p>
      <w:pPr>
        <w:pStyle w:val="34"/>
        <w:numPr>
          <w:ilvl w:val="0"/>
          <w:numId w:val="5"/>
        </w:numPr>
        <w:spacing w:before="0" w:line="360" w:lineRule="auto"/>
        <w:ind w:left="777"/>
        <w:jc w:val="left"/>
        <w:rPr>
          <w:iCs/>
          <w:szCs w:val="21"/>
          <w:lang w:eastAsia="zh-CN"/>
        </w:rPr>
      </w:pPr>
      <w:r>
        <w:rPr>
          <w:rFonts w:hint="eastAsia"/>
          <w:iCs/>
          <w:szCs w:val="21"/>
          <w:lang w:eastAsia="zh-CN"/>
        </w:rPr>
        <w:t>设备应符合国家机关机器设备安全设计规范</w:t>
      </w:r>
    </w:p>
    <w:p>
      <w:pPr>
        <w:pStyle w:val="34"/>
        <w:numPr>
          <w:ilvl w:val="0"/>
          <w:numId w:val="5"/>
        </w:numPr>
        <w:spacing w:before="0" w:line="360" w:lineRule="auto"/>
        <w:ind w:left="777"/>
        <w:jc w:val="left"/>
        <w:rPr>
          <w:iCs/>
          <w:szCs w:val="21"/>
          <w:lang w:eastAsia="zh-CN"/>
        </w:rPr>
      </w:pPr>
      <w:r>
        <w:rPr>
          <w:rFonts w:hint="eastAsia"/>
          <w:iCs/>
          <w:szCs w:val="21"/>
          <w:lang w:eastAsia="zh-CN"/>
        </w:rPr>
        <w:t>设备应符合国家相关机器设备节能和环境控制规范，如节能高效、降噪音等</w:t>
      </w:r>
    </w:p>
    <w:permEnd w:id="6"/>
    <w:p>
      <w:pPr>
        <w:pStyle w:val="34"/>
        <w:spacing w:before="0" w:line="360" w:lineRule="auto"/>
        <w:ind w:left="357"/>
        <w:jc w:val="left"/>
        <w:rPr>
          <w:i/>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20" w:name="_Toc522107739"/>
      <w:bookmarkStart w:id="21" w:name="_Toc17546271"/>
      <w:bookmarkStart w:id="47" w:name="_GoBack"/>
      <w:bookmarkEnd w:id="47"/>
      <w:r>
        <w:rPr>
          <w:rFonts w:ascii="Times New Roman" w:hAnsi="Times New Roman"/>
          <w:b/>
        </w:rPr>
        <w:t>系统描述</w:t>
      </w:r>
      <w:bookmarkEnd w:id="20"/>
      <w:bookmarkEnd w:id="21"/>
    </w:p>
    <w:p>
      <w:pPr>
        <w:pStyle w:val="36"/>
        <w:ind w:firstLine="420"/>
        <w:rPr>
          <w:sz w:val="21"/>
          <w:szCs w:val="21"/>
          <w:lang w:val="en-US" w:eastAsia="zh-CN"/>
        </w:rPr>
      </w:pPr>
      <w:permStart w:id="7" w:edGrp="everyone"/>
      <w:r>
        <w:rPr>
          <w:rFonts w:hint="eastAsia"/>
          <w:sz w:val="21"/>
          <w:szCs w:val="21"/>
          <w:lang w:eastAsia="zh-CN"/>
        </w:rPr>
        <w:t>生</w:t>
      </w:r>
      <w:r>
        <w:rPr>
          <w:rFonts w:hint="eastAsia"/>
          <w:sz w:val="21"/>
          <w:szCs w:val="21"/>
          <w:lang w:val="en-US" w:eastAsia="zh-CN"/>
        </w:rPr>
        <w:t>物安全柜是用于生物安全实验室和其它实验室的生物安全防护隔离设备。可以防止有害悬浮微粒、气溶胶的扩散；对操作人员、样品及样品间交叉感染和环境提供安全保护。</w:t>
      </w:r>
    </w:p>
    <w:p>
      <w:pPr>
        <w:pStyle w:val="36"/>
        <w:ind w:firstLine="420"/>
        <w:rPr>
          <w:sz w:val="21"/>
          <w:szCs w:val="21"/>
          <w:lang w:val="en-US" w:eastAsia="zh-CN"/>
        </w:rPr>
      </w:pPr>
      <w:r>
        <w:rPr>
          <w:rFonts w:hint="eastAsia"/>
          <w:sz w:val="21"/>
          <w:szCs w:val="21"/>
          <w:lang w:val="en-US" w:eastAsia="zh-CN"/>
        </w:rPr>
        <w:t>联合疫苗楼百日咳车间，为满足生产需要，现需采购2台生物安全柜，主要用于百日咳菌种开启，传代，采集操作及大罐培养物纯菌检查的操作，为活菌活毒操作提供</w:t>
      </w:r>
      <w:r>
        <w:rPr>
          <w:sz w:val="21"/>
          <w:szCs w:val="21"/>
          <w:lang w:val="en-US" w:eastAsia="zh-CN"/>
        </w:rPr>
        <w:t>A</w:t>
      </w:r>
      <w:r>
        <w:rPr>
          <w:rFonts w:hint="eastAsia"/>
          <w:sz w:val="21"/>
          <w:szCs w:val="21"/>
          <w:lang w:val="en-US" w:eastAsia="zh-CN"/>
        </w:rPr>
        <w:t>级环境保护。活菌活毒操作必须在无菌控制条件下进行，其操作环境的洁净度对操作结果有直接影响。百日咳车间生物安全柜使用时，其性能必须满足使用要求，内部的环境洁净度必须控制在规定范围内。</w:t>
      </w:r>
    </w:p>
    <w:p>
      <w:pPr>
        <w:pStyle w:val="36"/>
        <w:ind w:firstLine="420"/>
        <w:rPr>
          <w:sz w:val="21"/>
          <w:szCs w:val="21"/>
          <w:lang w:val="en-US" w:eastAsia="zh-CN"/>
        </w:rPr>
      </w:pPr>
    </w:p>
    <w:tbl>
      <w:tblPr>
        <w:tblStyle w:val="24"/>
        <w:tblW w:w="10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52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top"/>
          </w:tcPr>
          <w:p>
            <w:pPr>
              <w:pStyle w:val="36"/>
              <w:ind w:firstLine="420"/>
              <w:jc w:val="center"/>
              <w:rPr>
                <w:sz w:val="21"/>
                <w:szCs w:val="21"/>
                <w:lang w:val="en-US" w:eastAsia="zh-CN"/>
              </w:rPr>
            </w:pPr>
            <w:r>
              <w:rPr>
                <w:rFonts w:hint="eastAsia"/>
                <w:sz w:val="21"/>
                <w:szCs w:val="21"/>
                <w:lang w:val="en-US" w:eastAsia="zh-CN"/>
              </w:rPr>
              <w:t>设备名称</w:t>
            </w:r>
          </w:p>
        </w:tc>
        <w:tc>
          <w:tcPr>
            <w:tcW w:w="6521" w:type="dxa"/>
            <w:vAlign w:val="top"/>
          </w:tcPr>
          <w:p>
            <w:pPr>
              <w:pStyle w:val="36"/>
              <w:ind w:firstLine="420"/>
              <w:jc w:val="center"/>
              <w:rPr>
                <w:sz w:val="21"/>
                <w:szCs w:val="21"/>
                <w:lang w:val="en-US" w:eastAsia="zh-CN"/>
              </w:rPr>
            </w:pPr>
            <w:r>
              <w:rPr>
                <w:rFonts w:hint="eastAsia"/>
                <w:sz w:val="21"/>
                <w:szCs w:val="21"/>
                <w:lang w:val="en-US" w:eastAsia="zh-CN"/>
              </w:rPr>
              <w:t>设备尺寸</w:t>
            </w:r>
          </w:p>
        </w:tc>
        <w:tc>
          <w:tcPr>
            <w:tcW w:w="2131" w:type="dxa"/>
            <w:vAlign w:val="top"/>
          </w:tcPr>
          <w:p>
            <w:pPr>
              <w:pStyle w:val="36"/>
              <w:ind w:firstLine="420"/>
              <w:jc w:val="center"/>
              <w:rPr>
                <w:sz w:val="21"/>
                <w:szCs w:val="21"/>
                <w:lang w:val="en-US" w:eastAsia="zh-CN"/>
              </w:rPr>
            </w:pPr>
            <w:r>
              <w:rPr>
                <w:rFonts w:hint="eastAsia"/>
                <w:sz w:val="21"/>
                <w:szCs w:val="21"/>
                <w:lang w:val="en-US" w:eastAsia="zh-CN"/>
              </w:rPr>
              <w:t>设备安装区域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top"/>
          </w:tcPr>
          <w:p>
            <w:pPr>
              <w:pStyle w:val="36"/>
              <w:ind w:firstLine="420"/>
              <w:jc w:val="center"/>
              <w:rPr>
                <w:sz w:val="21"/>
                <w:szCs w:val="21"/>
                <w:lang w:val="en-US" w:eastAsia="zh-CN"/>
              </w:rPr>
            </w:pPr>
            <w:r>
              <w:rPr>
                <w:rFonts w:hint="eastAsia"/>
                <w:sz w:val="21"/>
                <w:szCs w:val="21"/>
                <w:lang w:val="en-US" w:eastAsia="zh-CN"/>
              </w:rPr>
              <w:t>生物安全柜</w:t>
            </w:r>
          </w:p>
        </w:tc>
        <w:tc>
          <w:tcPr>
            <w:tcW w:w="6521" w:type="dxa"/>
            <w:vAlign w:val="top"/>
          </w:tcPr>
          <w:p>
            <w:pPr>
              <w:rPr>
                <w:rFonts w:ascii="宋体" w:hAnsi="宋体" w:eastAsia="宋体"/>
                <w:szCs w:val="21"/>
                <w:lang w:eastAsia="zh-CN"/>
              </w:rPr>
            </w:pPr>
            <w:r>
              <w:rPr>
                <w:rFonts w:hint="eastAsia" w:ascii="宋体" w:hAnsi="宋体" w:eastAsia="宋体"/>
                <w:szCs w:val="21"/>
                <w:lang w:eastAsia="zh-CN"/>
              </w:rPr>
              <w:t>外形尺寸: 整体高度（含支架）≤2130mm（最低可至2030mm），工作区内部工作尺寸宽度要求≥1850mm</w:t>
            </w:r>
          </w:p>
        </w:tc>
        <w:tc>
          <w:tcPr>
            <w:tcW w:w="2131" w:type="dxa"/>
            <w:vAlign w:val="top"/>
          </w:tcPr>
          <w:p>
            <w:pPr>
              <w:pStyle w:val="36"/>
              <w:ind w:firstLine="420"/>
              <w:jc w:val="center"/>
              <w:rPr>
                <w:sz w:val="21"/>
                <w:szCs w:val="21"/>
                <w:lang w:val="en-US" w:eastAsia="zh-CN"/>
              </w:rPr>
            </w:pPr>
            <w:r>
              <w:rPr>
                <w:rFonts w:hint="eastAsia"/>
                <w:sz w:val="21"/>
                <w:szCs w:val="21"/>
                <w:lang w:val="en-US" w:eastAsia="zh-CN"/>
              </w:rPr>
              <w:t>菌种间    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top"/>
          </w:tcPr>
          <w:p>
            <w:pPr>
              <w:pStyle w:val="36"/>
              <w:ind w:firstLine="420"/>
              <w:jc w:val="center"/>
              <w:rPr>
                <w:sz w:val="21"/>
                <w:szCs w:val="21"/>
                <w:lang w:val="en-US" w:eastAsia="zh-CN"/>
              </w:rPr>
            </w:pPr>
            <w:r>
              <w:rPr>
                <w:rFonts w:hint="eastAsia"/>
                <w:sz w:val="21"/>
                <w:szCs w:val="21"/>
                <w:lang w:val="en-US" w:eastAsia="zh-CN"/>
              </w:rPr>
              <w:t>生物安全柜</w:t>
            </w:r>
          </w:p>
        </w:tc>
        <w:tc>
          <w:tcPr>
            <w:tcW w:w="6521" w:type="dxa"/>
            <w:vAlign w:val="top"/>
          </w:tcPr>
          <w:p>
            <w:pPr>
              <w:pStyle w:val="36"/>
              <w:ind w:firstLine="0" w:firstLineChars="0"/>
              <w:rPr>
                <w:rFonts w:ascii="宋体" w:hAnsi="宋体" w:eastAsia="宋体"/>
                <w:sz w:val="21"/>
                <w:szCs w:val="21"/>
                <w:lang w:val="en-US" w:eastAsia="zh-CN"/>
              </w:rPr>
            </w:pPr>
            <w:r>
              <w:rPr>
                <w:rFonts w:hint="eastAsia" w:ascii="宋体" w:hAnsi="宋体" w:eastAsia="宋体"/>
                <w:sz w:val="21"/>
                <w:szCs w:val="21"/>
                <w:lang w:val="en-US" w:eastAsia="zh-CN"/>
              </w:rPr>
              <w:t>外形尺寸:整体高度（含支架）≤2130mm（最低可至2030mm），工作区内部工作尺寸宽度要求≥1250mm</w:t>
            </w:r>
          </w:p>
        </w:tc>
        <w:tc>
          <w:tcPr>
            <w:tcW w:w="2131" w:type="dxa"/>
            <w:vAlign w:val="top"/>
          </w:tcPr>
          <w:p>
            <w:pPr>
              <w:pStyle w:val="36"/>
              <w:ind w:firstLine="420"/>
              <w:jc w:val="center"/>
              <w:rPr>
                <w:sz w:val="21"/>
                <w:szCs w:val="21"/>
                <w:lang w:val="en-US" w:eastAsia="zh-CN"/>
              </w:rPr>
            </w:pPr>
            <w:r>
              <w:rPr>
                <w:rFonts w:hint="eastAsia"/>
                <w:sz w:val="21"/>
                <w:szCs w:val="21"/>
                <w:lang w:val="en-US" w:eastAsia="zh-CN"/>
              </w:rPr>
              <w:t>检定间    D级</w:t>
            </w:r>
          </w:p>
        </w:tc>
      </w:tr>
    </w:tbl>
    <w:p>
      <w:pPr>
        <w:pStyle w:val="36"/>
        <w:ind w:firstLine="0" w:firstLineChars="0"/>
        <w:rPr>
          <w:sz w:val="21"/>
          <w:szCs w:val="21"/>
          <w:lang w:val="en-US" w:eastAsia="zh-CN"/>
        </w:rPr>
      </w:pPr>
    </w:p>
    <w:permEnd w:id="7"/>
    <w:p>
      <w:pPr>
        <w:pStyle w:val="34"/>
        <w:spacing w:before="0" w:line="360" w:lineRule="auto"/>
        <w:ind w:left="357"/>
        <w:jc w:val="left"/>
        <w:rPr>
          <w:i/>
          <w:color w:val="4472C4"/>
          <w:szCs w:val="21"/>
          <w:lang w:eastAsia="zh-CN"/>
        </w:rPr>
      </w:pPr>
    </w:p>
    <w:p>
      <w:pPr>
        <w:pStyle w:val="30"/>
        <w:numPr>
          <w:ilvl w:val="0"/>
          <w:numId w:val="3"/>
        </w:numPr>
        <w:spacing w:afterLines="50"/>
        <w:ind w:left="426" w:hanging="426" w:hangingChars="202"/>
        <w:outlineLvl w:val="0"/>
        <w:rPr>
          <w:rFonts w:ascii="Times New Roman" w:hAnsi="Times New Roman"/>
          <w:b/>
          <w:szCs w:val="21"/>
        </w:rPr>
      </w:pPr>
      <w:bookmarkStart w:id="22" w:name="_Toc17546272"/>
      <w:r>
        <w:rPr>
          <w:rFonts w:ascii="Times New Roman" w:hAnsi="Times New Roman"/>
          <w:b/>
          <w:szCs w:val="21"/>
        </w:rPr>
        <w:t>安装要求</w:t>
      </w:r>
      <w:bookmarkEnd w:id="22"/>
    </w:p>
    <w:p>
      <w:pPr>
        <w:pStyle w:val="30"/>
        <w:spacing w:afterLines="50"/>
        <w:ind w:left="425" w:firstLine="0" w:firstLineChars="0"/>
        <w:rPr>
          <w:rFonts w:ascii="Times New Roman" w:hAnsi="Times New Roman"/>
          <w:szCs w:val="21"/>
        </w:rPr>
      </w:pPr>
      <w:permStart w:id="8" w:edGrp="everyone"/>
      <w:permEnd w:id="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9" w:edGrp="everyone"/>
          </w:p>
        </w:tc>
        <w:tc>
          <w:tcPr>
            <w:tcW w:w="7128" w:type="dxa"/>
            <w:vAlign w:val="center"/>
          </w:tcPr>
          <w:p>
            <w:pPr>
              <w:spacing w:line="276" w:lineRule="auto"/>
              <w:jc w:val="both"/>
              <w:rPr>
                <w:i/>
                <w:color w:val="0070C0"/>
                <w:szCs w:val="21"/>
                <w:lang w:eastAsia="zh-CN"/>
              </w:rPr>
            </w:pPr>
            <w:r>
              <w:rPr>
                <w:rFonts w:hint="eastAsia"/>
                <w:iCs/>
                <w:szCs w:val="21"/>
                <w:lang w:val="en-US" w:eastAsia="zh-CN"/>
              </w:rPr>
              <w:t>联合疫苗楼百日咳车间菌种间及检定间</w:t>
            </w:r>
          </w:p>
        </w:tc>
        <w:tc>
          <w:tcPr>
            <w:tcW w:w="2125" w:type="dxa"/>
            <w:vAlign w:val="center"/>
          </w:tcPr>
          <w:p>
            <w:pPr>
              <w:jc w:val="both"/>
              <w:rPr>
                <w:i/>
                <w:szCs w:val="21"/>
                <w:lang w:eastAsia="zh-CN"/>
              </w:rPr>
            </w:pPr>
            <w:r>
              <w:rPr>
                <w:rFonts w:hint="eastAsia"/>
                <w:iCs/>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0" w:edGrp="everyone"/>
          </w:p>
        </w:tc>
        <w:tc>
          <w:tcPr>
            <w:tcW w:w="7128" w:type="dxa"/>
            <w:vAlign w:val="center"/>
          </w:tcPr>
          <w:p>
            <w:pPr>
              <w:rPr>
                <w:rFonts w:eastAsia="宋体"/>
                <w:szCs w:val="21"/>
                <w:lang w:val="en-US" w:eastAsia="zh-CN"/>
              </w:rPr>
            </w:pPr>
            <w:r>
              <w:rPr>
                <w:rFonts w:hint="eastAsia" w:eastAsia="宋体"/>
                <w:szCs w:val="21"/>
                <w:lang w:val="en-US" w:eastAsia="zh-CN"/>
              </w:rPr>
              <w:t>外形尺寸: 整体高度（含支架）≤2130mm（最低可至2030mm），工作区内部工作尺寸宽度要求≥1850mm</w:t>
            </w:r>
            <w:r>
              <w:rPr>
                <w:rFonts w:eastAsia="宋体"/>
                <w:szCs w:val="21"/>
                <w:lang w:val="en-US" w:eastAsia="zh-CN"/>
              </w:rPr>
              <w:t xml:space="preserve">  菌种间</w:t>
            </w:r>
          </w:p>
          <w:p>
            <w:pPr>
              <w:rPr>
                <w:rFonts w:eastAsia="宋体"/>
                <w:color w:val="FFFFFF"/>
                <w:szCs w:val="21"/>
                <w:lang w:val="en-US" w:eastAsia="zh-CN"/>
              </w:rPr>
            </w:pPr>
            <w:r>
              <w:rPr>
                <w:rFonts w:hint="eastAsia" w:eastAsia="宋体"/>
                <w:szCs w:val="21"/>
                <w:lang w:val="en-US" w:eastAsia="zh-CN"/>
              </w:rPr>
              <w:t>外形尺寸:整体高度（含支架）≤2130mm（最低可至2030mm），工作区内部工作尺寸宽度要求≥1250mm</w:t>
            </w:r>
            <w:r>
              <w:rPr>
                <w:rFonts w:eastAsia="宋体"/>
                <w:szCs w:val="21"/>
                <w:lang w:val="en-US" w:eastAsia="zh-CN"/>
              </w:rPr>
              <w:t xml:space="preserve">   检定间</w:t>
            </w:r>
          </w:p>
        </w:tc>
        <w:tc>
          <w:tcPr>
            <w:tcW w:w="2125" w:type="dxa"/>
            <w:vAlign w:val="center"/>
          </w:tcPr>
          <w:p>
            <w:pPr>
              <w:jc w:val="both"/>
              <w:rPr>
                <w:szCs w:val="21"/>
                <w:lang w:val="en-US" w:eastAsia="zh-CN"/>
              </w:rPr>
            </w:pPr>
            <w:r>
              <w:rPr>
                <w:rFonts w:hint="eastAsia"/>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color w:val="0070C0"/>
                <w:szCs w:val="21"/>
                <w:lang w:val="en-US" w:eastAsia="zh-CN"/>
              </w:rPr>
            </w:pPr>
            <w:r>
              <w:rPr>
                <w:szCs w:val="21"/>
                <w:lang w:eastAsia="zh-CN"/>
              </w:rPr>
              <w:t>设备的形式尺寸应符合制造商说明书及技术文件规定的要求。</w:t>
            </w:r>
          </w:p>
        </w:tc>
        <w:tc>
          <w:tcPr>
            <w:tcW w:w="2125" w:type="dxa"/>
            <w:vAlign w:val="center"/>
          </w:tcPr>
          <w:p>
            <w:pPr>
              <w:jc w:val="both"/>
              <w:rPr>
                <w:szCs w:val="21"/>
                <w:lang w:val="en-US" w:eastAsia="zh-CN"/>
              </w:rPr>
            </w:pPr>
            <w:r>
              <w:rPr>
                <w:rFonts w:hint="eastAsia"/>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szCs w:val="21"/>
                <w:lang w:eastAsia="zh-CN"/>
              </w:rPr>
              <w:t>供应商必须给出设备选型方案及相应附件选型方案，并交给我公司</w:t>
            </w:r>
            <w:r>
              <w:rPr>
                <w:rFonts w:hint="eastAsia"/>
                <w:szCs w:val="21"/>
                <w:lang w:eastAsia="zh-CN"/>
              </w:rPr>
              <w:t>细菌类疫苗室及工程技术部的</w:t>
            </w:r>
            <w:r>
              <w:rPr>
                <w:szCs w:val="21"/>
                <w:lang w:eastAsia="zh-CN"/>
              </w:rPr>
              <w:t>审核。</w:t>
            </w:r>
          </w:p>
        </w:tc>
        <w:tc>
          <w:tcPr>
            <w:tcW w:w="2125" w:type="dxa"/>
            <w:vAlign w:val="center"/>
          </w:tcPr>
          <w:p>
            <w:pPr>
              <w:jc w:val="both"/>
              <w:rPr>
                <w:szCs w:val="21"/>
                <w:lang w:val="en-US" w:eastAsia="zh-CN"/>
              </w:rPr>
            </w:pPr>
            <w:r>
              <w:rPr>
                <w:rFonts w:hint="eastAsia"/>
                <w:szCs w:val="21"/>
                <w:lang w:val="en-US" w:eastAsia="zh-CN"/>
              </w:rPr>
              <w:t>期望</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i/>
                <w:color w:val="0070C0"/>
                <w:szCs w:val="21"/>
                <w:lang w:eastAsia="zh-CN"/>
              </w:rPr>
            </w:pPr>
            <w:r>
              <w:rPr>
                <w:rFonts w:hint="eastAsia" w:ascii="宋体" w:hAnsi="宋体"/>
                <w:szCs w:val="21"/>
                <w:lang w:eastAsia="zh-CN"/>
              </w:rPr>
              <w:t>其重量不超出房间地面承重要求。</w:t>
            </w:r>
          </w:p>
        </w:tc>
        <w:tc>
          <w:tcPr>
            <w:tcW w:w="2125" w:type="dxa"/>
            <w:vAlign w:val="center"/>
          </w:tcPr>
          <w:p>
            <w:pPr>
              <w:jc w:val="both"/>
              <w:rPr>
                <w:szCs w:val="21"/>
                <w:lang w:eastAsia="zh-CN"/>
              </w:rPr>
            </w:pPr>
            <w:r>
              <w:rPr>
                <w:rFonts w:hint="eastAsia"/>
                <w:szCs w:val="21"/>
                <w:lang w:val="en-US" w:eastAsia="zh-CN"/>
              </w:rPr>
              <w:t>期望</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13" w:edGrp="everyone"/>
          </w:p>
        </w:tc>
        <w:tc>
          <w:tcPr>
            <w:tcW w:w="9253" w:type="dxa"/>
            <w:gridSpan w:val="2"/>
            <w:vAlign w:val="center"/>
          </w:tcPr>
          <w:p>
            <w:pPr>
              <w:jc w:val="both"/>
              <w:rPr>
                <w:szCs w:val="21"/>
                <w:lang w:eastAsia="zh-CN"/>
              </w:rPr>
            </w:pPr>
            <w:r>
              <w:rPr>
                <w:rFonts w:hint="eastAsia"/>
                <w:iCs/>
                <w:szCs w:val="21"/>
                <w:lang w:val="en-US"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ermStart w:id="14" w:edGrp="everyone"/>
            <w:permEnd w:id="14"/>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rFonts w:hint="eastAsia"/>
                <w:lang w:eastAsia="zh-CN"/>
              </w:rPr>
              <w:t>适用于我公司</w:t>
            </w:r>
            <w:r>
              <w:rPr>
                <w:iCs/>
                <w:lang w:eastAsia="zh-CN"/>
              </w:rPr>
              <w:t>工作环境温度：能适应1</w:t>
            </w:r>
            <w:r>
              <w:rPr>
                <w:rFonts w:hint="eastAsia"/>
                <w:iCs/>
                <w:lang w:val="en-US" w:eastAsia="zh-CN"/>
              </w:rPr>
              <w:t>8</w:t>
            </w:r>
            <w:r>
              <w:rPr>
                <w:rFonts w:hint="eastAsia" w:ascii="宋体" w:hAnsi="宋体" w:cs="宋体"/>
                <w:iCs/>
                <w:lang w:eastAsia="zh-CN"/>
              </w:rPr>
              <w:t>℃</w:t>
            </w:r>
            <w:r>
              <w:rPr>
                <w:iCs/>
                <w:lang w:eastAsia="zh-CN"/>
              </w:rPr>
              <w:t>～</w:t>
            </w:r>
            <w:r>
              <w:rPr>
                <w:rFonts w:hint="eastAsia"/>
                <w:iCs/>
                <w:lang w:val="en-US" w:eastAsia="zh-CN"/>
              </w:rPr>
              <w:t>26</w:t>
            </w:r>
            <w:r>
              <w:rPr>
                <w:rFonts w:hint="eastAsia" w:ascii="宋体" w:hAnsi="宋体" w:cs="宋体"/>
                <w:iCs/>
                <w:lang w:eastAsia="zh-CN"/>
              </w:rPr>
              <w:t>℃</w:t>
            </w:r>
            <w:r>
              <w:rPr>
                <w:iCs/>
                <w:lang w:eastAsia="zh-CN"/>
              </w:rPr>
              <w:t xml:space="preserve">环境 </w:t>
            </w:r>
          </w:p>
        </w:tc>
        <w:tc>
          <w:tcPr>
            <w:tcW w:w="2125" w:type="dxa"/>
            <w:vAlign w:val="center"/>
          </w:tcPr>
          <w:p>
            <w:pPr>
              <w:jc w:val="both"/>
              <w:rPr>
                <w:szCs w:val="21"/>
                <w:lang w:val="en-US" w:eastAsia="zh-CN"/>
              </w:rPr>
            </w:pPr>
            <w:r>
              <w:rPr>
                <w:rFonts w:hint="eastAsia"/>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rFonts w:hint="eastAsia"/>
                <w:lang w:eastAsia="zh-CN"/>
              </w:rPr>
              <w:t>适用于我公司</w:t>
            </w:r>
            <w:r>
              <w:rPr>
                <w:color w:val="000000"/>
                <w:lang w:eastAsia="zh-CN"/>
              </w:rPr>
              <w:t>工作环境湿度：至少包括</w:t>
            </w:r>
            <w:r>
              <w:rPr>
                <w:lang w:eastAsia="zh-CN"/>
              </w:rPr>
              <w:t>45</w:t>
            </w:r>
            <w:r>
              <w:rPr>
                <w:color w:val="000000"/>
                <w:lang w:eastAsia="zh-CN"/>
              </w:rPr>
              <w:t>%～</w:t>
            </w:r>
            <w:r>
              <w:rPr>
                <w:lang w:eastAsia="zh-CN"/>
              </w:rPr>
              <w:t>65</w:t>
            </w:r>
            <w:r>
              <w:rPr>
                <w:color w:val="000000"/>
                <w:lang w:eastAsia="zh-CN"/>
              </w:rPr>
              <w:t>%</w:t>
            </w:r>
          </w:p>
        </w:tc>
        <w:tc>
          <w:tcPr>
            <w:tcW w:w="2125" w:type="dxa"/>
            <w:vAlign w:val="center"/>
          </w:tcPr>
          <w:p>
            <w:pPr>
              <w:jc w:val="both"/>
              <w:rPr>
                <w:szCs w:val="21"/>
                <w:lang w:val="en-US"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rFonts w:hint="eastAsia"/>
                <w:lang w:eastAsia="zh-CN"/>
              </w:rPr>
              <w:t>适用于我公司</w:t>
            </w:r>
            <w:r>
              <w:rPr>
                <w:color w:val="000000"/>
                <w:lang w:eastAsia="zh-CN"/>
              </w:rPr>
              <w:t>工作环境洁净级别：</w:t>
            </w:r>
            <w:r>
              <w:rPr>
                <w:rFonts w:hint="eastAsia"/>
                <w:color w:val="000000"/>
                <w:lang w:eastAsia="zh-CN"/>
              </w:rPr>
              <w:t xml:space="preserve"> D</w:t>
            </w:r>
            <w:r>
              <w:rPr>
                <w:color w:val="000000"/>
                <w:lang w:eastAsia="zh-CN"/>
              </w:rPr>
              <w:t>级</w:t>
            </w:r>
            <w:r>
              <w:rPr>
                <w:rFonts w:hint="eastAsia"/>
                <w:color w:val="000000"/>
                <w:lang w:eastAsia="zh-CN"/>
              </w:rPr>
              <w:t>1台、</w:t>
            </w:r>
            <w:r>
              <w:rPr>
                <w:iCs/>
                <w:lang w:eastAsia="zh-CN"/>
              </w:rPr>
              <w:t>C级</w:t>
            </w:r>
            <w:r>
              <w:rPr>
                <w:rFonts w:hint="eastAsia"/>
                <w:iCs/>
                <w:lang w:eastAsia="zh-CN"/>
              </w:rPr>
              <w:t>1台</w:t>
            </w:r>
          </w:p>
        </w:tc>
        <w:tc>
          <w:tcPr>
            <w:tcW w:w="2125" w:type="dxa"/>
            <w:vAlign w:val="center"/>
          </w:tcPr>
          <w:p>
            <w:pPr>
              <w:jc w:val="both"/>
              <w:rPr>
                <w:szCs w:val="21"/>
                <w:lang w:val="en-US" w:eastAsia="zh-CN"/>
              </w:rPr>
            </w:pPr>
            <w:r>
              <w:rPr>
                <w:rFonts w:hint="eastAsia"/>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rFonts w:hint="eastAsia"/>
                <w:lang w:eastAsia="zh-CN"/>
              </w:rPr>
              <w:t>适用于我公司</w:t>
            </w:r>
            <w:r>
              <w:rPr>
                <w:color w:val="000000"/>
                <w:lang w:eastAsia="zh-CN"/>
              </w:rPr>
              <w:t>交流电电源：</w:t>
            </w:r>
            <w:r>
              <w:rPr>
                <w:iCs/>
                <w:lang w:eastAsia="zh-CN"/>
              </w:rPr>
              <w:t xml:space="preserve">220±10%V，50±1Hz </w:t>
            </w:r>
          </w:p>
        </w:tc>
        <w:tc>
          <w:tcPr>
            <w:tcW w:w="2125" w:type="dxa"/>
            <w:vAlign w:val="center"/>
          </w:tcPr>
          <w:p>
            <w:pPr>
              <w:jc w:val="both"/>
              <w:rPr>
                <w:szCs w:val="21"/>
                <w:lang w:val="en-US" w:eastAsia="zh-CN"/>
              </w:rPr>
            </w:pPr>
            <w:r>
              <w:rPr>
                <w:rFonts w:hint="eastAsia"/>
                <w:szCs w:val="21"/>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设备外观应端正、整齐，不得有明显的偏歪、毛刺和锈蚀等缺陷。</w:t>
            </w:r>
          </w:p>
          <w:p>
            <w:pPr>
              <w:spacing w:line="276" w:lineRule="auto"/>
              <w:jc w:val="both"/>
              <w:rPr>
                <w:i/>
                <w:color w:val="000000"/>
                <w:lang w:eastAsia="zh-CN"/>
              </w:rPr>
            </w:pPr>
            <w:r>
              <w:rPr>
                <w:rFonts w:hint="eastAsia" w:ascii="宋体" w:hAnsi="宋体"/>
                <w:szCs w:val="21"/>
                <w:lang w:eastAsia="zh-CN"/>
              </w:rPr>
              <w:t>设备内部表面不得有凹陷、毛刺和锈蚀等缺陷，负压环绕的双层箱体，工作区全部采用SUS304不锈钢一体成型，无接缝圆弧角结构增加自净功能</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仿宋_GB2312" w:hAnsi="宋体"/>
                <w:szCs w:val="21"/>
                <w:lang w:eastAsia="zh-CN"/>
              </w:rPr>
              <w:t>工作区和外排出风口处各配备一个高灵敏度、高精度的微风速传感器，非压差传感器，真实、实时检测风速，提供实物图片证明</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仿宋_GB2312" w:hAnsi="宋体"/>
                <w:szCs w:val="21"/>
                <w:lang w:eastAsia="zh-CN"/>
              </w:rPr>
            </w:pPr>
            <w:r>
              <w:rPr>
                <w:rFonts w:hint="eastAsia" w:ascii="仿宋_GB2312" w:hAnsi="宋体"/>
                <w:szCs w:val="21"/>
                <w:lang w:eastAsia="zh-CN"/>
              </w:rPr>
              <w:t>需预留外置高效检漏孔和发烟孔</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仿宋_GB2312" w:hAnsi="宋体"/>
                <w:szCs w:val="21"/>
                <w:lang w:eastAsia="zh-CN"/>
              </w:rPr>
            </w:pPr>
            <w:r>
              <w:rPr>
                <w:rFonts w:hint="eastAsia" w:ascii="仿宋_GB2312" w:hAnsi="宋体"/>
                <w:szCs w:val="21"/>
                <w:lang w:eastAsia="zh-CN"/>
              </w:rPr>
              <w:t>使用国际知名品牌，风速可自动调节，故障率低，噪音小，与风速传感器联动，提供证明文件。</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rPr>
                <w:rFonts w:ascii="宋体" w:hAnsi="宋体"/>
                <w:szCs w:val="21"/>
                <w:lang w:eastAsia="zh-CN"/>
              </w:rPr>
            </w:pPr>
            <w:r>
              <w:rPr>
                <w:rFonts w:hint="eastAsia" w:ascii="仿宋_GB2312" w:hAnsi="宋体"/>
                <w:szCs w:val="21"/>
                <w:lang w:eastAsia="zh-CN"/>
              </w:rPr>
              <w:t>紫外灯和日光灯不得安装在工作区背面或工作区侧面，避免直接照射到操作人员，确保使用安全，同时具有</w:t>
            </w:r>
            <w:r>
              <w:rPr>
                <w:rFonts w:hint="eastAsia"/>
                <w:szCs w:val="21"/>
                <w:lang w:eastAsia="zh-CN"/>
              </w:rPr>
              <w:t>紫外灯预约功能，可预约紫外灯自动开启/关闭时间、灭菌时间，减少等待时间</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工作区配置各种气管连接阀门</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仿宋_GB2312" w:hAnsi="宋体"/>
                <w:szCs w:val="21"/>
                <w:lang w:eastAsia="zh-CN"/>
              </w:rPr>
              <w:t>操作台面前采用搁手架设计，操作舒适，操作灵活度空间更大</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仿宋_GB2312" w:hAnsi="宋体"/>
                <w:szCs w:val="21"/>
                <w:lang w:eastAsia="zh-CN"/>
              </w:rPr>
            </w:pPr>
            <w:r>
              <w:rPr>
                <w:rFonts w:hint="eastAsia" w:ascii="仿宋_GB2312" w:hAnsi="宋体"/>
                <w:szCs w:val="21"/>
                <w:lang w:eastAsia="zh-CN"/>
              </w:rPr>
              <w:t>柜内电源：双防水插座设计，插座位于安全柜左右两侧，操作更加灵活方便</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仿宋_GB2312" w:hAnsi="宋体"/>
                <w:szCs w:val="21"/>
                <w:lang w:eastAsia="zh-CN"/>
              </w:rPr>
              <w:t>玻璃前窗采用倾角人性化设计，提高了操作人员在安全柜前的操作舒适性，采用安全钢化玻璃，具有良好的防爆、防碎及防紫外的功能</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rPr>
                <w:rFonts w:ascii="宋体" w:hAnsi="宋体"/>
                <w:szCs w:val="21"/>
                <w:lang w:eastAsia="zh-CN"/>
              </w:rPr>
            </w:pPr>
            <w:r>
              <w:rPr>
                <w:rFonts w:hint="eastAsia" w:ascii="仿宋_GB2312" w:hAnsi="宋体"/>
                <w:szCs w:val="21"/>
                <w:lang w:eastAsia="zh-CN"/>
              </w:rPr>
              <w:t>整个工作台面下对应面积全部为集液槽，304不锈钢，有排污阀，方便清洗消毒</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rPr>
                <w:rFonts w:ascii="宋体" w:hAnsi="宋体"/>
                <w:szCs w:val="21"/>
                <w:lang w:eastAsia="zh-CN"/>
              </w:rPr>
            </w:pPr>
            <w:r>
              <w:rPr>
                <w:rFonts w:hint="eastAsia" w:ascii="宋体" w:hAnsi="宋体" w:cs="宋体"/>
                <w:color w:val="000000"/>
                <w:lang w:eastAsia="zh-CN"/>
              </w:rPr>
              <w:t>具有水阀、气阀、真空阀等阀门预留孔，位于安全柜</w:t>
            </w:r>
            <w:r>
              <w:rPr>
                <w:rFonts w:hint="eastAsia" w:ascii="仿宋_GB2312" w:hAnsi="宋体"/>
                <w:szCs w:val="21"/>
                <w:lang w:eastAsia="zh-CN"/>
              </w:rPr>
              <w:t>左右两侧，操作更加灵活方便</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在线实时监测并条形码显示高效过滤器的使用寿命，具有过滤器失效声光报警功能，保证实验的安全性，提供国家权威机构出具的证明文件；</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rPr>
                <w:szCs w:val="21"/>
                <w:lang w:eastAsia="zh-CN"/>
              </w:rPr>
            </w:pPr>
            <w:r>
              <w:rPr>
                <w:szCs w:val="21"/>
                <w:lang w:eastAsia="zh-CN"/>
              </w:rPr>
              <w:t>工作区三侧壁板为一体化成型，304不锈钢材质，双层侧壁形成负压保护</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可选配与主机同一品牌的活性炭过滤器装置，且活性炭过滤装置面板能实时显示使用寿命，具有失效报警功能。</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前窗采用手动升降方式，具有安全高度高精度上、下限位，声光报警</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（2）型号；</w:t>
            </w:r>
          </w:p>
          <w:p>
            <w:pPr>
              <w:spacing w:line="276" w:lineRule="auto"/>
              <w:jc w:val="both"/>
              <w:rPr>
                <w:szCs w:val="21"/>
                <w:lang w:eastAsia="zh-CN"/>
              </w:rPr>
            </w:pPr>
            <w:r>
              <w:rPr>
                <w:szCs w:val="21"/>
                <w:lang w:eastAsia="zh-CN"/>
              </w:rPr>
              <w:t>（3）生产日期或编号；</w:t>
            </w:r>
          </w:p>
          <w:p>
            <w:pPr>
              <w:spacing w:line="276" w:lineRule="auto"/>
              <w:jc w:val="both"/>
              <w:rPr>
                <w:szCs w:val="21"/>
                <w:lang w:eastAsia="zh-CN"/>
              </w:rPr>
            </w:pPr>
            <w:r>
              <w:rPr>
                <w:szCs w:val="21"/>
                <w:lang w:eastAsia="zh-CN"/>
              </w:rPr>
              <w:t>（4）对设备必要的说明；</w:t>
            </w:r>
          </w:p>
          <w:p>
            <w:pPr>
              <w:pStyle w:val="8"/>
              <w:spacing w:line="276" w:lineRule="auto"/>
              <w:rPr>
                <w:sz w:val="21"/>
                <w:szCs w:val="21"/>
                <w:lang w:eastAsia="zh-CN"/>
              </w:rPr>
            </w:pPr>
            <w:r>
              <w:rPr>
                <w:sz w:val="21"/>
                <w:szCs w:val="21"/>
                <w:lang w:eastAsia="zh-CN"/>
              </w:rPr>
              <w:t>（5）安全标识。</w:t>
            </w:r>
          </w:p>
          <w:p>
            <w:pPr>
              <w:pStyle w:val="8"/>
              <w:spacing w:line="276" w:lineRule="auto"/>
              <w:rPr>
                <w:color w:val="0070C0"/>
                <w:sz w:val="21"/>
                <w:szCs w:val="21"/>
                <w:lang w:eastAsia="zh-CN"/>
              </w:rPr>
            </w:pPr>
            <w:r>
              <w:rPr>
                <w:rFonts w:hint="eastAsia"/>
                <w:sz w:val="21"/>
                <w:szCs w:val="21"/>
                <w:lang w:eastAsia="zh-CN"/>
              </w:rPr>
              <w:t>（</w:t>
            </w:r>
            <w:r>
              <w:rPr>
                <w:sz w:val="21"/>
                <w:szCs w:val="21"/>
                <w:lang w:eastAsia="zh-CN"/>
              </w:rPr>
              <w:t>6</w:t>
            </w:r>
            <w:r>
              <w:rPr>
                <w:rFonts w:hint="eastAsia"/>
                <w:sz w:val="21"/>
                <w:szCs w:val="21"/>
                <w:lang w:eastAsia="zh-CN"/>
              </w:rPr>
              <w:t>）电控柜配备电器图纸和工艺图纸。</w:t>
            </w:r>
          </w:p>
        </w:tc>
        <w:tc>
          <w:tcPr>
            <w:tcW w:w="2125" w:type="dxa"/>
            <w:vAlign w:val="center"/>
          </w:tcPr>
          <w:p>
            <w:pPr>
              <w:jc w:val="both"/>
              <w:rPr>
                <w:szCs w:val="21"/>
                <w:lang w:val="en-US" w:eastAsia="zh-CN"/>
              </w:rPr>
            </w:pPr>
            <w:r>
              <w:rPr>
                <w:rFonts w:hint="eastAsia"/>
                <w:szCs w:val="21"/>
                <w:lang w:val="en-US" w:eastAsia="zh-CN"/>
              </w:rPr>
              <w:t>关键</w:t>
            </w:r>
          </w:p>
        </w:tc>
      </w:tr>
      <w:bookmarkEnd w:id="23"/>
      <w:bookmarkEnd w:id="24"/>
      <w:permEnd w:id="19"/>
    </w:tbl>
    <w:p>
      <w:pPr>
        <w:pStyle w:val="30"/>
        <w:spacing w:afterLines="50"/>
        <w:ind w:left="425" w:firstLine="0" w:firstLineChars="0"/>
        <w:rPr>
          <w:rFonts w:ascii="Times New Roman" w:hAnsi="Times New Roman"/>
          <w:szCs w:val="21"/>
        </w:rPr>
      </w:pPr>
    </w:p>
    <w:p>
      <w:pPr>
        <w:pStyle w:val="30"/>
        <w:numPr>
          <w:ilvl w:val="0"/>
          <w:numId w:val="3"/>
        </w:numPr>
        <w:spacing w:afterLines="50"/>
        <w:ind w:left="426" w:hanging="426" w:hangingChars="202"/>
        <w:outlineLvl w:val="0"/>
        <w:rPr>
          <w:rFonts w:ascii="Times New Roman" w:hAnsi="Times New Roman"/>
          <w:b/>
        </w:rPr>
      </w:pPr>
      <w:bookmarkStart w:id="25" w:name="_Toc17546273"/>
      <w:bookmarkStart w:id="26" w:name="_Toc522107740"/>
      <w:r>
        <w:rPr>
          <w:rFonts w:ascii="Times New Roman" w:hAnsi="Times New Roman"/>
          <w:b/>
        </w:rPr>
        <w:t>运行要求</w:t>
      </w:r>
      <w:bookmarkEnd w:id="25"/>
      <w:bookmarkEnd w:id="26"/>
    </w:p>
    <w:p>
      <w:pPr>
        <w:pStyle w:val="34"/>
        <w:spacing w:before="0" w:line="360" w:lineRule="auto"/>
        <w:jc w:val="left"/>
        <w:rPr>
          <w:bCs/>
          <w:i/>
          <w:color w:val="4472C4"/>
          <w:kern w:val="44"/>
          <w:szCs w:val="21"/>
          <w:lang w:eastAsia="zh-CN"/>
        </w:rPr>
      </w:pPr>
      <w:permStart w:id="2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1" w:edGrp="everyone"/>
          </w:p>
        </w:tc>
        <w:tc>
          <w:tcPr>
            <w:tcW w:w="9253" w:type="dxa"/>
            <w:gridSpan w:val="2"/>
            <w:vAlign w:val="center"/>
          </w:tcPr>
          <w:p>
            <w:pPr>
              <w:jc w:val="both"/>
              <w:rPr>
                <w:szCs w:val="21"/>
                <w:lang w:eastAsia="zh-CN"/>
              </w:rPr>
            </w:pPr>
            <w:r>
              <w:rPr>
                <w:rFonts w:hint="eastAsia"/>
                <w:szCs w:val="21"/>
                <w:lang w:val="en-US"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2" w:edGrp="everyone"/>
            <w:r>
              <w:rPr>
                <w:rFonts w:hint="eastAsia" w:ascii="Times New Roman" w:hAnsi="Times New Roman"/>
                <w:szCs w:val="21"/>
              </w:rPr>
              <w:t xml:space="preserve"> </w:t>
            </w:r>
          </w:p>
        </w:tc>
        <w:tc>
          <w:tcPr>
            <w:tcW w:w="9253" w:type="dxa"/>
            <w:gridSpan w:val="2"/>
            <w:vAlign w:val="center"/>
          </w:tcPr>
          <w:p>
            <w:pPr>
              <w:jc w:val="both"/>
              <w:rPr>
                <w:szCs w:val="21"/>
                <w:lang w:val="en-US" w:eastAsia="zh-CN"/>
              </w:rPr>
            </w:pPr>
            <w:r>
              <w:rPr>
                <w:rFonts w:hint="eastAsia"/>
                <w:szCs w:val="21"/>
                <w:lang w:val="en-US" w:eastAsia="zh-CN"/>
              </w:rPr>
              <w:t>N/A</w:t>
            </w:r>
            <w:r>
              <w:rPr>
                <w:rFonts w:hint="eastAsia" w:ascii="宋体" w:hAnsi="宋体" w:eastAsia="宋体"/>
                <w:color w:val="000000"/>
                <w:szCs w:val="21"/>
              </w:rPr>
              <w:t xml:space="preserve"> </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i/>
                <w:szCs w:val="21"/>
                <w:lang w:val="en-US" w:eastAsia="zh-CN"/>
              </w:rPr>
            </w:pPr>
            <w:r>
              <w:rPr>
                <w:rFonts w:hint="eastAsia"/>
                <w:iCs/>
                <w:szCs w:val="21"/>
                <w:lang w:eastAsia="zh-CN"/>
              </w:rPr>
              <w:t>电源：AC220V,1Ф,50Hz</w:t>
            </w:r>
            <w:r>
              <w:rPr>
                <w:rFonts w:hint="eastAsia"/>
                <w:iCs/>
                <w:szCs w:val="21"/>
                <w:lang w:val="en-US" w:eastAsia="zh-CN"/>
              </w:rPr>
              <w:t xml:space="preserve">            功率：2.1KW（含备用插座）</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型号：A级保护， B型。</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气流模式：100%外排</w:t>
            </w:r>
          </w:p>
        </w:tc>
        <w:tc>
          <w:tcPr>
            <w:tcW w:w="2125" w:type="dxa"/>
            <w:vAlign w:val="center"/>
          </w:tcPr>
          <w:p>
            <w:pPr>
              <w:jc w:val="both"/>
              <w:rPr>
                <w:szCs w:val="21"/>
                <w:lang w:val="en-US" w:eastAsia="zh-CN"/>
              </w:rPr>
            </w:pPr>
            <w:r>
              <w:rPr>
                <w:rFonts w:hint="eastAsia"/>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szCs w:val="21"/>
                <w:lang w:val="en-US" w:eastAsia="zh-CN"/>
              </w:rPr>
            </w:pPr>
            <w:r>
              <w:rPr>
                <w:rFonts w:hint="eastAsia"/>
                <w:szCs w:val="21"/>
                <w:lang w:val="en-US" w:eastAsia="zh-CN"/>
              </w:rPr>
              <w:t>紫外灯：标配30W、254nm消毒紫外灯，易于更换</w:t>
            </w:r>
          </w:p>
        </w:tc>
        <w:tc>
          <w:tcPr>
            <w:tcW w:w="2125" w:type="dxa"/>
            <w:vAlign w:val="center"/>
          </w:tcPr>
          <w:p>
            <w:pPr>
              <w:jc w:val="both"/>
              <w:rPr>
                <w:szCs w:val="21"/>
                <w:lang w:val="en-US" w:eastAsia="zh-CN"/>
              </w:rPr>
            </w:pPr>
            <w:r>
              <w:rPr>
                <w:rFonts w:hint="eastAsia"/>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szCs w:val="21"/>
                <w:lang w:val="en-US" w:eastAsia="zh-CN"/>
              </w:rPr>
            </w:pPr>
            <w:r>
              <w:rPr>
                <w:rFonts w:hint="eastAsia"/>
                <w:szCs w:val="21"/>
                <w:lang w:val="en-US" w:eastAsia="zh-CN"/>
              </w:rPr>
              <w:t>照度：&gt;1000 Lux，荧光灯位于非污染区域      噪音：&lt;65 dBA</w:t>
            </w:r>
          </w:p>
        </w:tc>
        <w:tc>
          <w:tcPr>
            <w:tcW w:w="2125" w:type="dxa"/>
            <w:vAlign w:val="center"/>
          </w:tcPr>
          <w:p>
            <w:pPr>
              <w:jc w:val="both"/>
              <w:rPr>
                <w:szCs w:val="21"/>
                <w:lang w:val="en-US" w:eastAsia="zh-CN"/>
              </w:rPr>
            </w:pPr>
            <w:r>
              <w:rPr>
                <w:rFonts w:hint="eastAsia"/>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szCs w:val="21"/>
                <w:lang w:val="en-US" w:eastAsia="zh-CN"/>
              </w:rPr>
            </w:pPr>
            <w:r>
              <w:rPr>
                <w:rFonts w:hint="eastAsia"/>
                <w:szCs w:val="21"/>
                <w:lang w:val="en-US" w:eastAsia="zh-CN"/>
              </w:rPr>
              <w:t xml:space="preserve">操作室洁净等级：达到美联邦209 E标准1级洁净度或ISO 14644.1标准Class </w:t>
            </w:r>
            <w:r>
              <w:rPr>
                <w:szCs w:val="21"/>
                <w:lang w:val="en-US" w:eastAsia="zh-CN"/>
              </w:rPr>
              <w:t>5</w:t>
            </w:r>
            <w:r>
              <w:rPr>
                <w:rFonts w:hint="eastAsia"/>
                <w:szCs w:val="21"/>
                <w:lang w:val="en-US" w:eastAsia="zh-CN"/>
              </w:rPr>
              <w:t>级</w:t>
            </w:r>
          </w:p>
        </w:tc>
        <w:tc>
          <w:tcPr>
            <w:tcW w:w="2125" w:type="dxa"/>
            <w:vAlign w:val="center"/>
          </w:tcPr>
          <w:p>
            <w:pPr>
              <w:jc w:val="both"/>
              <w:rPr>
                <w:szCs w:val="21"/>
                <w:lang w:val="en-US" w:eastAsia="zh-CN"/>
              </w:rPr>
            </w:pPr>
            <w:r>
              <w:rPr>
                <w:rFonts w:hint="eastAsia"/>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szCs w:val="21"/>
                <w:lang w:val="en-US" w:eastAsia="zh-CN"/>
              </w:rPr>
            </w:pPr>
            <w:r>
              <w:rPr>
                <w:rFonts w:ascii="宋体" w:hAnsi="宋体" w:eastAsia="宋体"/>
                <w:color w:val="000000"/>
                <w:szCs w:val="21"/>
                <w:lang w:eastAsia="zh-CN"/>
              </w:rPr>
              <w:t xml:space="preserve"> </w:t>
            </w:r>
            <w:r>
              <w:rPr>
                <w:rFonts w:hint="eastAsia" w:ascii="宋体" w:hAnsi="宋体" w:eastAsia="宋体"/>
                <w:color w:val="000000"/>
                <w:szCs w:val="21"/>
                <w:lang w:eastAsia="zh-CN"/>
              </w:rPr>
              <w:t>使用</w:t>
            </w:r>
            <w:r>
              <w:rPr>
                <w:rFonts w:eastAsia="宋体"/>
                <w:color w:val="000000"/>
                <w:szCs w:val="21"/>
                <w:lang w:eastAsia="zh-CN"/>
              </w:rPr>
              <w:t>进口</w:t>
            </w:r>
            <w:r>
              <w:rPr>
                <w:rFonts w:hint="eastAsia" w:eastAsia="宋体"/>
                <w:color w:val="000000"/>
                <w:szCs w:val="21"/>
                <w:lang w:eastAsia="zh-CN"/>
              </w:rPr>
              <w:t>知名品牌</w:t>
            </w:r>
            <w:r>
              <w:rPr>
                <w:rFonts w:eastAsia="宋体"/>
                <w:color w:val="000000"/>
                <w:szCs w:val="21"/>
                <w:lang w:eastAsia="zh-CN"/>
              </w:rPr>
              <w:t>超高效空气过滤器，针对颗粒直径0.12um，过滤效率≥99.999%，提供进口证明文件</w:t>
            </w:r>
            <w:r>
              <w:rPr>
                <w:rFonts w:hint="eastAsia" w:eastAsia="宋体"/>
                <w:color w:val="000000"/>
                <w:szCs w:val="21"/>
                <w:lang w:eastAsia="zh-CN"/>
              </w:rPr>
              <w:t>。</w:t>
            </w:r>
          </w:p>
        </w:tc>
        <w:tc>
          <w:tcPr>
            <w:tcW w:w="2125" w:type="dxa"/>
            <w:vAlign w:val="center"/>
          </w:tcPr>
          <w:p>
            <w:pPr>
              <w:jc w:val="both"/>
              <w:rPr>
                <w:szCs w:val="21"/>
                <w:lang w:val="en-US" w:eastAsia="zh-CN"/>
              </w:rPr>
            </w:pPr>
            <w:r>
              <w:rPr>
                <w:rFonts w:hint="eastAsia"/>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8" w:edGrp="everyone"/>
          </w:p>
        </w:tc>
        <w:tc>
          <w:tcPr>
            <w:tcW w:w="7128" w:type="dxa"/>
            <w:vAlign w:val="center"/>
          </w:tcPr>
          <w:p>
            <w:pPr>
              <w:rPr>
                <w:rFonts w:ascii="宋体" w:hAnsi="宋体" w:eastAsia="宋体"/>
                <w:color w:val="000000"/>
                <w:szCs w:val="21"/>
                <w:lang w:eastAsia="zh-CN"/>
              </w:rPr>
            </w:pPr>
            <w:r>
              <w:rPr>
                <w:rFonts w:eastAsia="宋体"/>
                <w:color w:val="000000"/>
                <w:szCs w:val="21"/>
                <w:lang w:eastAsia="zh-CN"/>
              </w:rPr>
              <w:t>流入气流平均风速0.53±0.025m/s，下降气流平均风速0.30±0.025m/s</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rPr>
                <w:rFonts w:eastAsia="宋体"/>
                <w:color w:val="000000"/>
                <w:szCs w:val="21"/>
                <w:lang w:eastAsia="zh-CN"/>
              </w:rPr>
            </w:pPr>
            <w:r>
              <w:rPr>
                <w:rFonts w:hint="eastAsia" w:eastAsia="宋体"/>
                <w:color w:val="000000"/>
                <w:szCs w:val="21"/>
                <w:lang w:eastAsia="zh-CN"/>
              </w:rPr>
              <w:t>主机标配温度传感器：可实时检测并显示温度，监测风机运行及操作区安全状态</w:t>
            </w:r>
          </w:p>
        </w:tc>
        <w:tc>
          <w:tcPr>
            <w:tcW w:w="2125" w:type="dxa"/>
            <w:vAlign w:val="center"/>
          </w:tcPr>
          <w:p>
            <w:pPr>
              <w:jc w:val="both"/>
              <w:rPr>
                <w:szCs w:val="21"/>
                <w:lang w:val="en-US" w:eastAsia="zh-CN"/>
              </w:rPr>
            </w:pPr>
            <w:r>
              <w:rPr>
                <w:rFonts w:hint="eastAsia"/>
                <w:szCs w:val="21"/>
                <w:lang w:val="en-US"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9"/>
              </w:numPr>
              <w:ind w:firstLineChars="0"/>
              <w:rPr>
                <w:rFonts w:ascii="Times New Roman" w:hAnsi="Times New Roman"/>
                <w:szCs w:val="21"/>
              </w:rPr>
            </w:pPr>
            <w:permStart w:id="29" w:edGrp="everyone"/>
            <w:permEnd w:id="29"/>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0" w:edGrp="everyone"/>
          </w:p>
        </w:tc>
        <w:tc>
          <w:tcPr>
            <w:tcW w:w="7128" w:type="dxa"/>
            <w:vAlign w:val="center"/>
          </w:tcPr>
          <w:p>
            <w:pPr>
              <w:spacing w:line="276" w:lineRule="auto"/>
              <w:jc w:val="both"/>
              <w:rPr>
                <w:szCs w:val="21"/>
                <w:lang w:eastAsia="zh-CN"/>
              </w:rPr>
            </w:pPr>
            <w:r>
              <w:rPr>
                <w:rFonts w:hint="eastAsia"/>
                <w:szCs w:val="21"/>
                <w:lang w:eastAsia="zh-CN"/>
              </w:rPr>
              <w:t>出风方向为顶出</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垂直层流负压机型。</w:t>
            </w:r>
            <w:r>
              <w:rPr>
                <w:rFonts w:ascii="宋体" w:hAnsi="宋体"/>
                <w:szCs w:val="21"/>
                <w:lang w:eastAsia="zh-CN"/>
              </w:rPr>
              <w:t>100%</w:t>
            </w:r>
            <w:r>
              <w:rPr>
                <w:rFonts w:hint="eastAsia" w:ascii="宋体" w:hAnsi="宋体"/>
                <w:szCs w:val="21"/>
                <w:lang w:eastAsia="zh-CN"/>
              </w:rPr>
              <w:t>的空气经过后向室外排出或接到排风系统</w:t>
            </w:r>
          </w:p>
        </w:tc>
        <w:tc>
          <w:tcPr>
            <w:tcW w:w="2125" w:type="dxa"/>
            <w:vAlign w:val="center"/>
          </w:tcPr>
          <w:p>
            <w:pPr>
              <w:jc w:val="both"/>
              <w:rPr>
                <w:szCs w:val="21"/>
                <w:lang w:val="en-US" w:eastAsia="zh-CN"/>
              </w:rPr>
            </w:pPr>
            <w:r>
              <w:rPr>
                <w:rFonts w:hint="eastAsia"/>
                <w:szCs w:val="21"/>
                <w:lang w:val="en-US" w:eastAsia="zh-CN"/>
              </w:rPr>
              <w:t>关键※</w:t>
            </w:r>
          </w:p>
        </w:tc>
      </w:tr>
      <w:permEnd w:id="30"/>
    </w:tbl>
    <w:p>
      <w:pPr>
        <w:pStyle w:val="30"/>
        <w:numPr>
          <w:ilvl w:val="0"/>
          <w:numId w:val="3"/>
        </w:numPr>
        <w:spacing w:afterLines="50"/>
        <w:ind w:left="426" w:hanging="426" w:hangingChars="202"/>
        <w:outlineLvl w:val="0"/>
        <w:rPr>
          <w:rFonts w:ascii="Times New Roman" w:hAnsi="Times New Roman"/>
          <w:b/>
        </w:rPr>
      </w:pPr>
      <w:bookmarkStart w:id="27" w:name="_Toc17546274"/>
      <w:bookmarkStart w:id="28" w:name="_Toc522107742"/>
      <w:bookmarkStart w:id="29" w:name="_Toc481702480"/>
      <w:bookmarkStart w:id="30" w:name="_Toc482369815"/>
      <w:bookmarkStart w:id="31" w:name="_Toc482370071"/>
      <w:bookmarkStart w:id="32" w:name="_Toc482370359"/>
      <w:bookmarkStart w:id="33" w:name="_Toc482370151"/>
      <w:bookmarkStart w:id="34" w:name="_Toc483227237"/>
      <w:bookmarkStart w:id="35" w:name="_Toc482625289"/>
      <w:bookmarkStart w:id="36" w:name="_Toc482717202"/>
      <w:bookmarkStart w:id="37" w:name="_Toc483400317"/>
      <w:bookmarkStart w:id="38" w:name="_Toc482370767"/>
      <w:bookmarkStart w:id="39" w:name="_Toc482359946"/>
      <w:bookmarkStart w:id="40" w:name="_Toc482360291"/>
      <w:r>
        <w:rPr>
          <w:rFonts w:ascii="Times New Roman" w:hAnsi="Times New Roman"/>
          <w:b/>
        </w:rPr>
        <w:t>电气、自动控制要求</w:t>
      </w:r>
      <w:bookmarkEnd w:id="27"/>
    </w:p>
    <w:p>
      <w:pPr>
        <w:pStyle w:val="34"/>
        <w:spacing w:before="0" w:line="360" w:lineRule="auto"/>
        <w:ind w:left="425"/>
        <w:jc w:val="left"/>
        <w:rPr>
          <w:i/>
          <w:color w:val="4472C4"/>
          <w:szCs w:val="21"/>
          <w:lang w:eastAsia="zh-CN"/>
        </w:rPr>
      </w:pPr>
      <w:permStart w:id="31"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1"/>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2" w:edGrp="everyone"/>
          </w:p>
        </w:tc>
        <w:tc>
          <w:tcPr>
            <w:tcW w:w="7128" w:type="dxa"/>
            <w:vAlign w:val="center"/>
          </w:tcPr>
          <w:p>
            <w:pPr>
              <w:spacing w:line="276" w:lineRule="auto"/>
              <w:jc w:val="both"/>
              <w:rPr>
                <w:i/>
                <w:szCs w:val="21"/>
                <w:lang w:eastAsia="zh-CN"/>
              </w:rPr>
            </w:pPr>
            <w:r>
              <w:rPr>
                <w:rFonts w:hint="eastAsia" w:ascii="仿宋_GB2312" w:hAnsi="宋体"/>
                <w:szCs w:val="21"/>
                <w:lang w:eastAsia="zh-CN"/>
              </w:rPr>
              <w:t>LCD液晶屏显示，可显示工作区温度、气流流速、</w:t>
            </w:r>
            <w:r>
              <w:rPr>
                <w:rFonts w:hint="eastAsia"/>
                <w:szCs w:val="21"/>
                <w:lang w:eastAsia="zh-CN"/>
              </w:rPr>
              <w:t>时间、</w:t>
            </w:r>
            <w:r>
              <w:rPr>
                <w:rFonts w:hint="eastAsia" w:ascii="仿宋_GB2312" w:hAnsi="宋体"/>
                <w:szCs w:val="21"/>
                <w:lang w:eastAsia="zh-CN"/>
              </w:rPr>
              <w:t>过滤膜使用寿命等系统参数；主机标配温度传感器：可实时检测并显示温度，监测风机运行及操作区安全状态</w:t>
            </w:r>
          </w:p>
        </w:tc>
        <w:tc>
          <w:tcPr>
            <w:tcW w:w="2125" w:type="dxa"/>
            <w:vAlign w:val="center"/>
          </w:tcPr>
          <w:p>
            <w:pPr>
              <w:jc w:val="both"/>
              <w:rPr>
                <w:szCs w:val="21"/>
                <w:lang w:val="en-US" w:eastAsia="zh-CN"/>
              </w:rPr>
            </w:pPr>
            <w:r>
              <w:rPr>
                <w:rFonts w:hint="eastAsia"/>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3" w:edGrp="everyone"/>
          </w:p>
        </w:tc>
        <w:tc>
          <w:tcPr>
            <w:tcW w:w="7128" w:type="dxa"/>
            <w:vAlign w:val="center"/>
          </w:tcPr>
          <w:p>
            <w:pPr>
              <w:rPr>
                <w:rFonts w:ascii="宋体" w:hAnsi="宋体" w:eastAsia="宋体"/>
                <w:color w:val="000000"/>
                <w:szCs w:val="21"/>
                <w:lang w:eastAsia="zh-CN"/>
              </w:rPr>
            </w:pPr>
            <w:r>
              <w:rPr>
                <w:rFonts w:hint="eastAsia" w:ascii="仿宋_GB2312" w:hAnsi="宋体"/>
                <w:szCs w:val="21"/>
                <w:lang w:eastAsia="zh-CN"/>
              </w:rPr>
              <w:t>通过专业的联动控制芯片，与净化工程的排风系统联动，可提供截止阀、风机等，并自动控制</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szCs w:val="21"/>
                <w:lang w:eastAsia="zh-CN"/>
              </w:rPr>
            </w:pPr>
            <w:r>
              <w:rPr>
                <w:rStyle w:val="22"/>
                <w:rFonts w:hint="eastAsia"/>
                <w:lang w:eastAsia="zh-CN"/>
              </w:rPr>
              <w:t>进口的智能风量自动补偿系统，确保在过滤器阻力增加</w:t>
            </w:r>
            <w:r>
              <w:rPr>
                <w:rStyle w:val="22"/>
                <w:lang w:eastAsia="zh-CN"/>
              </w:rPr>
              <w:t>100</w:t>
            </w:r>
            <w:r>
              <w:rPr>
                <w:rStyle w:val="22"/>
                <w:rFonts w:hint="eastAsia"/>
                <w:lang w:eastAsia="zh-CN"/>
              </w:rPr>
              <w:t>%的情况下风机风量变化小于10%，提高安全性.</w:t>
            </w:r>
          </w:p>
        </w:tc>
        <w:tc>
          <w:tcPr>
            <w:tcW w:w="2125" w:type="dxa"/>
            <w:vAlign w:val="center"/>
          </w:tcPr>
          <w:p>
            <w:pPr>
              <w:jc w:val="both"/>
              <w:rPr>
                <w:szCs w:val="21"/>
                <w:lang w:val="en-US" w:eastAsia="zh-CN"/>
              </w:rPr>
            </w:pPr>
            <w:r>
              <w:rPr>
                <w:rFonts w:hint="eastAsia"/>
                <w:szCs w:val="21"/>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34" w:edGrp="everyone"/>
          </w:p>
        </w:tc>
        <w:tc>
          <w:tcPr>
            <w:tcW w:w="9253" w:type="dxa"/>
            <w:gridSpan w:val="2"/>
            <w:vAlign w:val="center"/>
          </w:tcPr>
          <w:p>
            <w:pPr>
              <w:jc w:val="both"/>
              <w:rPr>
                <w:szCs w:val="21"/>
                <w:lang w:val="en-US" w:eastAsia="zh-CN"/>
              </w:rPr>
            </w:pPr>
            <w:r>
              <w:rPr>
                <w:rFonts w:hint="eastAsia"/>
                <w:szCs w:val="21"/>
                <w:lang w:val="en-US" w:eastAsia="zh-CN"/>
              </w:rPr>
              <w:t>N</w:t>
            </w:r>
            <w:r>
              <w:rPr>
                <w:szCs w:val="21"/>
                <w:lang w:val="en-US" w:eastAsia="zh-CN"/>
              </w:rPr>
              <w:t>/A</w:t>
            </w:r>
          </w:p>
        </w:tc>
      </w:tr>
      <w:permEnd w:id="34"/>
    </w:tbl>
    <w:p>
      <w:pPr>
        <w:spacing w:afterLines="50"/>
        <w:rPr>
          <w:b/>
          <w:lang w:eastAsia="zh-CN"/>
        </w:rPr>
      </w:pPr>
    </w:p>
    <w:p>
      <w:pPr>
        <w:pStyle w:val="30"/>
        <w:numPr>
          <w:ilvl w:val="0"/>
          <w:numId w:val="3"/>
        </w:numPr>
        <w:spacing w:afterLines="50"/>
        <w:ind w:left="426" w:hanging="426" w:hangingChars="202"/>
        <w:outlineLvl w:val="0"/>
        <w:rPr>
          <w:rFonts w:ascii="Times New Roman" w:hAnsi="Times New Roman"/>
          <w:b/>
        </w:rPr>
      </w:pPr>
      <w:bookmarkStart w:id="41" w:name="_Toc17546275"/>
      <w:r>
        <w:rPr>
          <w:rFonts w:ascii="Times New Roman" w:hAnsi="Times New Roman"/>
          <w:b/>
        </w:rPr>
        <w:t>安全要求</w:t>
      </w:r>
      <w:bookmarkEnd w:id="28"/>
      <w:bookmarkEnd w:id="41"/>
    </w:p>
    <w:p>
      <w:pPr>
        <w:pStyle w:val="34"/>
        <w:spacing w:before="0" w:line="360" w:lineRule="auto"/>
        <w:jc w:val="left"/>
        <w:rPr>
          <w:i/>
          <w:color w:val="4472C4"/>
          <w:szCs w:val="21"/>
          <w:lang w:eastAsia="zh-CN"/>
        </w:rPr>
      </w:pPr>
      <w:permStart w:id="35"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szCs w:val="21"/>
                <w:lang w:val="en-US" w:eastAsia="zh-CN"/>
              </w:rPr>
            </w:pPr>
            <w:r>
              <w:rPr>
                <w:szCs w:val="21"/>
                <w:lang w:val="en-US" w:eastAsia="zh-CN"/>
              </w:rPr>
              <w:t>前窗开启高度限位声光报警系统与照明控制联动</w:t>
            </w:r>
          </w:p>
        </w:tc>
        <w:tc>
          <w:tcPr>
            <w:tcW w:w="2125" w:type="dxa"/>
            <w:vAlign w:val="center"/>
          </w:tcPr>
          <w:p>
            <w:pPr>
              <w:jc w:val="both"/>
              <w:rPr>
                <w:szCs w:val="21"/>
                <w:lang w:val="en-US" w:eastAsia="zh-CN"/>
              </w:rPr>
            </w:pPr>
            <w:r>
              <w:rPr>
                <w:rFonts w:hint="eastAsia"/>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val="en-US" w:eastAsia="zh-CN"/>
              </w:rPr>
            </w:pPr>
            <w:r>
              <w:rPr>
                <w:rFonts w:hint="eastAsia"/>
                <w:szCs w:val="21"/>
                <w:lang w:val="en-US" w:eastAsia="zh-CN"/>
              </w:rPr>
              <w:t>安全性能保障：具备紫外系统、荧光灯、前窗的连锁系统；具备低风速报警功能；具备前窗位置异位报警功能；具备前窗侧壁抗扰流系统，可避免泄漏；</w:t>
            </w:r>
            <w:r>
              <w:rPr>
                <w:szCs w:val="21"/>
                <w:lang w:val="en-US" w:eastAsia="zh-CN"/>
              </w:rPr>
              <w:t xml:space="preserve"> </w:t>
            </w:r>
          </w:p>
        </w:tc>
        <w:tc>
          <w:tcPr>
            <w:tcW w:w="2125" w:type="dxa"/>
            <w:vAlign w:val="center"/>
          </w:tcPr>
          <w:p>
            <w:pPr>
              <w:jc w:val="both"/>
              <w:rPr>
                <w:szCs w:val="21"/>
                <w:lang w:val="en-US" w:eastAsia="zh-CN"/>
              </w:rPr>
            </w:pPr>
            <w:r>
              <w:rPr>
                <w:rFonts w:hint="eastAsia"/>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szCs w:val="21"/>
                <w:lang w:val="en-US" w:eastAsia="zh-CN"/>
              </w:rPr>
            </w:pPr>
            <w:r>
              <w:rPr>
                <w:szCs w:val="21"/>
                <w:lang w:val="en-US" w:eastAsia="zh-CN"/>
              </w:rPr>
              <w:t>严格的柜体防泄漏检测，确保柜体在500Pa的条件下无任何泄漏</w:t>
            </w:r>
          </w:p>
        </w:tc>
        <w:tc>
          <w:tcPr>
            <w:tcW w:w="2125" w:type="dxa"/>
            <w:vAlign w:val="center"/>
          </w:tcPr>
          <w:p>
            <w:pPr>
              <w:jc w:val="both"/>
              <w:rPr>
                <w:szCs w:val="21"/>
                <w:lang w:val="en-US" w:eastAsia="zh-CN"/>
              </w:rPr>
            </w:pPr>
            <w:r>
              <w:rPr>
                <w:rFonts w:hint="eastAsia"/>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9" w:edGrp="everyone"/>
          </w:p>
        </w:tc>
        <w:tc>
          <w:tcPr>
            <w:tcW w:w="7128" w:type="dxa"/>
            <w:vAlign w:val="top"/>
          </w:tcPr>
          <w:p>
            <w:pPr>
              <w:rPr>
                <w:lang w:eastAsia="zh-CN"/>
              </w:rPr>
            </w:pPr>
            <w:r>
              <w:rPr>
                <w:rFonts w:hint="eastAsia"/>
                <w:lang w:eastAsia="zh-CN"/>
              </w:rPr>
              <w:t>电控系统所用部件和材料必须符合专业质量标准要求，且装配联接符合设计要求和相关专业质量标准要求，具有良好的绝缘和接地保护。安全保护接地需符合国家标准。</w:t>
            </w:r>
          </w:p>
        </w:tc>
        <w:tc>
          <w:tcPr>
            <w:tcW w:w="2125" w:type="dxa"/>
            <w:vAlign w:val="top"/>
          </w:tcPr>
          <w:p>
            <w:r>
              <w:rPr>
                <w:rFonts w:hint="eastAsi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top"/>
          </w:tcPr>
          <w:p>
            <w:r>
              <w:rPr>
                <w:rFonts w:hint="eastAsia"/>
              </w:rPr>
              <w:t>保护等级：NEMA4X/IP56</w:t>
            </w:r>
          </w:p>
        </w:tc>
        <w:tc>
          <w:tcPr>
            <w:tcW w:w="2125" w:type="dxa"/>
            <w:vAlign w:val="top"/>
          </w:tcPr>
          <w:p>
            <w:r>
              <w:rPr>
                <w:rFonts w:hint="eastAsi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top"/>
          </w:tcPr>
          <w:p>
            <w:pPr>
              <w:rPr>
                <w:lang w:eastAsia="zh-CN"/>
              </w:rPr>
            </w:pPr>
            <w:r>
              <w:rPr>
                <w:rFonts w:hint="eastAsia"/>
                <w:lang w:eastAsia="zh-CN"/>
              </w:rPr>
              <w:t>出现意外断电情况，可在恢复电源后，需要重启设备，方能正常使用，充分保护人员安全。</w:t>
            </w:r>
          </w:p>
        </w:tc>
        <w:tc>
          <w:tcPr>
            <w:tcW w:w="2125" w:type="dxa"/>
            <w:vAlign w:val="top"/>
          </w:tcPr>
          <w:p>
            <w:r>
              <w:rPr>
                <w:rFonts w:hint="eastAsi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top"/>
          </w:tcPr>
          <w:p>
            <w:pPr>
              <w:rPr>
                <w:lang w:eastAsia="zh-CN"/>
              </w:rPr>
            </w:pPr>
            <w:r>
              <w:rPr>
                <w:rFonts w:hint="eastAsia"/>
                <w:lang w:eastAsia="zh-CN"/>
              </w:rPr>
              <w:t>设备热表面或发热部件上的明显部位必须设有警告标识。</w:t>
            </w:r>
          </w:p>
        </w:tc>
        <w:tc>
          <w:tcPr>
            <w:tcW w:w="2125" w:type="dxa"/>
            <w:vAlign w:val="top"/>
          </w:tcPr>
          <w:p>
            <w:r>
              <w:rPr>
                <w:rFonts w:hint="eastAsi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top"/>
          </w:tcPr>
          <w:p>
            <w:pPr>
              <w:rPr>
                <w:lang w:eastAsia="zh-CN"/>
              </w:rPr>
            </w:pPr>
            <w:r>
              <w:rPr>
                <w:rFonts w:hint="eastAsia"/>
                <w:lang w:eastAsia="zh-CN"/>
              </w:rPr>
              <w:t>设备操作位置及设备维修区域必须设易于人员接近的急停按钮，并有明显的标示。</w:t>
            </w:r>
          </w:p>
        </w:tc>
        <w:tc>
          <w:tcPr>
            <w:tcW w:w="2125" w:type="dxa"/>
            <w:vAlign w:val="top"/>
          </w:tcPr>
          <w:p>
            <w:r>
              <w:rPr>
                <w:rFonts w:hint="eastAsia"/>
              </w:rPr>
              <w:t>关键</w:t>
            </w:r>
          </w:p>
        </w:tc>
      </w:tr>
      <w:permEnd w:id="39"/>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2" w:name="_Toc17546276"/>
      <w:bookmarkStart w:id="43" w:name="_Toc522107743"/>
      <w:r>
        <w:rPr>
          <w:rFonts w:ascii="Times New Roman" w:hAnsi="Times New Roman"/>
          <w:b/>
        </w:rPr>
        <w:t>文件要求</w:t>
      </w:r>
      <w:bookmarkEnd w:id="42"/>
      <w:bookmarkEnd w:id="43"/>
    </w:p>
    <w:p>
      <w:pPr>
        <w:pStyle w:val="34"/>
        <w:spacing w:before="0" w:line="360" w:lineRule="auto"/>
        <w:jc w:val="left"/>
        <w:rPr>
          <w:i/>
          <w:szCs w:val="21"/>
          <w:lang w:eastAsia="zh-CN"/>
        </w:rPr>
      </w:pPr>
      <w:permStart w:id="4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4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1" w:edGrp="everyone"/>
          </w:p>
        </w:tc>
        <w:tc>
          <w:tcPr>
            <w:tcW w:w="7128" w:type="dxa"/>
            <w:vAlign w:val="center"/>
          </w:tcPr>
          <w:p>
            <w:pPr>
              <w:jc w:val="both"/>
              <w:rPr>
                <w:szCs w:val="21"/>
                <w:lang w:eastAsia="zh-CN"/>
              </w:rPr>
            </w:pPr>
            <w:r>
              <w:rPr>
                <w:rFonts w:hint="eastAsia"/>
                <w:szCs w:val="21"/>
                <w:lang w:eastAsia="zh-CN"/>
              </w:rPr>
              <w:t xml:space="preserve"> 投标文件、合同及订单（设备开箱验收前提交）</w:t>
            </w:r>
          </w:p>
        </w:tc>
        <w:tc>
          <w:tcPr>
            <w:tcW w:w="2125" w:type="dxa"/>
            <w:vAlign w:val="center"/>
          </w:tcPr>
          <w:p>
            <w:pPr>
              <w:jc w:val="both"/>
              <w:rPr>
                <w:szCs w:val="21"/>
                <w:lang w:eastAsia="zh-CN"/>
              </w:rPr>
            </w:pPr>
            <w:r>
              <w:rPr>
                <w:rFonts w:hint="eastAsia"/>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2" w:edGrp="everyone"/>
          </w:p>
        </w:tc>
        <w:tc>
          <w:tcPr>
            <w:tcW w:w="7128" w:type="dxa"/>
            <w:vAlign w:val="center"/>
          </w:tcPr>
          <w:p>
            <w:pPr>
              <w:jc w:val="both"/>
              <w:rPr>
                <w:szCs w:val="21"/>
                <w:lang w:eastAsia="zh-CN"/>
              </w:rPr>
            </w:pPr>
            <w:r>
              <w:rPr>
                <w:rFonts w:hint="eastAsia"/>
                <w:szCs w:val="21"/>
                <w:lang w:eastAsia="zh-CN"/>
              </w:rPr>
              <w:t xml:space="preserve"> 供应商提供满足GEP要求的文件交付包（不晚于IQ开始前提交）</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 xml:space="preserve"> 功能设计及详细设计文件：设备详细软硬件设计说明、功能说明、配置清单与说明。（设备开箱验收前提交）</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有设备的配置列表（设备开箱验收前提交）</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厂家文件：出厂合格证。（不晚于IQ开始前提交）</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设备安装文件：各种安装处理记录及报告。（不晚于IQ开始前提交）</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项目质量计划（PQP）（设备开箱验收前提交）</w:t>
            </w:r>
          </w:p>
        </w:tc>
        <w:tc>
          <w:tcPr>
            <w:tcW w:w="2125" w:type="dxa"/>
            <w:vAlign w:val="center"/>
          </w:tcPr>
          <w:p>
            <w:pPr>
              <w:jc w:val="both"/>
              <w:rPr>
                <w:szCs w:val="21"/>
                <w:lang w:val="en-US" w:eastAsia="zh-CN"/>
              </w:rPr>
            </w:pPr>
            <w:r>
              <w:rPr>
                <w:rFonts w:hint="eastAsia"/>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top"/>
          </w:tcPr>
          <w:p>
            <w:pPr>
              <w:rPr>
                <w:szCs w:val="21"/>
                <w:lang w:eastAsia="zh-CN"/>
              </w:rPr>
            </w:pPr>
            <w:r>
              <w:rPr>
                <w:rFonts w:hint="eastAsia"/>
                <w:lang w:eastAsia="zh-CN"/>
              </w:rPr>
              <w:t>现场验收测试（SAT）报告（SAT在设备安装调试后IQ开始前完成审批并提交）</w:t>
            </w:r>
          </w:p>
        </w:tc>
        <w:tc>
          <w:tcPr>
            <w:tcW w:w="2125" w:type="dxa"/>
            <w:vAlign w:val="top"/>
          </w:tcPr>
          <w:p>
            <w:pPr>
              <w:rPr>
                <w:szCs w:val="21"/>
                <w:lang w:val="en-US" w:eastAsia="zh-CN"/>
              </w:rPr>
            </w:pPr>
            <w:r>
              <w:rPr>
                <w:rFonts w:hint="eastAsia"/>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 xml:space="preserve"> 设备操作手册（SOP）：语言为中文。</w:t>
            </w:r>
            <w:r>
              <w:rPr>
                <w:szCs w:val="21"/>
                <w:lang w:eastAsia="zh-CN"/>
              </w:rPr>
              <w:t xml:space="preserve"> </w:t>
            </w:r>
            <w:r>
              <w:rPr>
                <w:rFonts w:hint="eastAsia"/>
                <w:szCs w:val="21"/>
                <w:lang w:eastAsia="zh-CN"/>
              </w:rPr>
              <w:t>（设备开箱验收前提交）</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 xml:space="preserve"> 调试文件：调试计划（调试说明书、调试进度报告、调试清单、验收测试和启动程序、保修信息、运行和维护手册、培训计划等），总测试计划，检查计划，检测清单，各测试报告，调试总结报告等（不晚于IQ开始前提交）</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 xml:space="preserve"> 供应商需提供首次验证文件：（1）验证计划（设计阶段，设计确认开始前提交）；（2）满足GMP等相关法规的评估文件（系统影响性评估、计算机化系统影响性评估在DQ开始前提交）；（</w:t>
            </w:r>
            <w:r>
              <w:rPr>
                <w:szCs w:val="21"/>
                <w:lang w:eastAsia="zh-CN"/>
              </w:rPr>
              <w:t>3</w:t>
            </w:r>
            <w:r>
              <w:rPr>
                <w:rFonts w:hint="eastAsia"/>
                <w:szCs w:val="21"/>
                <w:lang w:eastAsia="zh-CN"/>
              </w:rPr>
              <w:t>）安装确认及文件（IQ）（SAT批准后开始执行，OQ开始前完成审批并提交）；（</w:t>
            </w:r>
            <w:r>
              <w:rPr>
                <w:szCs w:val="21"/>
                <w:lang w:eastAsia="zh-CN"/>
              </w:rPr>
              <w:t>4</w:t>
            </w:r>
            <w:r>
              <w:rPr>
                <w:rFonts w:hint="eastAsia"/>
                <w:szCs w:val="21"/>
                <w:lang w:eastAsia="zh-CN"/>
              </w:rPr>
              <w:t>）运行确认及文件（OQ）（IQ批准后开始执行，PQ开始前完成审批并提交）；设备生产商负责制定设备验证计划、评估文件、IQ/OQ验证文件，并负责验证工作的实施，辅助完成PQ相关验证工作，该验证文件作为设备必备文件。</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需求追溯矩阵（R</w:t>
            </w:r>
            <w:r>
              <w:rPr>
                <w:szCs w:val="21"/>
                <w:lang w:eastAsia="zh-CN"/>
              </w:rPr>
              <w:t>TM</w:t>
            </w:r>
            <w:r>
              <w:rPr>
                <w:rFonts w:hint="eastAsia"/>
                <w:szCs w:val="21"/>
                <w:lang w:eastAsia="zh-CN"/>
              </w:rPr>
              <w:t>）、验证总结报告（V</w:t>
            </w:r>
            <w:r>
              <w:rPr>
                <w:szCs w:val="21"/>
                <w:lang w:eastAsia="zh-CN"/>
              </w:rPr>
              <w:t>SR</w:t>
            </w:r>
            <w:r>
              <w:rPr>
                <w:rFonts w:hint="eastAsia"/>
                <w:szCs w:val="21"/>
                <w:lang w:eastAsia="zh-CN"/>
              </w:rPr>
              <w:t>）（PQ完成后开始起草，最终验收前提交）</w:t>
            </w:r>
          </w:p>
        </w:tc>
        <w:tc>
          <w:tcPr>
            <w:tcW w:w="2125" w:type="dxa"/>
            <w:vAlign w:val="center"/>
          </w:tcPr>
          <w:p>
            <w:pPr>
              <w:jc w:val="both"/>
              <w:rPr>
                <w:szCs w:val="21"/>
                <w:lang w:val="en-US"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 xml:space="preserve"> 设备交付计划表（设备开箱验收前提交）</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使用操作说明书及维护保养说明（即运行及维护手册）3份 （设备开箱验收前提交）</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 xml:space="preserve"> 应有针对每一部件所作序号的简明图册，以便于维修人员查找和辩识。（设备开箱验收前提交）</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 xml:space="preserve"> 系统相关方案中，应明确本系统的配置、规格，并且通过分析阐述每一个系统环节的必要性 （设备开箱验收前提交）</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 xml:space="preserve"> 标书中明确系统所有组件的品牌、材质、型号，并且注明每一个组件的保修期。 （设备开箱验收前提交）</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  需要提供主要配件清单，并作单项报价备案，列在合同方案之内（设备开箱验收前提交）</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上述条款规定的文件需提供电子版，并在设备开箱验收时将最终批准的电子版及纸质版全套资料交工程技术部存档。</w:t>
            </w:r>
            <w:r>
              <w:rPr>
                <w:rFonts w:hint="eastAsia"/>
                <w:szCs w:val="21"/>
                <w:lang w:eastAsia="zh-CN"/>
              </w:rPr>
              <w:t>（设备开箱验收前提交）</w:t>
            </w:r>
          </w:p>
        </w:tc>
        <w:tc>
          <w:tcPr>
            <w:tcW w:w="2125" w:type="dxa"/>
            <w:vAlign w:val="center"/>
          </w:tcPr>
          <w:p>
            <w:pPr>
              <w:jc w:val="both"/>
              <w:rPr>
                <w:szCs w:val="21"/>
                <w:lang w:val="en-US" w:eastAsia="zh-CN"/>
              </w:rPr>
            </w:pPr>
            <w:r>
              <w:rPr>
                <w:rFonts w:hint="eastAsia"/>
                <w:szCs w:val="21"/>
                <w:lang w:val="en-US" w:eastAsia="zh-CN"/>
              </w:rPr>
              <w:t>关键</w:t>
            </w:r>
          </w:p>
        </w:tc>
      </w:tr>
      <w:permEnd w:id="42"/>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4" w:name="_Toc17546277"/>
      <w:r>
        <w:rPr>
          <w:rFonts w:ascii="Times New Roman" w:hAnsi="Times New Roman"/>
          <w:b/>
          <w:szCs w:val="21"/>
        </w:rPr>
        <w:t>服务要求</w:t>
      </w:r>
      <w:bookmarkEnd w:id="44"/>
    </w:p>
    <w:p>
      <w:pPr>
        <w:pStyle w:val="34"/>
        <w:spacing w:before="0" w:line="360" w:lineRule="auto"/>
        <w:jc w:val="left"/>
        <w:rPr>
          <w:i/>
          <w:color w:val="4472C4"/>
          <w:szCs w:val="21"/>
          <w:lang w:eastAsia="zh-CN"/>
        </w:rPr>
      </w:pPr>
      <w:permStart w:id="43"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43"/>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val="en-US" w:eastAsia="zh-CN"/>
              </w:rPr>
            </w:pPr>
            <w:r>
              <w:rPr>
                <w:rFonts w:hint="eastAsia"/>
                <w:szCs w:val="21"/>
                <w:lang w:val="en-US"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both"/>
              <w:rPr>
                <w:szCs w:val="21"/>
                <w:lang w:val="en-US" w:eastAsia="zh-CN"/>
              </w:rPr>
            </w:pPr>
            <w:r>
              <w:rPr>
                <w:rFonts w:hint="eastAsia"/>
                <w:szCs w:val="21"/>
                <w:lang w:val="en-US"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6" w:edGrp="everyone"/>
          </w:p>
        </w:tc>
        <w:tc>
          <w:tcPr>
            <w:tcW w:w="7128" w:type="dxa"/>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val="en-US" w:eastAsia="zh-CN"/>
              </w:rPr>
            </w:pPr>
            <w:r>
              <w:rPr>
                <w:rFonts w:hint="eastAsia"/>
                <w:szCs w:val="21"/>
                <w:lang w:val="en-US"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7"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both"/>
              <w:rPr>
                <w:szCs w:val="21"/>
                <w:lang w:val="en-US" w:eastAsia="zh-CN"/>
              </w:rPr>
            </w:pPr>
            <w:r>
              <w:rPr>
                <w:rFonts w:hint="eastAsia"/>
                <w:szCs w:val="21"/>
                <w:lang w:val="en-US"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pStyle w:val="8"/>
              <w:spacing w:line="360" w:lineRule="auto"/>
              <w:rPr>
                <w:i/>
                <w:szCs w:val="21"/>
                <w:lang w:eastAsia="zh-CN"/>
              </w:rPr>
            </w:pPr>
            <w:r>
              <w:rPr>
                <w:rFonts w:hint="eastAsia" w:ascii="宋体" w:hAnsi="宋体"/>
                <w:sz w:val="21"/>
                <w:szCs w:val="21"/>
                <w:lang w:eastAsia="zh-CN"/>
              </w:rPr>
              <w:t>验证包括验证计划、系统评估、IQ、OQ、文件与服务，供应商必须派出具备该类系统验证经验，且熟悉验证相关文件编写及验证工作实施的验证工程师开展验证工作。供应商协助完成PQ。</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8" w:edGrp="everyone"/>
          </w:p>
        </w:tc>
        <w:tc>
          <w:tcPr>
            <w:tcW w:w="7128" w:type="dxa"/>
            <w:vAlign w:val="center"/>
          </w:tcPr>
          <w:p>
            <w:pPr>
              <w:pStyle w:val="8"/>
              <w:spacing w:line="360" w:lineRule="auto"/>
              <w:rPr>
                <w:sz w:val="21"/>
                <w:szCs w:val="21"/>
                <w:lang w:eastAsia="zh-CN"/>
              </w:rPr>
            </w:pPr>
            <w:r>
              <w:rPr>
                <w:rFonts w:hint="eastAsia"/>
                <w:sz w:val="21"/>
                <w:szCs w:val="21"/>
                <w:lang w:eastAsia="zh-CN"/>
              </w:rPr>
              <w:t>可提供需求追溯矩阵（R</w:t>
            </w:r>
            <w:r>
              <w:rPr>
                <w:sz w:val="21"/>
                <w:szCs w:val="21"/>
                <w:lang w:eastAsia="zh-CN"/>
              </w:rPr>
              <w:t>TM</w:t>
            </w:r>
            <w:r>
              <w:rPr>
                <w:rFonts w:hint="eastAsia"/>
                <w:sz w:val="21"/>
                <w:szCs w:val="21"/>
                <w:lang w:eastAsia="zh-CN"/>
              </w:rPr>
              <w:t>）、验证总结报告（V</w:t>
            </w:r>
            <w:r>
              <w:rPr>
                <w:sz w:val="21"/>
                <w:szCs w:val="21"/>
                <w:lang w:eastAsia="zh-CN"/>
              </w:rPr>
              <w:t>SR</w:t>
            </w:r>
            <w:r>
              <w:rPr>
                <w:rFonts w:hint="eastAsia"/>
                <w:sz w:val="21"/>
                <w:szCs w:val="21"/>
                <w:lang w:eastAsia="zh-CN"/>
              </w:rPr>
              <w:t>）</w:t>
            </w:r>
          </w:p>
        </w:tc>
        <w:tc>
          <w:tcPr>
            <w:tcW w:w="2125" w:type="dxa"/>
            <w:vAlign w:val="center"/>
          </w:tcPr>
          <w:p>
            <w:pPr>
              <w:jc w:val="both"/>
              <w:rPr>
                <w:szCs w:val="21"/>
                <w:lang w:val="en-US" w:eastAsia="zh-CN"/>
              </w:rPr>
            </w:pPr>
            <w:r>
              <w:rPr>
                <w:rFonts w:hint="eastAsia"/>
                <w:szCs w:val="21"/>
                <w:lang w:eastAsia="zh-CN"/>
              </w:rPr>
              <w:t>期望</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9" w:edGrp="everyone"/>
          </w:p>
        </w:tc>
        <w:tc>
          <w:tcPr>
            <w:tcW w:w="7128" w:type="dxa"/>
            <w:vAlign w:val="center"/>
          </w:tcPr>
          <w:p>
            <w:pPr>
              <w:pStyle w:val="8"/>
              <w:spacing w:line="360" w:lineRule="auto"/>
              <w:rPr>
                <w:szCs w:val="21"/>
                <w:lang w:eastAsia="zh-CN"/>
              </w:rPr>
            </w:pPr>
            <w:r>
              <w:rPr>
                <w:rFonts w:hint="eastAsia"/>
                <w:sz w:val="21"/>
                <w:szCs w:val="21"/>
                <w:lang w:eastAsia="zh-CN"/>
              </w:rPr>
              <w:t>投标方按</w:t>
            </w:r>
            <w:r>
              <w:rPr>
                <w:sz w:val="21"/>
                <w:szCs w:val="21"/>
                <w:lang w:eastAsia="zh-CN"/>
              </w:rPr>
              <w:t>GMP</w:t>
            </w:r>
            <w:r>
              <w:rPr>
                <w:rFonts w:hint="eastAsia"/>
                <w:sz w:val="21"/>
                <w:szCs w:val="21"/>
                <w:lang w:eastAsia="zh-CN"/>
              </w:rPr>
              <w:t>规范完成所有验证工作，</w:t>
            </w:r>
            <w:r>
              <w:rPr>
                <w:rFonts w:hint="eastAsia" w:ascii="宋体" w:hAnsi="宋体"/>
                <w:sz w:val="21"/>
                <w:szCs w:val="21"/>
                <w:lang w:eastAsia="zh-CN"/>
              </w:rPr>
              <w:t>各验证工作开始前验证方案需经过本公司相关部门审核，并经质量保证部批准；</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pStyle w:val="8"/>
              <w:spacing w:line="360" w:lineRule="auto"/>
              <w:rPr>
                <w:color w:val="FF0000"/>
                <w:sz w:val="21"/>
                <w:szCs w:val="21"/>
                <w:lang w:eastAsia="zh-CN"/>
              </w:rPr>
            </w:pPr>
            <w:r>
              <w:rPr>
                <w:rFonts w:hint="eastAsia" w:ascii="宋体" w:hAnsi="宋体"/>
                <w:sz w:val="21"/>
                <w:szCs w:val="21"/>
                <w:lang w:eastAsia="zh-CN"/>
              </w:rPr>
              <w:t>验证工作应按时保质完成，供应商需提供验证工作计划表；</w:t>
            </w:r>
          </w:p>
        </w:tc>
        <w:tc>
          <w:tcPr>
            <w:tcW w:w="2125" w:type="dxa"/>
            <w:vAlign w:val="center"/>
          </w:tcPr>
          <w:p>
            <w:pPr>
              <w:jc w:val="both"/>
              <w:rPr>
                <w:szCs w:val="21"/>
                <w:lang w:val="en-US" w:eastAsia="zh-CN"/>
              </w:rPr>
            </w:pPr>
            <w:r>
              <w:rPr>
                <w:rFonts w:hint="eastAsia"/>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50" w:edGrp="everyone"/>
          </w:p>
        </w:tc>
        <w:tc>
          <w:tcPr>
            <w:tcW w:w="7128" w:type="dxa"/>
            <w:vAlign w:val="center"/>
          </w:tcPr>
          <w:p>
            <w:pPr>
              <w:pStyle w:val="8"/>
              <w:spacing w:line="360" w:lineRule="auto"/>
              <w:rPr>
                <w:color w:val="FF0000"/>
                <w:sz w:val="21"/>
                <w:szCs w:val="21"/>
                <w:lang w:eastAsia="zh-CN"/>
              </w:rPr>
            </w:pPr>
            <w:r>
              <w:rPr>
                <w:rFonts w:hint="eastAsia" w:ascii="宋体" w:hAnsi="宋体"/>
                <w:sz w:val="21"/>
                <w:szCs w:val="21"/>
                <w:lang w:eastAsia="zh-CN"/>
              </w:rPr>
              <w:t>验证项目应包含法规要求的测试项目，以及本公司提出的测试项目。</w:t>
            </w:r>
          </w:p>
        </w:tc>
        <w:tc>
          <w:tcPr>
            <w:tcW w:w="2125" w:type="dxa"/>
            <w:vAlign w:val="center"/>
          </w:tcPr>
          <w:p>
            <w:pPr>
              <w:jc w:val="both"/>
              <w:rPr>
                <w:szCs w:val="21"/>
                <w:lang w:val="en-US" w:eastAsia="zh-CN"/>
              </w:rPr>
            </w:pPr>
            <w:r>
              <w:rPr>
                <w:rFonts w:hint="eastAsia"/>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51" w:edGrp="everyone"/>
          </w:p>
        </w:tc>
        <w:tc>
          <w:tcPr>
            <w:tcW w:w="7128" w:type="dxa"/>
            <w:vAlign w:val="center"/>
          </w:tcPr>
          <w:p>
            <w:pPr>
              <w:pStyle w:val="8"/>
              <w:spacing w:line="360" w:lineRule="auto"/>
              <w:rPr>
                <w:color w:val="FF0000"/>
                <w:sz w:val="21"/>
                <w:szCs w:val="21"/>
                <w:lang w:eastAsia="zh-CN"/>
              </w:rPr>
            </w:pPr>
            <w:r>
              <w:rPr>
                <w:rFonts w:hint="eastAsia" w:ascii="宋体" w:hAnsi="宋体"/>
                <w:sz w:val="21"/>
                <w:szCs w:val="21"/>
                <w:lang w:eastAsia="zh-CN"/>
              </w:rPr>
              <w:t>验证工作完成后，验证记录经本公司相关部门审核，并经质量保证部批准；</w:t>
            </w:r>
          </w:p>
        </w:tc>
        <w:tc>
          <w:tcPr>
            <w:tcW w:w="2125" w:type="dxa"/>
            <w:vAlign w:val="center"/>
          </w:tcPr>
          <w:p>
            <w:pPr>
              <w:jc w:val="both"/>
              <w:rPr>
                <w:szCs w:val="21"/>
                <w:lang w:val="en-US" w:eastAsia="zh-CN"/>
              </w:rPr>
            </w:pPr>
            <w:r>
              <w:rPr>
                <w:rFonts w:hint="eastAsia"/>
                <w:szCs w:val="21"/>
                <w:lang w:val="en-US"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52" w:edGrp="everyone"/>
          </w:p>
        </w:tc>
        <w:tc>
          <w:tcPr>
            <w:tcW w:w="7128" w:type="dxa"/>
            <w:vAlign w:val="center"/>
          </w:tcPr>
          <w:p>
            <w:pPr>
              <w:pStyle w:val="8"/>
              <w:spacing w:line="360" w:lineRule="auto"/>
              <w:rPr>
                <w:color w:val="FF0000"/>
                <w:sz w:val="21"/>
                <w:szCs w:val="21"/>
                <w:lang w:eastAsia="zh-CN"/>
              </w:rPr>
            </w:pPr>
            <w:r>
              <w:rPr>
                <w:rFonts w:hint="eastAsia" w:ascii="宋体" w:hAnsi="宋体"/>
                <w:sz w:val="21"/>
                <w:szCs w:val="21"/>
                <w:lang w:eastAsia="zh-CN"/>
              </w:rPr>
              <w:t>验收前，验证工作已成功完成，验证最终报告已经本公司相关部门审核，并经质量保证部批准。</w:t>
            </w:r>
          </w:p>
        </w:tc>
        <w:tc>
          <w:tcPr>
            <w:tcW w:w="2125" w:type="dxa"/>
            <w:vAlign w:val="center"/>
          </w:tcPr>
          <w:p>
            <w:pPr>
              <w:jc w:val="both"/>
              <w:rPr>
                <w:szCs w:val="21"/>
                <w:lang w:val="en-US" w:eastAsia="zh-CN"/>
              </w:rPr>
            </w:pPr>
            <w:r>
              <w:rPr>
                <w:rFonts w:hint="eastAsia"/>
                <w:szCs w:val="21"/>
                <w:lang w:val="en-US"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ermStart w:id="53" w:edGrp="everyone"/>
            <w:permEnd w:id="53"/>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54" w:edGrp="everyone"/>
          </w:p>
        </w:tc>
        <w:tc>
          <w:tcPr>
            <w:tcW w:w="7128" w:type="dxa"/>
            <w:vAlign w:val="center"/>
          </w:tcPr>
          <w:p>
            <w:pPr>
              <w:spacing w:line="276" w:lineRule="auto"/>
              <w:jc w:val="both"/>
              <w:rPr>
                <w:szCs w:val="21"/>
                <w:lang w:eastAsia="zh-CN"/>
              </w:rPr>
            </w:pPr>
            <w:r>
              <w:rPr>
                <w:rFonts w:hint="eastAsia" w:ascii="宋体" w:hAnsi="宋体"/>
                <w:szCs w:val="21"/>
                <w:lang w:eastAsia="zh-CN"/>
              </w:rPr>
              <w:t>设备保质期从设备验收合格之日起计算。</w:t>
            </w:r>
          </w:p>
        </w:tc>
        <w:tc>
          <w:tcPr>
            <w:tcW w:w="2125" w:type="dxa"/>
            <w:vAlign w:val="center"/>
          </w:tcPr>
          <w:p>
            <w:pPr>
              <w:jc w:val="both"/>
              <w:rPr>
                <w:szCs w:val="21"/>
                <w:lang w:eastAsia="zh-CN"/>
              </w:rPr>
            </w:pPr>
            <w:r>
              <w:rPr>
                <w:rFonts w:hint="eastAsia"/>
                <w:szCs w:val="21"/>
                <w:lang w:val="en-US"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55" w:edGrp="everyone"/>
          </w:p>
        </w:tc>
        <w:tc>
          <w:tcPr>
            <w:tcW w:w="7128" w:type="dxa"/>
            <w:vAlign w:val="center"/>
          </w:tcPr>
          <w:p>
            <w:pPr>
              <w:spacing w:line="276" w:lineRule="auto"/>
              <w:jc w:val="both"/>
              <w:rPr>
                <w:szCs w:val="21"/>
                <w:lang w:eastAsia="zh-CN"/>
              </w:rPr>
            </w:pPr>
            <w:r>
              <w:rPr>
                <w:rFonts w:hint="eastAsia" w:ascii="宋体" w:hAnsi="宋体"/>
                <w:szCs w:val="21"/>
                <w:lang w:eastAsia="zh-CN"/>
              </w:rPr>
              <w:t>设备质保期为一年，一年内免费保修，一年后应提供良好的售后服务。</w:t>
            </w:r>
          </w:p>
        </w:tc>
        <w:tc>
          <w:tcPr>
            <w:tcW w:w="2125" w:type="dxa"/>
            <w:vAlign w:val="center"/>
          </w:tcPr>
          <w:p>
            <w:pPr>
              <w:jc w:val="both"/>
              <w:rPr>
                <w:szCs w:val="21"/>
                <w:lang w:eastAsia="zh-CN"/>
              </w:rPr>
            </w:pPr>
            <w:r>
              <w:rPr>
                <w:rFonts w:hint="eastAsia"/>
                <w:szCs w:val="21"/>
                <w:lang w:val="en-US"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56" w:edGrp="everyone"/>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售后服务必须响应及时，要求设备出现须厂家维修的故障后，应在4小时内明确答复，当电话沟通无法解决时，须48小时内及时派人至现场解决。</w:t>
            </w:r>
          </w:p>
        </w:tc>
        <w:tc>
          <w:tcPr>
            <w:tcW w:w="2125" w:type="dxa"/>
            <w:vAlign w:val="center"/>
          </w:tcPr>
          <w:p>
            <w:pPr>
              <w:jc w:val="both"/>
              <w:rPr>
                <w:szCs w:val="21"/>
                <w:lang w:val="en-US" w:eastAsia="zh-CN"/>
              </w:rPr>
            </w:pPr>
            <w:r>
              <w:rPr>
                <w:rFonts w:hint="eastAsia"/>
                <w:szCs w:val="21"/>
                <w:lang w:val="en-US"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57" w:edGrp="everyone"/>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both"/>
              <w:rPr>
                <w:szCs w:val="21"/>
                <w:lang w:val="en-US" w:eastAsia="zh-CN"/>
              </w:rPr>
            </w:pPr>
            <w:r>
              <w:rPr>
                <w:rFonts w:hint="eastAsia"/>
                <w:szCs w:val="21"/>
                <w:lang w:val="en-US"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58" w:edGrp="everyone"/>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厂家应提供合格的备件，用于设备相应部件的维修、更换。</w:t>
            </w:r>
          </w:p>
        </w:tc>
        <w:tc>
          <w:tcPr>
            <w:tcW w:w="2125" w:type="dxa"/>
            <w:vAlign w:val="center"/>
          </w:tcPr>
          <w:p>
            <w:pPr>
              <w:jc w:val="both"/>
              <w:rPr>
                <w:szCs w:val="21"/>
                <w:lang w:val="en-US" w:eastAsia="zh-CN"/>
              </w:rPr>
            </w:pPr>
            <w:r>
              <w:rPr>
                <w:rFonts w:hint="eastAsia"/>
                <w:szCs w:val="21"/>
                <w:lang w:val="en-US"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59" w:edGrp="everyone"/>
          </w:p>
        </w:tc>
        <w:tc>
          <w:tcPr>
            <w:tcW w:w="7128"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val="en-US" w:eastAsia="zh-CN"/>
              </w:rPr>
              <w:t>关键</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60" w:edGrp="everyone"/>
          </w:p>
        </w:tc>
        <w:tc>
          <w:tcPr>
            <w:tcW w:w="7128" w:type="dxa"/>
            <w:vAlign w:val="center"/>
          </w:tcPr>
          <w:p>
            <w:pPr>
              <w:spacing w:line="276" w:lineRule="auto"/>
              <w:jc w:val="both"/>
              <w:rPr>
                <w:szCs w:val="21"/>
                <w:lang w:eastAsia="zh-CN"/>
              </w:rPr>
            </w:pPr>
            <w:r>
              <w:rPr>
                <w:rFonts w:hint="eastAsia"/>
                <w:szCs w:val="21"/>
                <w:lang w:eastAsia="zh-CN"/>
              </w:rPr>
              <w:t>供应商进厂施工需遵守安全和施工规定。</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最后验收前必须保证所有的验证工作已完成和达到要求。</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确认验收合格后，买卖双方签订验收报告。</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确认验收合格应包含所有附件及备件。</w:t>
            </w:r>
          </w:p>
        </w:tc>
        <w:tc>
          <w:tcPr>
            <w:tcW w:w="2125" w:type="dxa"/>
            <w:vAlign w:val="center"/>
          </w:tcPr>
          <w:p>
            <w:pPr>
              <w:jc w:val="both"/>
              <w:rPr>
                <w:szCs w:val="21"/>
                <w:lang w:eastAsia="zh-CN"/>
              </w:rPr>
            </w:pPr>
            <w:r>
              <w:rPr>
                <w:rFonts w:hint="eastAsia"/>
                <w:szCs w:val="21"/>
                <w:lang w:val="en-US" w:eastAsia="zh-CN"/>
              </w:rPr>
              <w:t>关键</w:t>
            </w:r>
          </w:p>
        </w:tc>
      </w:tr>
      <w:permEnd w:id="60"/>
    </w:tbl>
    <w:p/>
    <w:p>
      <w:pPr>
        <w:pStyle w:val="30"/>
        <w:numPr>
          <w:ilvl w:val="0"/>
          <w:numId w:val="3"/>
        </w:numPr>
        <w:spacing w:afterLines="50"/>
        <w:ind w:left="426" w:hanging="426" w:hangingChars="202"/>
        <w:outlineLvl w:val="0"/>
        <w:rPr>
          <w:rFonts w:ascii="Times New Roman" w:hAnsi="Times New Roman"/>
          <w:b/>
        </w:rPr>
      </w:pPr>
      <w:bookmarkStart w:id="45" w:name="_Toc522107746"/>
      <w:bookmarkStart w:id="46" w:name="_Toc17546278"/>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4"/>
        <w:spacing w:before="0" w:line="360" w:lineRule="auto"/>
        <w:ind w:left="357"/>
        <w:jc w:val="left"/>
        <w:rPr>
          <w:szCs w:val="21"/>
          <w:lang w:eastAsia="zh-CN"/>
        </w:rPr>
      </w:pPr>
      <w:permStart w:id="61" w:edGrp="everyone"/>
      <w:r>
        <w:rPr>
          <w:rFonts w:hint="eastAsia"/>
          <w:szCs w:val="21"/>
          <w:lang w:eastAsia="zh-CN"/>
        </w:rPr>
        <w:t>N</w:t>
      </w:r>
      <w:r>
        <w:rPr>
          <w:szCs w:val="21"/>
          <w:lang w:eastAsia="zh-CN"/>
        </w:rPr>
        <w:t>/A</w:t>
      </w:r>
      <w:permEnd w:id="61"/>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765541632">
    <w:nsid w:val="2DA13D00"/>
    <w:multiLevelType w:val="multilevel"/>
    <w:tmpl w:val="2DA13D00"/>
    <w:lvl w:ilvl="0" w:tentative="1">
      <w:start w:val="1"/>
      <w:numFmt w:val="bullet"/>
      <w:lvlText w:val=""/>
      <w:lvlJc w:val="left"/>
      <w:pPr>
        <w:ind w:left="735" w:hanging="420"/>
      </w:pPr>
      <w:rPr>
        <w:rFonts w:hint="default" w:ascii="Wingdings" w:hAnsi="Wingdings"/>
      </w:rPr>
    </w:lvl>
    <w:lvl w:ilvl="1" w:tentative="1">
      <w:start w:val="1"/>
      <w:numFmt w:val="bullet"/>
      <w:lvlText w:val=""/>
      <w:lvlJc w:val="left"/>
      <w:pPr>
        <w:ind w:left="1155" w:hanging="420"/>
      </w:pPr>
      <w:rPr>
        <w:rFonts w:hint="default" w:ascii="Wingdings" w:hAnsi="Wingdings"/>
      </w:rPr>
    </w:lvl>
    <w:lvl w:ilvl="2" w:tentative="1">
      <w:start w:val="1"/>
      <w:numFmt w:val="bullet"/>
      <w:lvlText w:val=""/>
      <w:lvlJc w:val="left"/>
      <w:pPr>
        <w:ind w:left="1575" w:hanging="420"/>
      </w:pPr>
      <w:rPr>
        <w:rFonts w:hint="default" w:ascii="Wingdings" w:hAnsi="Wingdings"/>
      </w:rPr>
    </w:lvl>
    <w:lvl w:ilvl="3" w:tentative="1">
      <w:start w:val="1"/>
      <w:numFmt w:val="bullet"/>
      <w:lvlText w:val=""/>
      <w:lvlJc w:val="left"/>
      <w:pPr>
        <w:ind w:left="1995" w:hanging="420"/>
      </w:pPr>
      <w:rPr>
        <w:rFonts w:hint="default" w:ascii="Wingdings" w:hAnsi="Wingdings"/>
      </w:rPr>
    </w:lvl>
    <w:lvl w:ilvl="4" w:tentative="1">
      <w:start w:val="1"/>
      <w:numFmt w:val="bullet"/>
      <w:lvlText w:val=""/>
      <w:lvlJc w:val="left"/>
      <w:pPr>
        <w:ind w:left="2415" w:hanging="420"/>
      </w:pPr>
      <w:rPr>
        <w:rFonts w:hint="default" w:ascii="Wingdings" w:hAnsi="Wingdings"/>
      </w:rPr>
    </w:lvl>
    <w:lvl w:ilvl="5" w:tentative="1">
      <w:start w:val="1"/>
      <w:numFmt w:val="bullet"/>
      <w:lvlText w:val=""/>
      <w:lvlJc w:val="left"/>
      <w:pPr>
        <w:ind w:left="2835" w:hanging="420"/>
      </w:pPr>
      <w:rPr>
        <w:rFonts w:hint="default" w:ascii="Wingdings" w:hAnsi="Wingdings"/>
      </w:rPr>
    </w:lvl>
    <w:lvl w:ilvl="6" w:tentative="1">
      <w:start w:val="1"/>
      <w:numFmt w:val="bullet"/>
      <w:lvlText w:val=""/>
      <w:lvlJc w:val="left"/>
      <w:pPr>
        <w:ind w:left="3255" w:hanging="420"/>
      </w:pPr>
      <w:rPr>
        <w:rFonts w:hint="default" w:ascii="Wingdings" w:hAnsi="Wingdings"/>
      </w:rPr>
    </w:lvl>
    <w:lvl w:ilvl="7" w:tentative="1">
      <w:start w:val="1"/>
      <w:numFmt w:val="bullet"/>
      <w:lvlText w:val=""/>
      <w:lvlJc w:val="left"/>
      <w:pPr>
        <w:ind w:left="3675" w:hanging="420"/>
      </w:pPr>
      <w:rPr>
        <w:rFonts w:hint="default" w:ascii="Wingdings" w:hAnsi="Wingdings"/>
      </w:rPr>
    </w:lvl>
    <w:lvl w:ilvl="8" w:tentative="1">
      <w:start w:val="1"/>
      <w:numFmt w:val="bullet"/>
      <w:lvlText w:val=""/>
      <w:lvlJc w:val="left"/>
      <w:pPr>
        <w:ind w:left="4095" w:hanging="420"/>
      </w:pPr>
      <w:rPr>
        <w:rFonts w:hint="default" w:ascii="Wingdings" w:hAnsi="Wingdings"/>
      </w:r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765541632"/>
  </w:num>
  <w:num w:numId="7">
    <w:abstractNumId w:val="143812762"/>
  </w:num>
  <w:num w:numId="8">
    <w:abstractNumId w:val="382943692"/>
  </w:num>
  <w:num w:numId="9">
    <w:abstractNumId w:val="287781897"/>
  </w:num>
  <w:num w:numId="10">
    <w:abstractNumId w:val="839589741"/>
  </w:num>
  <w:num w:numId="11">
    <w:abstractNumId w:val="196115971"/>
  </w:num>
  <w:num w:numId="12">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0EDE"/>
    <w:rsid w:val="0001160E"/>
    <w:rsid w:val="000117C7"/>
    <w:rsid w:val="000169DD"/>
    <w:rsid w:val="00020FEA"/>
    <w:rsid w:val="00021E8D"/>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0D6A"/>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0769"/>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32B0"/>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C7D49"/>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AB7"/>
    <w:rsid w:val="00124E69"/>
    <w:rsid w:val="00125CC1"/>
    <w:rsid w:val="00127316"/>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52BF"/>
    <w:rsid w:val="00166311"/>
    <w:rsid w:val="00166478"/>
    <w:rsid w:val="00167B0E"/>
    <w:rsid w:val="00171A51"/>
    <w:rsid w:val="001746E7"/>
    <w:rsid w:val="001757AB"/>
    <w:rsid w:val="001769A8"/>
    <w:rsid w:val="001809F1"/>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2DF3"/>
    <w:rsid w:val="001F3552"/>
    <w:rsid w:val="001F473D"/>
    <w:rsid w:val="001F4BFD"/>
    <w:rsid w:val="001F4CFA"/>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5B7E"/>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5C"/>
    <w:rsid w:val="002B14F3"/>
    <w:rsid w:val="002B480A"/>
    <w:rsid w:val="002B67A2"/>
    <w:rsid w:val="002B6854"/>
    <w:rsid w:val="002C1817"/>
    <w:rsid w:val="002C1DAB"/>
    <w:rsid w:val="002C4FCF"/>
    <w:rsid w:val="002C527C"/>
    <w:rsid w:val="002C707D"/>
    <w:rsid w:val="002D0253"/>
    <w:rsid w:val="002D03CD"/>
    <w:rsid w:val="002D2477"/>
    <w:rsid w:val="002D2AAB"/>
    <w:rsid w:val="002D691F"/>
    <w:rsid w:val="002D6A50"/>
    <w:rsid w:val="002D6D1C"/>
    <w:rsid w:val="002E1D21"/>
    <w:rsid w:val="002E3B36"/>
    <w:rsid w:val="002E59BF"/>
    <w:rsid w:val="002E63F6"/>
    <w:rsid w:val="002E69A1"/>
    <w:rsid w:val="002E7EB2"/>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27A05"/>
    <w:rsid w:val="00330D16"/>
    <w:rsid w:val="00330FFF"/>
    <w:rsid w:val="00331E8E"/>
    <w:rsid w:val="003320CD"/>
    <w:rsid w:val="00333C91"/>
    <w:rsid w:val="0033695C"/>
    <w:rsid w:val="00341B2F"/>
    <w:rsid w:val="00342915"/>
    <w:rsid w:val="00344B04"/>
    <w:rsid w:val="003456C5"/>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22C2"/>
    <w:rsid w:val="003B354C"/>
    <w:rsid w:val="003B355B"/>
    <w:rsid w:val="003B4A5D"/>
    <w:rsid w:val="003B5047"/>
    <w:rsid w:val="003B6E29"/>
    <w:rsid w:val="003B73AB"/>
    <w:rsid w:val="003C02C6"/>
    <w:rsid w:val="003C03D7"/>
    <w:rsid w:val="003C0712"/>
    <w:rsid w:val="003C558E"/>
    <w:rsid w:val="003C6ECF"/>
    <w:rsid w:val="003C73BC"/>
    <w:rsid w:val="003D0BD4"/>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17E4"/>
    <w:rsid w:val="00421F08"/>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3D0"/>
    <w:rsid w:val="00551539"/>
    <w:rsid w:val="00552EFE"/>
    <w:rsid w:val="00553484"/>
    <w:rsid w:val="00554ABB"/>
    <w:rsid w:val="0055552D"/>
    <w:rsid w:val="00555668"/>
    <w:rsid w:val="0055679E"/>
    <w:rsid w:val="0056090D"/>
    <w:rsid w:val="00561E9C"/>
    <w:rsid w:val="00562A84"/>
    <w:rsid w:val="00565C7A"/>
    <w:rsid w:val="00567E14"/>
    <w:rsid w:val="005705A7"/>
    <w:rsid w:val="0057277E"/>
    <w:rsid w:val="00572F0E"/>
    <w:rsid w:val="005736F5"/>
    <w:rsid w:val="00574D60"/>
    <w:rsid w:val="00575318"/>
    <w:rsid w:val="00577142"/>
    <w:rsid w:val="005773E5"/>
    <w:rsid w:val="00577BAC"/>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5BFB"/>
    <w:rsid w:val="00627113"/>
    <w:rsid w:val="00627B8B"/>
    <w:rsid w:val="0063106D"/>
    <w:rsid w:val="006312FF"/>
    <w:rsid w:val="00632136"/>
    <w:rsid w:val="00632C67"/>
    <w:rsid w:val="006331B6"/>
    <w:rsid w:val="00633310"/>
    <w:rsid w:val="00633315"/>
    <w:rsid w:val="0063532E"/>
    <w:rsid w:val="006366CC"/>
    <w:rsid w:val="00637C16"/>
    <w:rsid w:val="0064048E"/>
    <w:rsid w:val="00641320"/>
    <w:rsid w:val="00641E74"/>
    <w:rsid w:val="006434E3"/>
    <w:rsid w:val="0064366A"/>
    <w:rsid w:val="0064657C"/>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6273"/>
    <w:rsid w:val="006A7425"/>
    <w:rsid w:val="006B058A"/>
    <w:rsid w:val="006B1299"/>
    <w:rsid w:val="006B26D9"/>
    <w:rsid w:val="006B310C"/>
    <w:rsid w:val="006B664C"/>
    <w:rsid w:val="006C1125"/>
    <w:rsid w:val="006C1C83"/>
    <w:rsid w:val="006C2F32"/>
    <w:rsid w:val="006C3E78"/>
    <w:rsid w:val="006C54E6"/>
    <w:rsid w:val="006C5762"/>
    <w:rsid w:val="006C690D"/>
    <w:rsid w:val="006D149F"/>
    <w:rsid w:val="006D3396"/>
    <w:rsid w:val="006D47F3"/>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109"/>
    <w:rsid w:val="00770E90"/>
    <w:rsid w:val="00772C42"/>
    <w:rsid w:val="0077302F"/>
    <w:rsid w:val="00773661"/>
    <w:rsid w:val="00774A61"/>
    <w:rsid w:val="00774E08"/>
    <w:rsid w:val="00774E72"/>
    <w:rsid w:val="0077746F"/>
    <w:rsid w:val="007775FE"/>
    <w:rsid w:val="00780A5F"/>
    <w:rsid w:val="00782DE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54A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D7B52"/>
    <w:rsid w:val="007E3532"/>
    <w:rsid w:val="007E45E1"/>
    <w:rsid w:val="007E4F5D"/>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2398"/>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7708F"/>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042D"/>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82"/>
    <w:rsid w:val="008E41D3"/>
    <w:rsid w:val="008E43F1"/>
    <w:rsid w:val="008E594F"/>
    <w:rsid w:val="008E7312"/>
    <w:rsid w:val="008F297F"/>
    <w:rsid w:val="008F447E"/>
    <w:rsid w:val="00904BA9"/>
    <w:rsid w:val="00904E7E"/>
    <w:rsid w:val="0091086B"/>
    <w:rsid w:val="00911129"/>
    <w:rsid w:val="00912EA3"/>
    <w:rsid w:val="00914B6E"/>
    <w:rsid w:val="00914F1F"/>
    <w:rsid w:val="009156A2"/>
    <w:rsid w:val="0091579A"/>
    <w:rsid w:val="0091615D"/>
    <w:rsid w:val="00923F7E"/>
    <w:rsid w:val="00924C96"/>
    <w:rsid w:val="00925030"/>
    <w:rsid w:val="00925B32"/>
    <w:rsid w:val="00930A64"/>
    <w:rsid w:val="00930BE5"/>
    <w:rsid w:val="00931403"/>
    <w:rsid w:val="00933C58"/>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30D8"/>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005A"/>
    <w:rsid w:val="00BE1F47"/>
    <w:rsid w:val="00BE24AD"/>
    <w:rsid w:val="00BE2787"/>
    <w:rsid w:val="00BE51BB"/>
    <w:rsid w:val="00BE7ECD"/>
    <w:rsid w:val="00BF05A3"/>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3B14"/>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7A1"/>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D624C"/>
    <w:rsid w:val="00CE07A9"/>
    <w:rsid w:val="00CE1012"/>
    <w:rsid w:val="00CE419E"/>
    <w:rsid w:val="00CE5011"/>
    <w:rsid w:val="00CE5655"/>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5FB5"/>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46B3"/>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1D06"/>
    <w:rsid w:val="00DC2BE8"/>
    <w:rsid w:val="00DC2BEC"/>
    <w:rsid w:val="00DC3256"/>
    <w:rsid w:val="00DC35A6"/>
    <w:rsid w:val="00DD090A"/>
    <w:rsid w:val="00DD2421"/>
    <w:rsid w:val="00DD3222"/>
    <w:rsid w:val="00DD3D81"/>
    <w:rsid w:val="00DD571C"/>
    <w:rsid w:val="00DD64E1"/>
    <w:rsid w:val="00DE00A2"/>
    <w:rsid w:val="00DE039A"/>
    <w:rsid w:val="00DE0403"/>
    <w:rsid w:val="00DE2ACE"/>
    <w:rsid w:val="00DE4811"/>
    <w:rsid w:val="00DE5458"/>
    <w:rsid w:val="00DE5EE6"/>
    <w:rsid w:val="00DE77EA"/>
    <w:rsid w:val="00DF0ABA"/>
    <w:rsid w:val="00DF1EEE"/>
    <w:rsid w:val="00DF6C58"/>
    <w:rsid w:val="00E001C1"/>
    <w:rsid w:val="00E039F3"/>
    <w:rsid w:val="00E03C30"/>
    <w:rsid w:val="00E078BD"/>
    <w:rsid w:val="00E078F8"/>
    <w:rsid w:val="00E10604"/>
    <w:rsid w:val="00E1142B"/>
    <w:rsid w:val="00E11F10"/>
    <w:rsid w:val="00E14406"/>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472B9"/>
    <w:rsid w:val="00E51372"/>
    <w:rsid w:val="00E51CAF"/>
    <w:rsid w:val="00E51E95"/>
    <w:rsid w:val="00E51F9D"/>
    <w:rsid w:val="00E5202F"/>
    <w:rsid w:val="00E5211A"/>
    <w:rsid w:val="00E53A9F"/>
    <w:rsid w:val="00E549AF"/>
    <w:rsid w:val="00E60540"/>
    <w:rsid w:val="00E61C74"/>
    <w:rsid w:val="00E63D8F"/>
    <w:rsid w:val="00E66757"/>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14B7"/>
    <w:rsid w:val="00EB3C66"/>
    <w:rsid w:val="00EB4B03"/>
    <w:rsid w:val="00EB5DEE"/>
    <w:rsid w:val="00EB64CB"/>
    <w:rsid w:val="00EB6D46"/>
    <w:rsid w:val="00EC07F3"/>
    <w:rsid w:val="00EC0F31"/>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89E"/>
    <w:rsid w:val="00F13B2E"/>
    <w:rsid w:val="00F176A0"/>
    <w:rsid w:val="00F20174"/>
    <w:rsid w:val="00F22098"/>
    <w:rsid w:val="00F223BC"/>
    <w:rsid w:val="00F23780"/>
    <w:rsid w:val="00F26185"/>
    <w:rsid w:val="00F3178C"/>
    <w:rsid w:val="00F33DE5"/>
    <w:rsid w:val="00F34B8F"/>
    <w:rsid w:val="00F36D7F"/>
    <w:rsid w:val="00F37186"/>
    <w:rsid w:val="00F4072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12C8"/>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5CC"/>
    <w:rsid w:val="00FE7611"/>
    <w:rsid w:val="00FF0769"/>
    <w:rsid w:val="00FF0DB8"/>
    <w:rsid w:val="00FF1A76"/>
    <w:rsid w:val="00FF1C1D"/>
    <w:rsid w:val="00FF3330"/>
    <w:rsid w:val="00FF4080"/>
    <w:rsid w:val="00FF40A5"/>
    <w:rsid w:val="00FF48DA"/>
    <w:rsid w:val="00FF5E19"/>
    <w:rsid w:val="00FF61AD"/>
    <w:rsid w:val="00FF76BD"/>
    <w:rsid w:val="03676DD1"/>
    <w:rsid w:val="092E7FC4"/>
    <w:rsid w:val="0A3713E4"/>
    <w:rsid w:val="0B835D6D"/>
    <w:rsid w:val="0CFF64E5"/>
    <w:rsid w:val="0F0A21FB"/>
    <w:rsid w:val="103102F2"/>
    <w:rsid w:val="12370581"/>
    <w:rsid w:val="1F0603AF"/>
    <w:rsid w:val="21C34680"/>
    <w:rsid w:val="25E14D95"/>
    <w:rsid w:val="262D1B7B"/>
    <w:rsid w:val="2A2C6713"/>
    <w:rsid w:val="2A310C57"/>
    <w:rsid w:val="2AA644F4"/>
    <w:rsid w:val="2B0A3E81"/>
    <w:rsid w:val="2B53634B"/>
    <w:rsid w:val="2ED24E27"/>
    <w:rsid w:val="31175262"/>
    <w:rsid w:val="315F2F32"/>
    <w:rsid w:val="316571CC"/>
    <w:rsid w:val="3207171C"/>
    <w:rsid w:val="33AE7165"/>
    <w:rsid w:val="36205FEA"/>
    <w:rsid w:val="364F0710"/>
    <w:rsid w:val="3C0D6AFF"/>
    <w:rsid w:val="48B27954"/>
    <w:rsid w:val="4ABB742D"/>
    <w:rsid w:val="4AE51E01"/>
    <w:rsid w:val="4B9807AB"/>
    <w:rsid w:val="4CF162EF"/>
    <w:rsid w:val="4D7504BD"/>
    <w:rsid w:val="4E445A5F"/>
    <w:rsid w:val="50ED202A"/>
    <w:rsid w:val="50EE45E3"/>
    <w:rsid w:val="539F1D1C"/>
    <w:rsid w:val="55423A3C"/>
    <w:rsid w:val="59550BD3"/>
    <w:rsid w:val="599E38D9"/>
    <w:rsid w:val="5BE51629"/>
    <w:rsid w:val="5CDF678E"/>
    <w:rsid w:val="60391A57"/>
    <w:rsid w:val="62351D40"/>
    <w:rsid w:val="636F5EE3"/>
    <w:rsid w:val="63CF1570"/>
    <w:rsid w:val="64512123"/>
    <w:rsid w:val="658301DA"/>
    <w:rsid w:val="68DF2F11"/>
    <w:rsid w:val="6B702EB3"/>
    <w:rsid w:val="6EAC7A5D"/>
    <w:rsid w:val="7439359D"/>
    <w:rsid w:val="748F5455"/>
    <w:rsid w:val="77B32707"/>
    <w:rsid w:val="77E245E0"/>
    <w:rsid w:val="788864C3"/>
    <w:rsid w:val="7B1C3B4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nhideWhenUsed="0" w:uiPriority="0" w:semiHidden="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9"/>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40"/>
    <w:qFormat/>
    <w:uiPriority w:val="99"/>
    <w:pPr>
      <w:tabs>
        <w:tab w:val="center" w:pos="4320"/>
        <w:tab w:val="right" w:pos="8640"/>
      </w:tabs>
    </w:pPr>
  </w:style>
  <w:style w:type="paragraph" w:styleId="15">
    <w:name w:val="header"/>
    <w:basedOn w:val="1"/>
    <w:link w:val="38"/>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7"/>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3"/>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4"/>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paragraph" w:customStyle="1" w:styleId="36">
    <w:name w:val="&amp;中文正文"/>
    <w:basedOn w:val="37"/>
    <w:qFormat/>
    <w:uiPriority w:val="99"/>
    <w:pPr>
      <w:ind w:firstLine="200" w:firstLineChars="200"/>
    </w:pPr>
  </w:style>
  <w:style w:type="paragraph" w:customStyle="1" w:styleId="37">
    <w:name w:val="&amp;正文"/>
    <w:basedOn w:val="1"/>
    <w:qFormat/>
    <w:uiPriority w:val="99"/>
    <w:pPr>
      <w:spacing w:line="460" w:lineRule="exact"/>
    </w:pPr>
    <w:rPr>
      <w:sz w:val="24"/>
    </w:rPr>
  </w:style>
  <w:style w:type="character" w:customStyle="1" w:styleId="38">
    <w:name w:val="页眉 Char"/>
    <w:link w:val="15"/>
    <w:qFormat/>
    <w:uiPriority w:val="0"/>
    <w:rPr>
      <w:rFonts w:eastAsia="宋体"/>
      <w:sz w:val="24"/>
      <w:lang w:eastAsia="en-US" w:bidi="ar-SA"/>
    </w:rPr>
  </w:style>
  <w:style w:type="character" w:customStyle="1" w:styleId="39">
    <w:name w:val="批注文字 Char1"/>
    <w:link w:val="7"/>
    <w:semiHidden/>
    <w:qFormat/>
    <w:uiPriority w:val="0"/>
    <w:rPr>
      <w:sz w:val="24"/>
      <w:lang w:eastAsia="en-US"/>
    </w:rPr>
  </w:style>
  <w:style w:type="character" w:customStyle="1" w:styleId="40">
    <w:name w:val="页脚 Char"/>
    <w:link w:val="14"/>
    <w:qFormat/>
    <w:uiPriority w:val="99"/>
    <w:rPr>
      <w:sz w:val="24"/>
      <w:lang w:eastAsia="en-US"/>
    </w:rPr>
  </w:style>
  <w:style w:type="character" w:customStyle="1" w:styleId="41">
    <w:name w:val="instruction standard blue"/>
    <w:qFormat/>
    <w:uiPriority w:val="1"/>
    <w:rPr>
      <w:rFonts w:cs="Arial"/>
      <w:i/>
      <w:color w:val="0070C0"/>
    </w:rPr>
  </w:style>
  <w:style w:type="character" w:customStyle="1" w:styleId="42">
    <w:name w:val="keyword"/>
    <w:basedOn w:val="19"/>
    <w:qFormat/>
    <w:uiPriority w:val="0"/>
    <w:rPr/>
  </w:style>
  <w:style w:type="character" w:customStyle="1" w:styleId="43">
    <w:name w:val="numbering blue Zchn"/>
    <w:link w:val="32"/>
    <w:qFormat/>
    <w:uiPriority w:val="0"/>
    <w:rPr>
      <w:rFonts w:ascii="Arial" w:hAnsi="Arial" w:eastAsia="PMingLiU"/>
      <w:color w:val="0070C0"/>
      <w:lang w:eastAsia="zh-TW"/>
    </w:rPr>
  </w:style>
  <w:style w:type="character" w:customStyle="1" w:styleId="44">
    <w:name w:val="Text Char"/>
    <w:link w:val="34"/>
    <w:qFormat/>
    <w:locked/>
    <w:uiPriority w:val="0"/>
    <w:rPr>
      <w:sz w:val="24"/>
      <w:lang w:eastAsia="en-US"/>
    </w:rPr>
  </w:style>
  <w:style w:type="character" w:customStyle="1" w:styleId="45">
    <w:name w:val="ordinary-span-edit2"/>
    <w:qFormat/>
    <w:uiPriority w:val="0"/>
  </w:style>
  <w:style w:type="character" w:customStyle="1" w:styleId="46">
    <w:name w:val="apple-converted-space"/>
    <w:basedOn w:val="19"/>
    <w:qFormat/>
    <w:uiPriority w:val="0"/>
    <w:rPr/>
  </w:style>
  <w:style w:type="character" w:customStyle="1" w:styleId="47">
    <w:name w:val="标题 Char"/>
    <w:link w:val="18"/>
    <w:qFormat/>
    <w:uiPriority w:val="0"/>
    <w:rPr>
      <w:rFonts w:ascii="Calibri Light" w:hAnsi="Calibri Light" w:cs="Times New Roman"/>
      <w:b/>
      <w:bCs/>
      <w:sz w:val="32"/>
      <w:szCs w:val="32"/>
      <w:lang w:eastAsia="en-US"/>
    </w:rPr>
  </w:style>
  <w:style w:type="character" w:customStyle="1" w:styleId="48">
    <w:name w:val="Footer Char"/>
    <w:basedOn w:val="19"/>
    <w:semiHidden/>
    <w:qFormat/>
    <w:locked/>
    <w:uiPriority w:val="0"/>
    <w:rPr>
      <w:rFonts w:cs="Times New Roman"/>
      <w:sz w:val="18"/>
      <w:szCs w:val="18"/>
    </w:rPr>
  </w:style>
  <w:style w:type="character" w:customStyle="1" w:styleId="49">
    <w:name w:val="批注文字 Char"/>
    <w:semiHidden/>
    <w:uiPriority w:val="0"/>
    <w:rPr>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MicroWin10.com</Company>
  <Pages>14</Pages>
  <Words>1057</Words>
  <Characters>6025</Characters>
  <Lines>50</Lines>
  <Paragraphs>14</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2017-06-22T01:53:00Z</cp:lastPrinted>
  <dcterms:modified xsi:type="dcterms:W3CDTF">2020-05-08T01:52:00Z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