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666358"/>
      <w:bookmarkStart w:id="2" w:name="_Toc482717189"/>
      <w:bookmarkStart w:id="3" w:name="_Toc484532399"/>
      <w:bookmarkStart w:id="4" w:name="_Toc483227223"/>
    </w:p>
    <w:p>
      <w:pPr>
        <w:spacing w:afterLines="50"/>
        <w:jc w:val="center"/>
        <w:rPr>
          <w:b/>
          <w:szCs w:val="21"/>
          <w:lang w:eastAsia="zh-CN"/>
        </w:rPr>
      </w:pPr>
      <w:permStart w:id="0" w:edGrp="everyone"/>
      <w:r>
        <w:rPr>
          <w:rFonts w:hint="eastAsia"/>
          <w:b/>
          <w:sz w:val="28"/>
          <w:szCs w:val="28"/>
          <w:lang w:val="en-US" w:eastAsia="zh-CN"/>
        </w:rPr>
        <w:t>自动电位滴定仪</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Lines="50"/>
        <w:jc w:val="center"/>
        <w:rPr>
          <w:b/>
          <w:i/>
          <w:color w:val="4472C4"/>
          <w:szCs w:val="21"/>
          <w:lang w:eastAsia="zh-CN"/>
        </w:rPr>
      </w:pPr>
      <w:bookmarkStart w:id="5" w:name="OLE_LINK4"/>
      <w:permStart w:id="1" w:edGrp="everyone"/>
      <w:permEnd w:id="1"/>
    </w:p>
    <w:bookmarkEnd w:id="5"/>
    <w:p>
      <w:pPr>
        <w:pStyle w:val="31"/>
        <w:widowControl w:val="0"/>
        <w:spacing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70757"/>
      <w:bookmarkStart w:id="11" w:name="_Toc482370349"/>
      <w:bookmarkStart w:id="12" w:name="_Toc482370141"/>
      <w:bookmarkStart w:id="13" w:name="_Toc482625279"/>
      <w:bookmarkStart w:id="14" w:name="_Toc482370061"/>
      <w:bookmarkStart w:id="15" w:name="_Toc482360281"/>
      <w:bookmarkStart w:id="16" w:name="_Toc482369805"/>
      <w:r>
        <w:rPr>
          <w:szCs w:val="21"/>
          <w:lang w:eastAsia="zh-CN"/>
        </w:rPr>
        <w:t>本文件的目的是描述武汉生物制品研究所有限责任公司</w:t>
      </w:r>
      <w:permStart w:id="3" w:edGrp="everyone"/>
      <w:r>
        <w:rPr>
          <w:rFonts w:hint="eastAsia"/>
          <w:szCs w:val="21"/>
          <w:lang w:eastAsia="zh-CN"/>
        </w:rPr>
        <w:t>质量控制室原材料检定组自动电位滴定仪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质量控制室原材料检定组自动电位滴定仪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szCs w:val="21"/>
          <w:lang w:eastAsia="zh-CN"/>
        </w:rPr>
      </w:pPr>
      <w:permStart w:id="5" w:edGrp="everyone"/>
      <w:r>
        <w:rPr>
          <w:rFonts w:hint="eastAsia"/>
          <w:szCs w:val="21"/>
          <w:lang w:eastAsia="zh-CN"/>
        </w:rPr>
        <w:t>《</w:t>
      </w:r>
      <w:r>
        <w:rPr>
          <w:szCs w:val="21"/>
          <w:lang w:eastAsia="zh-CN"/>
        </w:rPr>
        <w:t>中国药典</w:t>
      </w:r>
      <w:r>
        <w:rPr>
          <w:rFonts w:hint="eastAsia"/>
          <w:szCs w:val="21"/>
          <w:lang w:eastAsia="zh-CN"/>
        </w:rPr>
        <w:t>》</w:t>
      </w:r>
      <w:r>
        <w:rPr>
          <w:szCs w:val="21"/>
          <w:lang w:eastAsia="zh-CN"/>
        </w:rPr>
        <w:t xml:space="preserve"> 2015年版</w:t>
      </w:r>
    </w:p>
    <w:p>
      <w:pPr>
        <w:pStyle w:val="34"/>
        <w:numPr>
          <w:ilvl w:val="0"/>
          <w:numId w:val="5"/>
        </w:numPr>
        <w:spacing w:before="0" w:line="360" w:lineRule="auto"/>
        <w:ind w:left="777"/>
        <w:jc w:val="left"/>
        <w:rPr>
          <w:szCs w:val="21"/>
          <w:lang w:eastAsia="zh-CN"/>
        </w:rPr>
      </w:pPr>
      <w:r>
        <w:rPr>
          <w:rFonts w:hint="eastAsia" w:ascii="Arial" w:hAnsi="Arial" w:cs="Arial"/>
          <w:bCs/>
          <w:color w:val="000000"/>
          <w:szCs w:val="21"/>
          <w:lang w:eastAsia="zh-CN"/>
        </w:rPr>
        <w:t>《药品生产质量管理规范》（2</w:t>
      </w:r>
      <w:r>
        <w:rPr>
          <w:rFonts w:ascii="Arial" w:hAnsi="Arial" w:cs="Arial"/>
          <w:bCs/>
          <w:color w:val="000000"/>
          <w:szCs w:val="21"/>
          <w:lang w:eastAsia="zh-CN"/>
        </w:rPr>
        <w:t>010</w:t>
      </w:r>
      <w:r>
        <w:rPr>
          <w:rFonts w:hint="eastAsia" w:ascii="Arial" w:hAnsi="Arial" w:cs="Arial"/>
          <w:bCs/>
          <w:color w:val="000000"/>
          <w:szCs w:val="21"/>
          <w:lang w:eastAsia="zh-CN"/>
        </w:rPr>
        <w:t>修订）</w:t>
      </w:r>
    </w:p>
    <w:p>
      <w:pPr>
        <w:pStyle w:val="34"/>
        <w:numPr>
          <w:ilvl w:val="0"/>
          <w:numId w:val="5"/>
        </w:numPr>
        <w:spacing w:before="0" w:line="360" w:lineRule="auto"/>
        <w:ind w:left="777"/>
        <w:jc w:val="left"/>
        <w:rPr>
          <w:szCs w:val="21"/>
          <w:lang w:eastAsia="zh-CN"/>
        </w:rPr>
      </w:pPr>
      <w:r>
        <w:rPr>
          <w:rFonts w:hint="eastAsia" w:ascii="Arial" w:hAnsi="Arial" w:cs="Arial"/>
          <w:bCs/>
          <w:color w:val="000000"/>
          <w:szCs w:val="21"/>
          <w:lang w:eastAsia="zh-CN"/>
        </w:rPr>
        <w:t>JJG 814-2015 自动电位滴定仪检定规程</w:t>
      </w:r>
    </w:p>
    <w:p>
      <w:pPr>
        <w:pStyle w:val="34"/>
        <w:numPr>
          <w:ilvl w:val="0"/>
          <w:numId w:val="5"/>
        </w:numPr>
        <w:spacing w:before="0" w:line="360" w:lineRule="auto"/>
        <w:ind w:left="777"/>
        <w:jc w:val="left"/>
        <w:rPr>
          <w:rFonts w:ascii="Arial" w:hAnsi="Arial" w:cs="Arial"/>
          <w:bCs/>
          <w:color w:val="000000"/>
          <w:szCs w:val="21"/>
          <w:lang w:eastAsia="zh-CN"/>
        </w:rPr>
      </w:pPr>
      <w:r>
        <w:rPr>
          <w:rFonts w:ascii="Arial" w:hAnsi="Arial" w:cs="Arial"/>
          <w:bCs/>
          <w:color w:val="000000"/>
          <w:szCs w:val="21"/>
          <w:lang w:eastAsia="zh-CN"/>
        </w:rPr>
        <w:t>GAMP5 – A Risk-based Approach to Compliant GxP Computerized System</w:t>
      </w:r>
    </w:p>
    <w:p>
      <w:pPr>
        <w:pStyle w:val="34"/>
        <w:numPr>
          <w:ilvl w:val="0"/>
          <w:numId w:val="5"/>
        </w:numPr>
        <w:spacing w:before="0" w:line="360" w:lineRule="auto"/>
        <w:ind w:left="777"/>
        <w:jc w:val="left"/>
        <w:rPr>
          <w:szCs w:val="21"/>
          <w:lang w:eastAsia="zh-CN"/>
        </w:rPr>
      </w:pPr>
      <w:r>
        <w:rPr>
          <w:rFonts w:ascii="Arial" w:hAnsi="Arial" w:cs="Arial"/>
          <w:bCs/>
          <w:color w:val="000000"/>
          <w:szCs w:val="21"/>
        </w:rPr>
        <w:t>FDA – 21 CFR Part 11: Electronic Records and Electronic Signatures</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4"/>
        <w:spacing w:before="0" w:line="360" w:lineRule="auto"/>
        <w:ind w:left="357"/>
        <w:jc w:val="left"/>
        <w:rPr>
          <w:szCs w:val="21"/>
          <w:lang w:eastAsia="zh-CN"/>
        </w:rPr>
      </w:pPr>
      <w:permStart w:id="7" w:edGrp="everyone"/>
    </w:p>
    <w:permEnd w:id="7"/>
    <w:p>
      <w:pPr>
        <w:pStyle w:val="30"/>
        <w:numPr>
          <w:ilvl w:val="0"/>
          <w:numId w:val="3"/>
        </w:numPr>
        <w:spacing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34"/>
        <w:spacing w:before="0" w:line="360" w:lineRule="auto"/>
        <w:ind w:left="357"/>
        <w:jc w:val="left"/>
        <w:rPr>
          <w:szCs w:val="21"/>
          <w:lang w:eastAsia="zh-CN"/>
        </w:rPr>
      </w:pPr>
      <w:permStart w:id="8" w:edGrp="everyone"/>
      <w:r>
        <w:rPr>
          <w:rFonts w:hint="eastAsia"/>
          <w:szCs w:val="21"/>
          <w:lang w:eastAsia="zh-CN"/>
        </w:rPr>
        <w:t>实验室自动电位滴定仪为制品生产用原辅材料含量分析的重要设备，其组成和工作原理如下：</w:t>
      </w:r>
    </w:p>
    <w:p>
      <w:pPr>
        <w:pStyle w:val="34"/>
        <w:numPr>
          <w:ilvl w:val="1"/>
          <w:numId w:val="3"/>
        </w:numPr>
        <w:spacing w:before="0" w:line="360" w:lineRule="auto"/>
        <w:jc w:val="left"/>
        <w:rPr>
          <w:szCs w:val="21"/>
          <w:lang w:eastAsia="zh-CN"/>
        </w:rPr>
      </w:pPr>
      <w:r>
        <w:rPr>
          <w:rFonts w:hint="eastAsia"/>
          <w:szCs w:val="21"/>
          <w:lang w:eastAsia="zh-CN"/>
        </w:rPr>
        <w:t>仪器组成</w:t>
      </w:r>
    </w:p>
    <w:p>
      <w:pPr>
        <w:pStyle w:val="34"/>
        <w:spacing w:before="0" w:line="360" w:lineRule="auto"/>
        <w:ind w:left="357" w:leftChars="170" w:firstLine="315" w:firstLineChars="150"/>
        <w:jc w:val="left"/>
        <w:rPr>
          <w:szCs w:val="21"/>
          <w:lang w:eastAsia="zh-CN"/>
        </w:rPr>
      </w:pPr>
      <w:r>
        <w:rPr>
          <w:rFonts w:hint="eastAsia"/>
          <w:szCs w:val="21"/>
          <w:lang w:eastAsia="zh-CN"/>
        </w:rPr>
        <w:t>本仪器分为电计系统、滴定系统和电极系统三大部分。电计系统由电位放大、控制线路及终端组成，通过测量指示电极与参比电极间的电位，进行信号处理，自动控制滴定系统的滴液速度，判断滴定终点后，仪器自动停止滴定。</w:t>
      </w:r>
    </w:p>
    <w:p>
      <w:pPr>
        <w:pStyle w:val="34"/>
        <w:spacing w:before="0" w:line="360" w:lineRule="auto"/>
        <w:ind w:left="357" w:leftChars="170" w:firstLine="315" w:firstLineChars="150"/>
        <w:jc w:val="left"/>
        <w:rPr>
          <w:szCs w:val="21"/>
          <w:lang w:eastAsia="zh-CN"/>
        </w:rPr>
      </w:pPr>
      <w:r>
        <w:rPr>
          <w:rFonts w:hint="eastAsia"/>
          <w:szCs w:val="21"/>
          <w:lang w:eastAsia="zh-CN"/>
        </w:rPr>
        <w:t>滴定系统分为数字式和刻度式滴定管两类，应采用抗腐蚀材料，可进行非水滴定。</w:t>
      </w:r>
    </w:p>
    <w:p>
      <w:pPr>
        <w:pStyle w:val="34"/>
        <w:spacing w:before="0" w:line="360" w:lineRule="auto"/>
        <w:ind w:left="357" w:leftChars="170" w:firstLine="315" w:firstLineChars="150"/>
        <w:jc w:val="left"/>
        <w:rPr>
          <w:szCs w:val="21"/>
          <w:lang w:eastAsia="zh-CN"/>
        </w:rPr>
      </w:pPr>
      <w:r>
        <w:rPr>
          <w:rFonts w:hint="eastAsia"/>
          <w:szCs w:val="21"/>
          <w:lang w:eastAsia="zh-CN"/>
        </w:rPr>
        <w:t>电极系统由指示电极和参比电极组成。</w:t>
      </w:r>
    </w:p>
    <w:p>
      <w:pPr>
        <w:pStyle w:val="34"/>
        <w:spacing w:before="0" w:line="360" w:lineRule="auto"/>
        <w:ind w:left="357" w:leftChars="170" w:firstLine="315" w:firstLineChars="150"/>
        <w:jc w:val="left"/>
        <w:rPr>
          <w:szCs w:val="21"/>
          <w:lang w:eastAsia="zh-CN"/>
        </w:rPr>
      </w:pPr>
      <w:r>
        <w:rPr>
          <w:rFonts w:hint="eastAsia"/>
          <w:szCs w:val="21"/>
          <w:lang w:eastAsia="zh-CN"/>
        </w:rPr>
        <w:t>本实验室所需设备还包括控制滴定和数据分析软件，可实现预滴定、预设终点滴定、空白滴定或手动滴定等功能，可自行生成专用滴定模式。该计算机化系统应能满足数据完整性的相关要求。</w:t>
      </w:r>
    </w:p>
    <w:p>
      <w:pPr>
        <w:pStyle w:val="34"/>
        <w:spacing w:before="0" w:line="360" w:lineRule="auto"/>
        <w:ind w:left="357"/>
        <w:jc w:val="left"/>
        <w:rPr>
          <w:szCs w:val="21"/>
          <w:lang w:eastAsia="zh-CN"/>
        </w:rPr>
      </w:pPr>
      <w:r>
        <w:rPr>
          <w:rFonts w:hint="eastAsia"/>
          <w:szCs w:val="21"/>
          <w:lang w:eastAsia="zh-CN"/>
        </w:rPr>
        <w:t>5.2工作原理</w:t>
      </w:r>
      <w:bookmarkStart w:id="48" w:name="_GoBack"/>
      <w:bookmarkEnd w:id="48"/>
    </w:p>
    <w:p>
      <w:pPr>
        <w:pStyle w:val="34"/>
        <w:spacing w:before="0" w:line="360" w:lineRule="auto"/>
        <w:ind w:left="357"/>
        <w:jc w:val="left"/>
        <w:rPr>
          <w:i/>
          <w:color w:val="4472C4"/>
          <w:szCs w:val="21"/>
          <w:lang w:eastAsia="zh-CN"/>
        </w:rPr>
      </w:pPr>
      <w:r>
        <w:rPr>
          <w:rFonts w:hint="eastAsia"/>
          <w:szCs w:val="21"/>
          <w:lang w:eastAsia="zh-CN"/>
        </w:rPr>
        <w:t xml:space="preserve">    自动电位滴定仪采用柱塞控制滴定过程并采集电极的动态信号。在滴定过程中，滴定池内溶液的电位发生变化，当电位变化发生突跃，仪器停止滴定并给出测定结果。被测成分的含量可通过消耗滴定剂的量来计算。</w:t>
      </w:r>
      <w:permEnd w:id="8"/>
    </w:p>
    <w:p>
      <w:pPr>
        <w:pStyle w:val="30"/>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szCs w:val="21"/>
                <w:lang w:eastAsia="zh-CN"/>
              </w:rPr>
            </w:pPr>
            <w:r>
              <w:rPr>
                <w:rFonts w:hint="eastAsia"/>
                <w:szCs w:val="21"/>
                <w:lang w:eastAsia="zh-CN"/>
              </w:rPr>
              <w:t>本设备安装在质量控制室原材料生化检测区电位滴定间。</w:t>
            </w:r>
          </w:p>
        </w:tc>
        <w:tc>
          <w:tcPr>
            <w:tcW w:w="2125" w:type="dxa"/>
            <w:vAlign w:val="center"/>
          </w:tcPr>
          <w:p>
            <w:pPr>
              <w:jc w:val="both"/>
              <w:rPr>
                <w:szCs w:val="21"/>
                <w:lang w:eastAsia="zh-CN"/>
              </w:rPr>
            </w:pPr>
            <w:r>
              <w:rPr>
                <w:rFonts w:hint="eastAsia"/>
                <w:szCs w:val="21"/>
                <w:lang w:eastAsia="zh-CN"/>
              </w:rPr>
              <w:t>非关键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本设备除电脑打印机以外的组件安装尺寸应进深不大于75cm</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szCs w:val="21"/>
                <w:lang w:eastAsia="zh-CN"/>
              </w:rPr>
            </w:pPr>
            <w:r>
              <w:rPr>
                <w:rFonts w:hint="eastAsia"/>
                <w:szCs w:val="21"/>
                <w:lang w:eastAsia="zh-CN"/>
              </w:rPr>
              <w:t>设备总重量不得大于50kg</w:t>
            </w:r>
          </w:p>
        </w:tc>
        <w:tc>
          <w:tcPr>
            <w:tcW w:w="2125" w:type="dxa"/>
            <w:vAlign w:val="center"/>
          </w:tcPr>
          <w:p>
            <w:pPr>
              <w:jc w:val="both"/>
              <w:rPr>
                <w:szCs w:val="21"/>
                <w:lang w:eastAsia="zh-CN"/>
              </w:rPr>
            </w:pPr>
            <w:r>
              <w:rPr>
                <w:rFonts w:hint="eastAsia"/>
                <w:szCs w:val="21"/>
                <w:lang w:eastAsia="zh-CN"/>
              </w:rPr>
              <w:t>非关键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4" w:edGrp="everyone"/>
          </w:p>
        </w:tc>
        <w:tc>
          <w:tcPr>
            <w:tcW w:w="9253" w:type="dxa"/>
            <w:gridSpan w:val="2"/>
            <w:vAlign w:val="center"/>
          </w:tcPr>
          <w:p>
            <w:pPr>
              <w:jc w:val="both"/>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lang w:eastAsia="zh-CN"/>
              </w:rPr>
              <w:t>工作环境</w:t>
            </w:r>
            <w:r>
              <w:rPr>
                <w:color w:val="000000"/>
                <w:lang w:eastAsia="zh-CN"/>
              </w:rPr>
              <w:t>温度：能适应</w:t>
            </w:r>
            <w:r>
              <w:rPr>
                <w:lang w:eastAsia="zh-CN"/>
              </w:rPr>
              <w:t>10</w:t>
            </w:r>
            <w:r>
              <w:rPr>
                <w:rFonts w:hint="eastAsia" w:ascii="宋体" w:hAnsi="宋体" w:cs="宋体"/>
                <w:lang w:eastAsia="zh-CN"/>
              </w:rPr>
              <w:t>℃</w:t>
            </w:r>
            <w:r>
              <w:rPr>
                <w:lang w:eastAsia="zh-CN"/>
              </w:rPr>
              <w:t>～32</w:t>
            </w:r>
            <w:r>
              <w:rPr>
                <w:rFonts w:hint="eastAsia" w:ascii="宋体" w:hAnsi="宋体" w:cs="宋体"/>
                <w:lang w:eastAsia="zh-CN"/>
              </w:rPr>
              <w:t>℃</w:t>
            </w:r>
            <w:r>
              <w:rPr>
                <w:color w:val="000000"/>
                <w:lang w:eastAsia="zh-CN"/>
              </w:rPr>
              <w:t xml:space="preserve">环境 </w:t>
            </w:r>
          </w:p>
        </w:tc>
        <w:tc>
          <w:tcPr>
            <w:tcW w:w="2125" w:type="dxa"/>
            <w:vAlign w:val="center"/>
          </w:tcPr>
          <w:p>
            <w:pPr>
              <w:jc w:val="both"/>
              <w:rPr>
                <w:szCs w:val="21"/>
                <w:lang w:eastAsia="zh-CN"/>
              </w:rPr>
            </w:pPr>
            <w:r>
              <w:rPr>
                <w:rFonts w:hint="eastAsia"/>
                <w:szCs w:val="21"/>
                <w:lang w:eastAsia="zh-CN"/>
              </w:rPr>
              <w:t>非关键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w:t>
            </w:r>
            <w:r>
              <w:rPr>
                <w:rFonts w:hint="eastAsia"/>
                <w:lang w:eastAsia="zh-CN"/>
              </w:rPr>
              <w:t>75%</w:t>
            </w:r>
          </w:p>
        </w:tc>
        <w:tc>
          <w:tcPr>
            <w:tcW w:w="2125" w:type="dxa"/>
            <w:vAlign w:val="center"/>
          </w:tcPr>
          <w:p>
            <w:pPr>
              <w:jc w:val="both"/>
              <w:rPr>
                <w:szCs w:val="21"/>
                <w:lang w:eastAsia="zh-CN"/>
              </w:rPr>
            </w:pPr>
            <w:r>
              <w:rPr>
                <w:rFonts w:hint="eastAsia"/>
                <w:szCs w:val="21"/>
                <w:lang w:eastAsia="zh-CN"/>
              </w:rPr>
              <w:t>非关键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lang w:eastAsia="zh-CN"/>
              </w:rPr>
              <w:t>普通区域</w:t>
            </w:r>
          </w:p>
        </w:tc>
        <w:tc>
          <w:tcPr>
            <w:tcW w:w="2125" w:type="dxa"/>
            <w:vAlign w:val="center"/>
          </w:tcPr>
          <w:p>
            <w:pPr>
              <w:jc w:val="both"/>
              <w:rPr>
                <w:szCs w:val="21"/>
                <w:lang w:eastAsia="zh-CN"/>
              </w:rPr>
            </w:pPr>
            <w:r>
              <w:rPr>
                <w:rFonts w:hint="eastAsia"/>
                <w:szCs w:val="21"/>
                <w:lang w:eastAsia="zh-CN"/>
              </w:rPr>
              <w:t>非关键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工作环境无机械振动及电磁干扰</w:t>
            </w:r>
          </w:p>
        </w:tc>
        <w:tc>
          <w:tcPr>
            <w:tcW w:w="2125" w:type="dxa"/>
            <w:vAlign w:val="center"/>
          </w:tcPr>
          <w:p>
            <w:pPr>
              <w:jc w:val="both"/>
              <w:rPr>
                <w:szCs w:val="21"/>
                <w:lang w:eastAsia="zh-CN"/>
              </w:rPr>
            </w:pPr>
            <w:r>
              <w:rPr>
                <w:szCs w:val="21"/>
                <w:lang w:eastAsia="zh-CN"/>
              </w:rPr>
              <w:t>非关键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rFonts w:hint="eastAsia"/>
                <w:color w:val="000000"/>
                <w:lang w:eastAsia="zh-CN"/>
              </w:rPr>
              <w:t>适用于我公司</w:t>
            </w:r>
            <w:r>
              <w:rPr>
                <w:color w:val="000000"/>
                <w:lang w:eastAsia="zh-CN"/>
              </w:rPr>
              <w:t>交流电电源：</w:t>
            </w:r>
            <w:r>
              <w:rPr>
                <w:lang w:eastAsia="zh-CN"/>
              </w:rPr>
              <w:t>～220±10%V，50±1Hz</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可支持配置应急电源，外部电源中断情况下，可完成正在进行的单个样品的全部检测，以及已完成检测的数据保存；或者可在恢复外部电源供应后，继续未完成的样品检测。</w:t>
            </w:r>
          </w:p>
        </w:tc>
        <w:tc>
          <w:tcPr>
            <w:tcW w:w="2125" w:type="dxa"/>
            <w:vAlign w:val="center"/>
          </w:tcPr>
          <w:p>
            <w:pPr>
              <w:jc w:val="both"/>
              <w:rPr>
                <w:szCs w:val="21"/>
                <w:lang w:eastAsia="zh-CN"/>
              </w:rPr>
            </w:pPr>
            <w:r>
              <w:rPr>
                <w:rFonts w:hint="eastAsia"/>
                <w:szCs w:val="21"/>
                <w:lang w:eastAsia="zh-CN"/>
              </w:rPr>
              <w:t>非关键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i/>
                <w:color w:val="000000"/>
                <w:lang w:eastAsia="zh-CN"/>
              </w:rPr>
            </w:pPr>
            <w:r>
              <w:rPr>
                <w:rFonts w:ascii="Arial" w:hAnsi="Arial" w:cs="Arial"/>
                <w:bCs/>
                <w:color w:val="000000"/>
                <w:szCs w:val="21"/>
                <w:lang w:eastAsia="zh-CN"/>
              </w:rPr>
              <w:t>设备表面及内部光滑，便于清洁，不能有清洁死角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设备各组件及管路内外表面均应耐受酸碱及有机溶剂，不得被腐蚀或有渗出物影响检测</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20"/>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r>
              <w:rPr>
                <w:i/>
                <w:color w:val="0070C0"/>
                <w:lang w:eastAsia="zh-CN"/>
              </w:rPr>
              <w:t>，</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eastAsia="zh-CN"/>
              </w:rPr>
            </w:pPr>
            <w:r>
              <w:rPr>
                <w:rFonts w:hint="eastAsia" w:ascii="宋体" w:hAnsi="宋体" w:cs="宋体"/>
                <w:kern w:val="2"/>
                <w:sz w:val="22"/>
                <w:szCs w:val="21"/>
                <w:lang w:val="en-US" w:eastAsia="zh-CN"/>
              </w:rPr>
              <w:t>滴定仪主机配备双排电极接口，具有平行滴定功能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kern w:val="2"/>
                <w:sz w:val="22"/>
                <w:szCs w:val="21"/>
                <w:lang w:val="en-US" w:eastAsia="zh-CN"/>
              </w:rPr>
            </w:pPr>
            <w:r>
              <w:rPr>
                <w:rFonts w:hint="eastAsia" w:ascii="宋体" w:hAnsi="宋体" w:cs="宋体"/>
                <w:kern w:val="2"/>
                <w:sz w:val="22"/>
                <w:szCs w:val="21"/>
                <w:lang w:val="en-US" w:eastAsia="zh-CN"/>
              </w:rPr>
              <w:t>滴定仪主机可同时控制两种不同类型的滴定且互不干扰。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FF0000"/>
                <w:kern w:val="2"/>
                <w:sz w:val="22"/>
                <w:szCs w:val="21"/>
                <w:lang w:val="en-US" w:eastAsia="zh-CN"/>
              </w:rPr>
            </w:pPr>
            <w:r>
              <w:rPr>
                <w:rFonts w:hint="eastAsia" w:ascii="宋体" w:hAnsi="宋体" w:cs="宋体"/>
                <w:kern w:val="2"/>
                <w:sz w:val="22"/>
                <w:szCs w:val="21"/>
                <w:lang w:val="en-US" w:eastAsia="zh-CN"/>
              </w:rPr>
              <w:t>主机具备if---then条件判断功能，可实现判断功能的滴定。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FF0000"/>
                <w:kern w:val="2"/>
                <w:szCs w:val="21"/>
                <w:lang w:val="en-US" w:eastAsia="zh-CN"/>
              </w:rPr>
            </w:pPr>
            <w:r>
              <w:rPr>
                <w:rFonts w:hint="eastAsia" w:ascii="宋体" w:hAnsi="宋体" w:cs="宋体"/>
                <w:kern w:val="2"/>
                <w:sz w:val="22"/>
                <w:szCs w:val="21"/>
                <w:lang w:val="en-US" w:eastAsia="zh-CN"/>
              </w:rPr>
              <w:t>单台主机可控制4个滴定管,每个滴定管都可以滴定和加液,以使得滴定仪能实现返滴定和平行滴定等功能。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FF0000"/>
                <w:lang w:eastAsia="zh-CN"/>
              </w:rPr>
            </w:pPr>
            <w:r>
              <w:rPr>
                <w:rFonts w:hint="eastAsia" w:ascii="宋体" w:hAnsi="宋体" w:cs="宋体"/>
                <w:kern w:val="2"/>
                <w:sz w:val="22"/>
                <w:szCs w:val="21"/>
                <w:lang w:val="en-US" w:eastAsia="zh-CN"/>
              </w:rPr>
              <w:t>瓶顶下压式活塞加液单元，配合四通路结构设计的无死体积滴定管,可以选择通入空气，完全实现“一键式”自动排空、清洗、充液、滴定，并能排除气泡干扰；加液单元的冲洗和准备完全自动进行,无需手工拆卸来进行清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kern w:val="2"/>
                <w:sz w:val="22"/>
                <w:szCs w:val="21"/>
                <w:lang w:val="en-US" w:eastAsia="zh-CN"/>
              </w:rPr>
            </w:pPr>
            <w:r>
              <w:rPr>
                <w:rFonts w:hint="eastAsia" w:ascii="宋体" w:hAnsi="宋体" w:cs="宋体"/>
                <w:kern w:val="2"/>
                <w:sz w:val="22"/>
                <w:szCs w:val="21"/>
                <w:lang w:val="en-US" w:eastAsia="zh-CN"/>
              </w:rPr>
              <w:t>滴定管规格可选(2，5，10，20，50ml)；根据相关标准中的要求,须配</w:t>
            </w:r>
          </w:p>
          <w:p>
            <w:pPr>
              <w:spacing w:line="276" w:lineRule="auto"/>
              <w:jc w:val="both"/>
              <w:rPr>
                <w:rFonts w:ascii="宋体" w:hAnsi="宋体" w:cs="宋体"/>
                <w:color w:val="FF0000"/>
                <w:kern w:val="2"/>
                <w:szCs w:val="21"/>
                <w:lang w:val="en-US" w:eastAsia="zh-CN"/>
              </w:rPr>
            </w:pPr>
            <w:r>
              <w:rPr>
                <w:rFonts w:hint="eastAsia" w:ascii="宋体" w:hAnsi="宋体" w:cs="宋体"/>
                <w:kern w:val="2"/>
                <w:sz w:val="22"/>
                <w:szCs w:val="21"/>
                <w:lang w:val="en-US" w:eastAsia="zh-CN"/>
              </w:rPr>
              <w:t>备至少20ml滴定管以用于大体积滴定或大体积,可避免滴定或加液过程中滴定管活塞往复和重新充液,节约了滴定时间、提高了滴定结果的精度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kern w:val="2"/>
                <w:sz w:val="22"/>
                <w:szCs w:val="21"/>
                <w:lang w:val="en-US" w:eastAsia="zh-CN"/>
              </w:rPr>
            </w:pPr>
            <w:r>
              <w:rPr>
                <w:rFonts w:hint="eastAsia" w:ascii="宋体" w:hAnsi="宋体" w:cs="宋体"/>
                <w:kern w:val="2"/>
                <w:sz w:val="22"/>
                <w:szCs w:val="21"/>
                <w:lang w:val="en-US" w:eastAsia="zh-CN"/>
              </w:rPr>
              <w:t>滴定管安装卡口可调节，能直接安装于不同规格的试剂瓶上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color w:val="FF0000"/>
                <w:kern w:val="2"/>
                <w:szCs w:val="21"/>
                <w:lang w:val="en-US" w:eastAsia="zh-CN"/>
              </w:rPr>
            </w:pPr>
            <w:r>
              <w:rPr>
                <w:rFonts w:hint="eastAsia" w:ascii="宋体" w:hAnsi="宋体" w:cs="宋体"/>
                <w:kern w:val="2"/>
                <w:sz w:val="22"/>
                <w:szCs w:val="21"/>
                <w:lang w:val="en-US" w:eastAsia="zh-CN"/>
              </w:rPr>
              <w:t>滴定管具有智能芯片，可以自动存储和读取滴定剂全部信息(包括滴定管的规格、编号,滴定剂的名称、浓度、批号、有效期、使用的历史记录等）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color w:val="FF0000"/>
                <w:kern w:val="2"/>
                <w:szCs w:val="21"/>
                <w:lang w:val="en-US" w:eastAsia="zh-CN"/>
              </w:rPr>
            </w:pPr>
            <w:r>
              <w:rPr>
                <w:rFonts w:hint="eastAsia" w:ascii="宋体" w:hAnsi="宋体" w:cs="宋体"/>
                <w:kern w:val="2"/>
                <w:sz w:val="22"/>
                <w:szCs w:val="21"/>
                <w:lang w:val="en-US" w:eastAsia="zh-CN"/>
              </w:rPr>
              <w:t>冲洗时滴定管完全无死体积，完全消除清洗时残留溶液和气泡的影响。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szCs w:val="21"/>
              </w:rPr>
            </w:pPr>
            <w:r>
              <w:rPr>
                <w:rFonts w:hint="eastAsia" w:ascii="宋体" w:hAnsi="宋体" w:cs="宋体"/>
                <w:kern w:val="2"/>
                <w:szCs w:val="21"/>
                <w:lang w:val="en-US" w:eastAsia="zh-CN"/>
              </w:rPr>
              <w:t>具备以下工作模式:</w:t>
            </w:r>
          </w:p>
          <w:p>
            <w:pPr>
              <w:adjustRightInd/>
              <w:spacing w:line="360" w:lineRule="auto"/>
              <w:rPr>
                <w:rFonts w:ascii="宋体" w:hAnsi="宋体" w:cs="宋体"/>
                <w:color w:val="FF0000"/>
                <w:kern w:val="2"/>
                <w:sz w:val="22"/>
                <w:szCs w:val="21"/>
                <w:lang w:val="en-US" w:eastAsia="zh-CN"/>
              </w:rPr>
            </w:pPr>
            <w:r>
              <w:rPr>
                <w:rFonts w:hint="eastAsia" w:ascii="宋体" w:hAnsi="宋体" w:cs="宋体"/>
                <w:kern w:val="2"/>
                <w:szCs w:val="21"/>
                <w:lang w:val="en-US" w:eastAsia="zh-CN"/>
              </w:rPr>
              <w:t xml:space="preserve"> DET(动态滴定模式)、MET（等量滴定模式）、SET（设定终点滴定模式）、MEAS（测量模式）、CAL（校正模式）、LIQUID HANDING（液体处理模式）等。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color w:val="FF0000"/>
                <w:kern w:val="2"/>
                <w:szCs w:val="21"/>
                <w:lang w:val="en-US" w:eastAsia="zh-CN"/>
              </w:rPr>
            </w:pPr>
            <w:r>
              <w:rPr>
                <w:rFonts w:hint="eastAsia" w:ascii="宋体" w:hAnsi="宋体" w:cs="宋体"/>
                <w:kern w:val="2"/>
                <w:szCs w:val="21"/>
                <w:lang w:val="en-US" w:eastAsia="zh-CN"/>
              </w:rPr>
              <w:t>主机具有USB接口，可以直接连接电脑及打印机，无需转换接口。</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kern w:val="2"/>
                <w:szCs w:val="21"/>
                <w:lang w:val="en-US" w:eastAsia="zh-CN"/>
              </w:rPr>
            </w:pPr>
            <w:r>
              <w:rPr>
                <w:rFonts w:hint="eastAsia" w:ascii="宋体" w:hAnsi="宋体" w:cs="宋体"/>
                <w:kern w:val="2"/>
                <w:szCs w:val="21"/>
                <w:lang w:val="en-US" w:eastAsia="zh-CN"/>
              </w:rPr>
              <w:t>电极内置模/数转换器，直接将测量到的模拟信号转换为数字信号</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电</w:t>
            </w:r>
          </w:p>
        </w:tc>
        <w:tc>
          <w:tcPr>
            <w:tcW w:w="7128" w:type="dxa"/>
            <w:vAlign w:val="center"/>
          </w:tcPr>
          <w:p>
            <w:pPr>
              <w:widowControl w:val="0"/>
              <w:adjustRightInd/>
              <w:spacing w:line="360" w:lineRule="auto"/>
              <w:jc w:val="both"/>
              <w:rPr>
                <w:rFonts w:ascii="宋体" w:hAnsi="宋体" w:cs="宋体"/>
                <w:kern w:val="2"/>
                <w:szCs w:val="21"/>
                <w:lang w:val="en-US" w:eastAsia="zh-CN"/>
              </w:rPr>
            </w:pPr>
            <w:r>
              <w:rPr>
                <w:rFonts w:hint="eastAsia" w:ascii="宋体" w:hAnsi="宋体" w:cs="宋体"/>
                <w:kern w:val="2"/>
                <w:szCs w:val="21"/>
                <w:lang w:val="en-US" w:eastAsia="zh-CN"/>
              </w:rPr>
              <w:t>电极能避免静电干扰，保证信号的无干扰长距离传输</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kern w:val="2"/>
                <w:szCs w:val="21"/>
                <w:lang w:val="en-US" w:eastAsia="zh-CN"/>
              </w:rPr>
            </w:pPr>
            <w:r>
              <w:rPr>
                <w:rFonts w:hint="eastAsia" w:ascii="宋体" w:hAnsi="宋体" w:cs="宋体"/>
                <w:kern w:val="2"/>
                <w:szCs w:val="21"/>
                <w:lang w:val="en-US" w:eastAsia="zh-CN"/>
              </w:rPr>
              <w:t>试验方法自动检测电极使用是否正确，避免错误使用电极</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kern w:val="2"/>
                <w:szCs w:val="21"/>
                <w:lang w:val="en-US" w:eastAsia="zh-CN"/>
              </w:rPr>
            </w:pPr>
            <w:r>
              <w:rPr>
                <w:rFonts w:hint="eastAsia" w:ascii="宋体" w:hAnsi="宋体" w:cs="宋体"/>
                <w:kern w:val="2"/>
                <w:szCs w:val="21"/>
                <w:lang w:val="en-US" w:eastAsia="zh-CN"/>
              </w:rPr>
              <w:t>电极内置记忆芯片可以储存重要电极数据，如：序列号，校准历史数据、工作寿命和校准有效期等，可以同时应用到不同的滴定仪上而无需再执行校准程序</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widowControl w:val="0"/>
              <w:adjustRightInd/>
              <w:spacing w:line="360" w:lineRule="auto"/>
              <w:jc w:val="both"/>
              <w:rPr>
                <w:rFonts w:ascii="宋体" w:hAnsi="宋体" w:cs="宋体"/>
                <w:color w:val="FF0000"/>
                <w:kern w:val="2"/>
                <w:szCs w:val="21"/>
                <w:lang w:val="en-US" w:eastAsia="zh-CN"/>
              </w:rPr>
            </w:pPr>
            <w:r>
              <w:rPr>
                <w:rFonts w:hint="eastAsia" w:ascii="宋体" w:hAnsi="宋体" w:cs="宋体"/>
                <w:kern w:val="2"/>
                <w:szCs w:val="21"/>
                <w:lang w:val="en-US" w:eastAsia="zh-CN"/>
              </w:rPr>
              <w:t>仪器操作采用电脑软件控制，可选用中英文等多种操作语言，操作界面简单直观；可即时显示多种滴定曲线（在线显示），可在曲线上读出测量值并进行线性分析，并能显示所有测量点、滴定等当点的值</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widowControl w:val="0"/>
              <w:adjustRightInd/>
              <w:spacing w:line="360" w:lineRule="auto"/>
              <w:jc w:val="both"/>
              <w:rPr>
                <w:rFonts w:ascii="宋体" w:hAnsi="宋体" w:cs="宋体"/>
                <w:szCs w:val="21"/>
                <w:lang w:eastAsia="zh-CN"/>
              </w:rPr>
            </w:pPr>
            <w:r>
              <w:rPr>
                <w:rFonts w:hint="eastAsia" w:ascii="宋体" w:hAnsi="宋体" w:cs="宋体"/>
                <w:kern w:val="2"/>
                <w:szCs w:val="21"/>
                <w:lang w:val="en-US" w:eastAsia="zh-CN"/>
              </w:rPr>
              <w:t xml:space="preserve">测量范围:  pH：-13--+20.000pH           电 位：0--±1200.0mv         </w:t>
            </w:r>
          </w:p>
          <w:p>
            <w:pPr>
              <w:widowControl w:val="0"/>
              <w:adjustRightInd/>
              <w:spacing w:line="360" w:lineRule="auto"/>
              <w:jc w:val="both"/>
              <w:rPr>
                <w:szCs w:val="21"/>
                <w:lang w:eastAsia="zh-CN"/>
              </w:rPr>
            </w:pPr>
            <w:r>
              <w:rPr>
                <w:rFonts w:hint="eastAsia" w:ascii="宋体" w:hAnsi="宋体" w:cs="宋体"/>
                <w:kern w:val="2"/>
                <w:szCs w:val="21"/>
                <w:lang w:val="en-US" w:eastAsia="zh-CN"/>
              </w:rPr>
              <w:t>测量分辨率</w:t>
            </w:r>
            <w:r>
              <w:rPr>
                <w:rFonts w:eastAsia="黑体"/>
                <w:kern w:val="2"/>
                <w:szCs w:val="21"/>
                <w:lang w:val="en-US" w:eastAsia="zh-CN"/>
              </w:rPr>
              <w:t>:</w:t>
            </w:r>
            <w:r>
              <w:rPr>
                <w:rFonts w:hint="eastAsia" w:ascii="宋体" w:hAnsi="宋体" w:cs="宋体"/>
                <w:kern w:val="2"/>
                <w:szCs w:val="21"/>
                <w:lang w:val="en-US" w:eastAsia="zh-CN"/>
              </w:rPr>
              <w:t>pH：0.001pH                  电 位</w:t>
            </w:r>
            <w:r>
              <w:rPr>
                <w:rFonts w:hint="eastAsia" w:ascii="黑体" w:hAnsi="宋体" w:eastAsia="黑体" w:cs="黑体"/>
                <w:kern w:val="2"/>
                <w:szCs w:val="21"/>
                <w:lang w:val="en-US" w:eastAsia="zh-CN"/>
              </w:rPr>
              <w:t>：0.1mv</w:t>
            </w:r>
          </w:p>
          <w:p>
            <w:pPr>
              <w:widowControl w:val="0"/>
              <w:adjustRightInd/>
              <w:spacing w:line="360" w:lineRule="auto"/>
              <w:jc w:val="both"/>
              <w:rPr>
                <w:rFonts w:ascii="宋体" w:hAnsi="宋体" w:cs="宋体"/>
                <w:szCs w:val="21"/>
                <w:lang w:eastAsia="zh-CN"/>
              </w:rPr>
            </w:pPr>
            <w:r>
              <w:rPr>
                <w:rFonts w:hint="eastAsia" w:ascii="宋体" w:hAnsi="宋体" w:cs="宋体"/>
                <w:kern w:val="2"/>
                <w:szCs w:val="21"/>
                <w:lang w:val="en-US" w:eastAsia="zh-CN"/>
              </w:rPr>
              <w:t>测量精确度:   pH：0.003pH                  电 位</w:t>
            </w:r>
            <w:r>
              <w:rPr>
                <w:rFonts w:hint="eastAsia" w:ascii="黑体" w:hAnsi="宋体" w:eastAsia="黑体" w:cs="黑体"/>
                <w:kern w:val="2"/>
                <w:szCs w:val="21"/>
                <w:lang w:val="en-US" w:eastAsia="zh-CN"/>
              </w:rPr>
              <w:t>：0.2mv</w:t>
            </w:r>
          </w:p>
          <w:p>
            <w:pPr>
              <w:widowControl w:val="0"/>
              <w:adjustRightInd/>
              <w:spacing w:line="360" w:lineRule="auto"/>
              <w:jc w:val="both"/>
              <w:rPr>
                <w:color w:val="FF0000"/>
                <w:lang w:val="en-US" w:eastAsia="zh-CN"/>
              </w:rPr>
            </w:pPr>
            <w:r>
              <w:rPr>
                <w:rFonts w:hint="eastAsia" w:ascii="宋体" w:hAnsi="宋体" w:cs="宋体"/>
                <w:kern w:val="2"/>
                <w:szCs w:val="21"/>
                <w:lang w:val="en-US" w:eastAsia="zh-CN"/>
              </w:rPr>
              <w:t>滴定管分辨率：1/10000或1/20000可选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adjustRightInd/>
              <w:jc w:val="both"/>
              <w:rPr>
                <w:rFonts w:ascii="宋体" w:hAnsi="宋体" w:cs="宋体"/>
                <w:sz w:val="20"/>
                <w:lang w:val="en-US" w:eastAsia="zh-CN"/>
              </w:rPr>
            </w:pPr>
            <w:r>
              <w:rPr>
                <w:rFonts w:hint="eastAsia" w:ascii="宋体" w:hAnsi="宋体" w:cs="宋体"/>
                <w:sz w:val="20"/>
                <w:lang w:val="en-US" w:eastAsia="zh-CN"/>
              </w:rPr>
              <w:t>滴定管容量最大允差应达到JJG841-2015的A级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adjustRightInd/>
              <w:jc w:val="both"/>
              <w:rPr>
                <w:rFonts w:ascii="宋体" w:hAnsi="宋体" w:cs="宋体"/>
                <w:sz w:val="20"/>
                <w:lang w:val="en-US" w:eastAsia="zh-CN"/>
              </w:rPr>
            </w:pPr>
            <w:r>
              <w:rPr>
                <w:rFonts w:hint="eastAsia" w:ascii="宋体" w:hAnsi="宋体" w:cs="宋体"/>
                <w:sz w:val="20"/>
                <w:lang w:val="en-US" w:eastAsia="zh-CN"/>
              </w:rPr>
              <w:t>仪器计量性能应达到JJG841-2015的0.05级</w:t>
            </w:r>
          </w:p>
        </w:tc>
        <w:tc>
          <w:tcPr>
            <w:tcW w:w="2125"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ermStart w:id="25" w:edGrp="everyone"/>
            <w:permEnd w:id="25"/>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6" w:edGrp="everyone"/>
          </w:p>
        </w:tc>
        <w:tc>
          <w:tcPr>
            <w:tcW w:w="9253" w:type="dxa"/>
            <w:gridSpan w:val="2"/>
            <w:vAlign w:val="center"/>
          </w:tcPr>
          <w:p>
            <w:pPr>
              <w:jc w:val="both"/>
              <w:rPr>
                <w:szCs w:val="21"/>
                <w:lang w:eastAsia="zh-CN"/>
              </w:rPr>
            </w:pPr>
            <w:r>
              <w:rPr>
                <w:rFonts w:hint="eastAsia"/>
                <w:szCs w:val="21"/>
                <w:lang w:eastAsia="zh-CN"/>
              </w:rPr>
              <w:t>N/A</w:t>
            </w:r>
          </w:p>
        </w:tc>
      </w:tr>
      <w:permEnd w:id="26"/>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2370151"/>
      <w:bookmarkStart w:id="32" w:name="_Toc481702480"/>
      <w:bookmarkStart w:id="33" w:name="_Toc482717202"/>
      <w:bookmarkStart w:id="34" w:name="_Toc482370767"/>
      <w:bookmarkStart w:id="35" w:name="_Toc483400317"/>
      <w:bookmarkStart w:id="36" w:name="_Toc482369815"/>
      <w:bookmarkStart w:id="37" w:name="_Toc483227237"/>
      <w:bookmarkStart w:id="38" w:name="_Toc482360291"/>
      <w:bookmarkStart w:id="39" w:name="_Toc482370071"/>
      <w:bookmarkStart w:id="40" w:name="_Toc482359946"/>
      <w:bookmarkStart w:id="41" w:name="_Toc482625289"/>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widowControl w:val="0"/>
              <w:adjustRightInd/>
              <w:spacing w:line="360" w:lineRule="auto"/>
              <w:jc w:val="both"/>
              <w:rPr>
                <w:lang w:eastAsia="zh-CN"/>
              </w:rPr>
            </w:pPr>
            <w:r>
              <w:rPr>
                <w:rFonts w:hint="eastAsia" w:ascii="宋体" w:hAnsi="宋体" w:cs="宋体"/>
                <w:kern w:val="2"/>
                <w:szCs w:val="21"/>
                <w:lang w:val="en-US" w:eastAsia="zh-CN"/>
              </w:rPr>
              <w:t>仪器操作采用电脑软件控制，可选用中英文等多种操作语言，操作界面简单直观</w:t>
            </w:r>
          </w:p>
        </w:tc>
        <w:tc>
          <w:tcPr>
            <w:tcW w:w="2125" w:type="dxa"/>
            <w:vAlign w:val="center"/>
          </w:tcPr>
          <w:p>
            <w:pPr>
              <w:jc w:val="both"/>
              <w:rPr>
                <w:szCs w:val="21"/>
                <w:lang w:val="en-US"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widowControl w:val="0"/>
              <w:adjustRightInd/>
              <w:spacing w:line="360" w:lineRule="auto"/>
              <w:jc w:val="both"/>
              <w:rPr>
                <w:color w:val="FF0000"/>
                <w:lang w:eastAsia="zh-CN"/>
              </w:rPr>
            </w:pPr>
            <w:r>
              <w:rPr>
                <w:rFonts w:hint="eastAsia" w:ascii="宋体" w:hAnsi="宋体" w:cs="宋体"/>
                <w:kern w:val="2"/>
                <w:szCs w:val="21"/>
                <w:lang w:val="en-US" w:eastAsia="zh-CN"/>
              </w:rPr>
              <w:t>一个程序终端可控制多台仪器，实现真正的平行滴定。在进行滴定的同时还可以控制自动样品处理器准备下一样品</w:t>
            </w:r>
          </w:p>
        </w:tc>
        <w:tc>
          <w:tcPr>
            <w:tcW w:w="2125"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widowControl w:val="0"/>
              <w:adjustRightInd/>
              <w:spacing w:line="360" w:lineRule="auto"/>
              <w:jc w:val="both"/>
              <w:rPr>
                <w:lang w:eastAsia="zh-CN"/>
              </w:rPr>
            </w:pPr>
            <w:r>
              <w:rPr>
                <w:rFonts w:hint="eastAsia" w:ascii="宋体" w:hAnsi="宋体" w:cs="宋体"/>
                <w:kern w:val="2"/>
                <w:szCs w:val="21"/>
                <w:lang w:val="en-US" w:eastAsia="zh-CN"/>
              </w:rPr>
              <w:t>可以输入结果限值范围，用于监测每次测定结果，提示异常值</w:t>
            </w:r>
          </w:p>
        </w:tc>
        <w:tc>
          <w:tcPr>
            <w:tcW w:w="2125" w:type="dxa"/>
            <w:vAlign w:val="center"/>
          </w:tcPr>
          <w:p>
            <w:pPr>
              <w:jc w:val="both"/>
              <w:rPr>
                <w:szCs w:val="21"/>
                <w:lang w:val="en-US"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widowControl w:val="0"/>
              <w:adjustRightInd/>
              <w:spacing w:line="360" w:lineRule="auto"/>
              <w:rPr>
                <w:lang w:eastAsia="zh-CN"/>
              </w:rPr>
            </w:pPr>
            <w:r>
              <w:rPr>
                <w:rFonts w:hint="eastAsia" w:ascii="宋体" w:hAnsi="宋体" w:cs="宋体"/>
                <w:kern w:val="2"/>
                <w:sz w:val="22"/>
                <w:szCs w:val="21"/>
                <w:lang w:val="en-US" w:eastAsia="zh-CN"/>
              </w:rPr>
              <w:t>每次开关机系统都会进行自检，自动识别主机和说链接部件的全部信息及当前的连接状态</w:t>
            </w:r>
          </w:p>
        </w:tc>
        <w:tc>
          <w:tcPr>
            <w:tcW w:w="2125" w:type="dxa"/>
            <w:vAlign w:val="center"/>
          </w:tcPr>
          <w:p>
            <w:pPr>
              <w:jc w:val="both"/>
              <w:rPr>
                <w:b/>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adjustRightInd/>
              <w:jc w:val="both"/>
              <w:rPr>
                <w:szCs w:val="21"/>
                <w:lang w:eastAsia="zh-CN"/>
              </w:rPr>
            </w:pPr>
            <w:r>
              <w:rPr>
                <w:rFonts w:hint="eastAsia"/>
                <w:szCs w:val="21"/>
                <w:lang w:eastAsia="zh-CN"/>
              </w:rPr>
              <w:t>根据仪器的设置，自动提醒校验和维护的到期时限</w:t>
            </w:r>
          </w:p>
        </w:tc>
        <w:tc>
          <w:tcPr>
            <w:tcW w:w="2125" w:type="dxa"/>
            <w:vAlign w:val="center"/>
          </w:tcPr>
          <w:p>
            <w:pPr>
              <w:jc w:val="both"/>
              <w:rPr>
                <w:b/>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widowControl w:val="0"/>
              <w:adjustRightInd/>
              <w:jc w:val="both"/>
              <w:rPr>
                <w:rFonts w:ascii="宋体" w:hAnsi="宋体" w:cs="宋体"/>
                <w:kern w:val="2"/>
                <w:szCs w:val="21"/>
                <w:lang w:val="en-US" w:eastAsia="zh-CN"/>
              </w:rPr>
            </w:pPr>
            <w:r>
              <w:rPr>
                <w:rFonts w:hint="eastAsia"/>
                <w:lang w:eastAsia="zh-CN"/>
              </w:rPr>
              <w:t>支持</w:t>
            </w:r>
            <w:r>
              <w:rPr>
                <w:lang w:eastAsia="zh-CN"/>
              </w:rPr>
              <w:t>数据集中网络化管理，能满足实现LIMS自动抓取数据。</w:t>
            </w:r>
          </w:p>
        </w:tc>
        <w:tc>
          <w:tcPr>
            <w:tcW w:w="2125" w:type="dxa"/>
            <w:vAlign w:val="center"/>
          </w:tcPr>
          <w:p>
            <w:pPr>
              <w:jc w:val="both"/>
              <w:rPr>
                <w:color w:val="FF0000"/>
                <w:szCs w:val="21"/>
                <w:lang w:val="en-US"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ermStart w:id="34" w:edGrp="everyone"/>
            <w:permEnd w:id="34"/>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szCs w:val="21"/>
                <w:lang w:eastAsia="zh-CN"/>
              </w:rPr>
              <w:t>仪器的计算机操作系统应为正版，版本至少为专业版。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szCs w:val="21"/>
                <w:lang w:eastAsia="zh-CN"/>
              </w:rPr>
              <w:t>操作系统若为windows，应用软件可支持在操作系统的权限划分后用户在相应权限操作系统界面下能正常使用软件，同时操作系统权限的删除不会导致该用户历史数据丢失，可确保数据完整性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仪器软件具有至少</w:t>
            </w:r>
            <w:r>
              <w:rPr>
                <w:rFonts w:hint="eastAsia"/>
                <w:lang w:eastAsia="zh-CN"/>
              </w:rPr>
              <w:t>3</w:t>
            </w:r>
            <w:r>
              <w:rPr>
                <w:lang w:eastAsia="zh-CN"/>
              </w:rPr>
              <w:t>级用户分层权限管理及密码管理的功能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屏幕显示的结果与打印报告应是一致的。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系统管理员应可以重置密码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系统应可以设置密码最小长度为8位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应有安全保护以防止未授权的用户账号和密码进行使用，比如3次无效登录尝试后将锁定账户等</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系统应可设置密码效期，如3个月</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系统应有审计追踪功能，可以记录系统和安全的事件，比如登录登出、密码更改、方法参数更改、记录删除及操作人员和日期时间等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审计追踪记录应不可被删除或更改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报告格式应包含以下内容：日期，名称，运行时间，产品名称，运行号等</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报告应为只读的格式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szCs w:val="21"/>
                <w:lang w:eastAsia="zh-CN"/>
              </w:rPr>
              <w:t>断电恢复不影响参数设置、数据完整性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供应商应提供至少包括操作系统和分析软件及历史数据的灾难恢复方案</w:t>
            </w:r>
          </w:p>
        </w:tc>
        <w:tc>
          <w:tcPr>
            <w:tcW w:w="2125" w:type="dxa"/>
            <w:vAlign w:val="center"/>
          </w:tcPr>
          <w:p>
            <w:pPr>
              <w:jc w:val="both"/>
              <w:rPr>
                <w:szCs w:val="21"/>
                <w:lang w:eastAsia="zh-CN"/>
              </w:rPr>
            </w:pPr>
            <w:r>
              <w:rPr>
                <w:rFonts w:hint="eastAsia"/>
                <w:szCs w:val="21"/>
                <w:lang w:eastAsia="zh-CN"/>
              </w:rPr>
              <w:t>关键</w:t>
            </w:r>
          </w:p>
        </w:tc>
      </w:tr>
      <w:permEnd w:id="35"/>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szCs w:val="21"/>
                <w:lang w:eastAsia="zh-CN"/>
              </w:rPr>
              <w:t>活塞、滴定管及各连接管路应具有良好的密封性，不得发生漏液问题，或如有漏液发生应有警报提示</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8" w:edGrp="everyone"/>
          </w:p>
        </w:tc>
        <w:tc>
          <w:tcPr>
            <w:tcW w:w="9253" w:type="dxa"/>
            <w:gridSpan w:val="2"/>
            <w:vAlign w:val="center"/>
          </w:tcPr>
          <w:p>
            <w:pPr>
              <w:jc w:val="both"/>
              <w:rPr>
                <w:szCs w:val="21"/>
                <w:lang w:eastAsia="zh-CN"/>
              </w:rPr>
            </w:pPr>
            <w:r>
              <w:rPr>
                <w:rFonts w:hint="eastAsia"/>
                <w:szCs w:val="21"/>
                <w:lang w:eastAsia="zh-CN"/>
              </w:rPr>
              <w:t>N/A</w:t>
            </w:r>
          </w:p>
        </w:tc>
      </w:tr>
      <w:permEnd w:id="38"/>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9" w:edGrp="everyone"/>
            <w:permEnd w:id="3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jc w:val="both"/>
              <w:rPr>
                <w:szCs w:val="21"/>
                <w:lang w:eastAsia="zh-CN"/>
              </w:rPr>
            </w:pPr>
            <w:r>
              <w:rPr>
                <w:rFonts w:hint="eastAsia"/>
                <w:szCs w:val="21"/>
                <w:lang w:eastAsia="zh-CN"/>
              </w:rPr>
              <w:t>整机（包括计算机化系统）运行及维护手册应为中文，纸质文件至少一式两份，</w:t>
            </w:r>
            <w:r>
              <w:rPr>
                <w:rFonts w:hint="eastAsia" w:hAnsi="宋体"/>
                <w:sz w:val="24"/>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szCs w:val="21"/>
                <w:lang w:eastAsia="zh-CN"/>
              </w:rPr>
            </w:pPr>
            <w:r>
              <w:rPr>
                <w:rFonts w:hint="eastAsia" w:ascii="宋体" w:hAnsi="宋体" w:cs="宋体"/>
                <w:szCs w:val="21"/>
                <w:lang w:eastAsia="zh-CN"/>
              </w:rPr>
              <w:t>投标文件（必须包含合同、订单及</w:t>
            </w:r>
            <w:r>
              <w:rPr>
                <w:rFonts w:hint="eastAsia" w:ascii="宋体" w:hAnsi="宋体" w:cs="宋体"/>
                <w:szCs w:val="21"/>
                <w:u w:val="none" w:color="333333"/>
                <w:lang w:val="zh-TW" w:eastAsia="zh-TW"/>
              </w:rPr>
              <w:t>设备交付计划表</w:t>
            </w:r>
            <w:r>
              <w:rPr>
                <w:rFonts w:hint="eastAsia" w:ascii="宋体" w:hAnsi="宋体" w:cs="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szCs w:val="21"/>
                <w:lang w:eastAsia="zh-CN"/>
              </w:rPr>
              <w:t xml:space="preserve">FAT </w:t>
            </w:r>
            <w:r>
              <w:rPr>
                <w:rFonts w:hint="eastAsia"/>
                <w:szCs w:val="21"/>
                <w:lang w:eastAsia="zh-CN"/>
              </w:rPr>
              <w:t>工厂测试文件，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rFonts w:hAnsi="宋体"/>
                <w:szCs w:val="21"/>
                <w:u w:val="none" w:color="333333"/>
                <w:lang w:val="zh-TW" w:eastAsia="zh-TW"/>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调试文件：调试计划（调试说明、调试清单、保修信息、培训计划等），总测试计划，检查计划，检测清单，各测试结果，调试总结报告等。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应在仪器安装前交付审核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rPr>
                <w:color w:val="FF0000"/>
                <w:szCs w:val="21"/>
                <w:lang w:eastAsia="zh-CN"/>
              </w:rPr>
            </w:pPr>
            <w:r>
              <w:rPr>
                <w:rFonts w:hint="eastAsia"/>
                <w:szCs w:val="21"/>
                <w:lang w:eastAsia="zh-CN"/>
              </w:rPr>
              <w:t>（3）由具有资质的检测机构出具的仪器出厂校验证书，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rFonts w:ascii="宋体" w:hAnsi="宋体" w:cs="Arial"/>
                <w:bCs/>
                <w:szCs w:val="21"/>
                <w:lang w:eastAsia="zh-CN"/>
              </w:rPr>
            </w:pPr>
            <w:r>
              <w:rPr>
                <w:rFonts w:hint="eastAsia"/>
                <w:szCs w:val="21"/>
                <w:lang w:eastAsia="zh-CN"/>
              </w:rPr>
              <w:t>（6）</w:t>
            </w:r>
            <w:r>
              <w:rPr>
                <w:rFonts w:ascii="宋体" w:hAnsi="宋体" w:cs="Arial"/>
                <w:bCs/>
                <w:szCs w:val="21"/>
                <w:lang w:eastAsia="zh-CN"/>
              </w:rPr>
              <w:t>性能确认</w:t>
            </w:r>
            <w:r>
              <w:rPr>
                <w:rFonts w:hint="eastAsia" w:ascii="宋体" w:hAnsi="宋体" w:cs="Arial"/>
                <w:bCs/>
                <w:szCs w:val="21"/>
                <w:lang w:eastAsia="zh-CN"/>
              </w:rPr>
              <w:t>及文件（PQ）；</w:t>
            </w:r>
          </w:p>
          <w:p>
            <w:pPr>
              <w:rPr>
                <w:szCs w:val="21"/>
                <w:lang w:eastAsia="zh-CN"/>
              </w:rPr>
            </w:pPr>
            <w:r>
              <w:rPr>
                <w:rFonts w:hint="eastAsia" w:ascii="宋体" w:hAnsi="宋体" w:cs="Arial"/>
                <w:bCs/>
                <w:szCs w:val="21"/>
                <w:lang w:eastAsia="zh-CN"/>
              </w:rPr>
              <w:t>（7）</w:t>
            </w:r>
            <w:r>
              <w:rPr>
                <w:rFonts w:hint="eastAsia"/>
                <w:szCs w:val="21"/>
                <w:lang w:eastAsia="zh-CN"/>
              </w:rPr>
              <w:t>追溯矩阵（</w:t>
            </w:r>
            <w:r>
              <w:rPr>
                <w:szCs w:val="21"/>
                <w:lang w:eastAsia="zh-CN"/>
              </w:rPr>
              <w:t>RTM</w:t>
            </w:r>
            <w:r>
              <w:rPr>
                <w:rFonts w:hint="eastAsia"/>
                <w:szCs w:val="21"/>
                <w:lang w:eastAsia="zh-CN"/>
              </w:rPr>
              <w:t>）及验证总结报告（VSR）</w:t>
            </w:r>
          </w:p>
          <w:p>
            <w:pPr>
              <w:jc w:val="both"/>
              <w:rPr>
                <w:rFonts w:hAnsi="宋体"/>
                <w:szCs w:val="21"/>
                <w:u w:val="none" w:color="333333"/>
                <w:lang w:val="zh-TW" w:eastAsia="zh-TW"/>
              </w:rPr>
            </w:pPr>
            <w:r>
              <w:rPr>
                <w:rFonts w:hint="eastAsia"/>
                <w:szCs w:val="21"/>
                <w:lang w:eastAsia="zh-CN"/>
              </w:rPr>
              <w:t>（（</w:t>
            </w:r>
            <w:r>
              <w:rPr>
                <w:szCs w:val="21"/>
                <w:lang w:eastAsia="zh-CN"/>
              </w:rPr>
              <w:t>8</w:t>
            </w:r>
            <w:r>
              <w:rPr>
                <w:rFonts w:hint="eastAsia"/>
                <w:szCs w:val="21"/>
                <w:lang w:eastAsia="zh-CN"/>
              </w:rPr>
              <w:t>）设备生产商负责制定设备验证计划、评估文件、</w:t>
            </w:r>
            <w:r>
              <w:rPr>
                <w:szCs w:val="21"/>
                <w:lang w:eastAsia="zh-CN"/>
              </w:rPr>
              <w:t>IQ/OQ</w:t>
            </w:r>
            <w:r>
              <w:rPr>
                <w:rFonts w:hint="eastAsia"/>
                <w:szCs w:val="21"/>
                <w:lang w:eastAsia="zh-CN"/>
              </w:rPr>
              <w:t>验证文件，并负责验证工作的实施，该验证文件作为设备必备文件。PQ、RTM及VSR文件由供应商协助用户编写制定及实施。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p>
            <w:pPr>
              <w:rPr>
                <w:rFonts w:hAnsi="宋体"/>
                <w:szCs w:val="21"/>
                <w:u w:val="none" w:color="333333"/>
                <w:lang w:val="zh-TW" w:eastAsia="zh-TW"/>
              </w:rPr>
            </w:pPr>
            <w:r>
              <w:rPr>
                <w:rFonts w:hint="eastAsia" w:hAnsi="宋体"/>
                <w:szCs w:val="21"/>
                <w:u w:val="none" w:color="333333"/>
                <w:lang w:eastAsia="zh-CN"/>
              </w:rPr>
              <w:t>（4））上述URS66～URS73条款规定的文件需提供电子版，并在设备开箱验收时将最终批准的电子版全套资料交工程技术部存档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41"/>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2" w:edGrp="everyone"/>
            <w:permEnd w:id="4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rPr>
                <w:color w:val="0070C0"/>
                <w:szCs w:val="21"/>
                <w:lang w:eastAsia="zh-CN"/>
              </w:rPr>
            </w:pPr>
            <w:r>
              <w:rPr>
                <w:rFonts w:hAnsi="宋体"/>
                <w:szCs w:val="21"/>
                <w:u w:val="none" w:color="333333"/>
                <w:lang w:val="zh-TW" w:eastAsia="zh-TW"/>
              </w:rPr>
              <w:t>设备供应商应免费对设备使用方人员进行全面培训，包括对操作人员及设备维护、维修人员，并填写培训记录。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rPr>
                <w:color w:val="0070C0"/>
                <w:szCs w:val="21"/>
                <w:lang w:eastAsia="zh-CN"/>
              </w:rPr>
            </w:pPr>
            <w:r>
              <w:rPr>
                <w:rFonts w:hAnsi="宋体"/>
                <w:szCs w:val="21"/>
                <w:u w:val="none" w:color="333333"/>
                <w:lang w:val="zh-TW" w:eastAsia="zh-TW"/>
              </w:rPr>
              <w:t>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rPr>
                <w:color w:val="0070C0"/>
                <w:lang w:eastAsia="zh-CN"/>
              </w:rPr>
            </w:pPr>
            <w:r>
              <w:rPr>
                <w:rFonts w:hAnsi="宋体"/>
                <w:szCs w:val="21"/>
                <w:u w:val="none" w:color="333333"/>
                <w:lang w:val="zh-TW" w:eastAsia="zh-TW"/>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Arial" w:hAnsi="Arial" w:cs="Arial"/>
                <w:color w:val="000000"/>
                <w:szCs w:val="21"/>
                <w:lang w:eastAsia="zh-CN"/>
              </w:rPr>
            </w:pPr>
            <w:r>
              <w:rPr>
                <w:rFonts w:ascii="Arial" w:hAnsi="Arial" w:cs="Arial"/>
                <w:color w:val="000000"/>
                <w:szCs w:val="21"/>
                <w:lang w:eastAsia="zh-CN"/>
              </w:rPr>
              <w:t>通过培训应能达到如下效果：</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操作人员能独立操作设备，并能顺利完成验证。</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设备</w:t>
            </w:r>
            <w:r>
              <w:rPr>
                <w:rFonts w:hint="eastAsia" w:ascii="Arial" w:hAnsi="Arial" w:cs="Arial"/>
                <w:color w:val="000000"/>
                <w:szCs w:val="21"/>
                <w:lang w:eastAsia="zh-CN"/>
              </w:rPr>
              <w:t>维护</w:t>
            </w:r>
            <w:r>
              <w:rPr>
                <w:rFonts w:ascii="Arial" w:hAnsi="Arial" w:cs="Arial"/>
                <w:color w:val="000000"/>
                <w:szCs w:val="21"/>
                <w:lang w:eastAsia="zh-CN"/>
              </w:rPr>
              <w:t>人员经过培训，能对设备常见故障进行</w:t>
            </w:r>
            <w:r>
              <w:rPr>
                <w:rFonts w:hint="eastAsia" w:ascii="Arial" w:hAnsi="Arial" w:cs="Arial"/>
                <w:color w:val="000000"/>
                <w:szCs w:val="21"/>
                <w:lang w:eastAsia="zh-CN"/>
              </w:rPr>
              <w:t>排查</w:t>
            </w:r>
            <w:r>
              <w:rPr>
                <w:rFonts w:ascii="Arial" w:hAnsi="Arial" w:cs="Arial"/>
                <w:color w:val="000000"/>
                <w:szCs w:val="21"/>
                <w:lang w:eastAsia="zh-CN"/>
              </w:rPr>
              <w:t>，并能按照要求的设备维护方法对设备进行维护。</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验证人员应熟悉设备所需验证部分的验证方法，并能独立进行验证。</w:t>
            </w:r>
          </w:p>
          <w:p>
            <w:pPr>
              <w:spacing w:line="276" w:lineRule="auto"/>
              <w:jc w:val="both"/>
              <w:rPr>
                <w:color w:val="0070C0"/>
                <w:lang w:eastAsia="zh-CN"/>
              </w:rPr>
            </w:pPr>
            <w:r>
              <w:rPr>
                <w:rFonts w:ascii="Arial" w:hAnsi="Arial" w:cs="Arial"/>
                <w:color w:val="000000"/>
                <w:szCs w:val="21"/>
                <w:lang w:eastAsia="zh-CN"/>
              </w:rPr>
              <w:t>培训通过考核评估培训效果，只有培训效果评价合格培训方可结束。</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rPr>
                <w:szCs w:val="21"/>
                <w:lang w:eastAsia="zh-CN"/>
              </w:rPr>
            </w:pPr>
            <w:r>
              <w:rPr>
                <w:rFonts w:hAnsi="宋体"/>
                <w:szCs w:val="21"/>
                <w:u w:val="none" w:color="333333"/>
                <w:lang w:val="zh-TW" w:eastAsia="zh-TW"/>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ascii="宋体" w:hAnsi="宋体" w:cs="Arial"/>
                <w:color w:val="000000"/>
                <w:szCs w:val="21"/>
                <w:lang w:eastAsia="zh-CN"/>
              </w:rPr>
              <w:t>供应商应负责将设备及材料运送到指定交货地点。</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设备到货清单必须详列每装箱内容物</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非关键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ascii="宋体" w:hAnsi="宋体"/>
                <w:szCs w:val="21"/>
                <w:lang w:eastAsia="zh-CN"/>
              </w:rPr>
              <w:t>验证包括验证计划、</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、PQ文件与服务，供应商必须派出具备该类系统验证经验，且熟悉验证相关文件编写及验证工作实施的验证工程师开展验证工作。供应商协助完成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GMP和</w:t>
            </w:r>
            <w:r>
              <w:rPr>
                <w:rFonts w:hint="eastAsia" w:ascii="宋体" w:hAnsi="宋体" w:cs="宋体"/>
                <w:szCs w:val="21"/>
                <w:lang w:eastAsia="zh-CN"/>
              </w:rPr>
              <w:t>GAMP5规范完成所有验证工作，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w:t>
            </w:r>
            <w:r>
              <w:rPr>
                <w:rFonts w:hint="eastAsia" w:hAnsi="宋体"/>
                <w:szCs w:val="21"/>
                <w:u w:val="none" w:color="333333"/>
                <w:lang w:val="zh-TW" w:eastAsia="zh-CN"/>
              </w:rPr>
              <w:t>供应商提供的验证服务应包括但不仅限于：实施验证的有资质人员、验证方案及记录文件、实施验证所需的具溯源证明的标准物质以及各相关测试的实施。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iCs/>
                <w:szCs w:val="21"/>
                <w:lang w:val="en-US" w:eastAsia="zh-CN"/>
              </w:rPr>
              <w:t>如适用，能够提供完善的工作站软件的软件IQ、OQ、PQ验证，验证文件可为中或英文版</w:t>
            </w:r>
          </w:p>
        </w:tc>
        <w:tc>
          <w:tcPr>
            <w:tcW w:w="2125"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ascii="Arial" w:hAnsi="Arial" w:cs="Arial"/>
                <w:bCs/>
                <w:color w:val="000000"/>
                <w:szCs w:val="21"/>
                <w:lang w:eastAsia="zh-CN"/>
              </w:rPr>
              <w:t>质保期为项目验收合格，由买卖双方签署验收合格证书并办理项目移交之日算起，</w:t>
            </w:r>
            <w:r>
              <w:rPr>
                <w:rFonts w:hint="eastAsia" w:ascii="Arial" w:hAnsi="Arial" w:cs="Arial"/>
                <w:bCs/>
                <w:color w:val="000000"/>
                <w:szCs w:val="21"/>
                <w:lang w:eastAsia="zh-CN"/>
              </w:rPr>
              <w:t>供应</w:t>
            </w:r>
            <w:r>
              <w:rPr>
                <w:rFonts w:ascii="Arial" w:hAnsi="Arial" w:cs="Arial"/>
                <w:bCs/>
                <w:color w:val="000000"/>
                <w:szCs w:val="21"/>
                <w:lang w:eastAsia="zh-CN"/>
              </w:rPr>
              <w:t>商的质保期为需方现场验收合格后</w:t>
            </w:r>
            <w:r>
              <w:rPr>
                <w:rFonts w:hint="eastAsia" w:ascii="Arial" w:hAnsi="Arial" w:cs="Arial"/>
                <w:bCs/>
                <w:color w:val="000000"/>
                <w:szCs w:val="21"/>
                <w:lang w:eastAsia="zh-CN"/>
              </w:rPr>
              <w:t>至少12</w:t>
            </w:r>
            <w:r>
              <w:rPr>
                <w:rFonts w:ascii="Arial" w:hAnsi="Arial" w:cs="Arial"/>
                <w:bCs/>
                <w:color w:val="000000"/>
                <w:szCs w:val="21"/>
                <w:lang w:eastAsia="zh-CN"/>
              </w:rPr>
              <w:t>个月。</w:t>
            </w:r>
            <w:r>
              <w:rPr>
                <w:rFonts w:hint="eastAsia" w:hAnsi="宋体"/>
                <w:szCs w:val="21"/>
                <w:u w:val="none" w:color="333333"/>
                <w:lang w:val="zh-TW" w:eastAsia="zh-CN"/>
              </w:rPr>
              <w:t>质保期</w:t>
            </w:r>
            <w:r>
              <w:rPr>
                <w:rFonts w:hint="eastAsia" w:hAnsi="宋体"/>
                <w:szCs w:val="21"/>
                <w:u w:val="none" w:color="333333"/>
                <w:lang w:val="zh-TW" w:eastAsia="zh-TW"/>
              </w:rPr>
              <w:t>内免费保修，</w:t>
            </w:r>
            <w:r>
              <w:rPr>
                <w:rFonts w:hint="eastAsia" w:hAnsi="宋体"/>
                <w:szCs w:val="21"/>
                <w:u w:val="none" w:color="333333"/>
                <w:lang w:val="zh-TW" w:eastAsia="zh-CN"/>
              </w:rPr>
              <w:t>期满</w:t>
            </w:r>
            <w:r>
              <w:rPr>
                <w:rFonts w:hint="eastAsia" w:hAnsi="宋体"/>
                <w:szCs w:val="21"/>
                <w:u w:val="none" w:color="333333"/>
                <w:lang w:val="zh-TW" w:eastAsia="zh-TW"/>
              </w:rPr>
              <w:t>后应提供良好的售后服务</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rFonts w:hint="eastAsia"/>
                <w:szCs w:val="21"/>
                <w:u w:val="none" w:color="333333"/>
                <w:lang w:eastAsia="zh-CN"/>
              </w:rPr>
              <w:t>质保期内维修或更换关键部件，该关键部件的质保自维修确认后顺延一年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TW"/>
              </w:rPr>
            </w:pPr>
            <w:r>
              <w:rPr>
                <w:rFonts w:hint="eastAsia" w:hAnsi="宋体"/>
                <w:szCs w:val="21"/>
                <w:u w:val="none" w:color="333333"/>
                <w:lang w:val="zh-TW" w:eastAsia="zh-TW"/>
              </w:rPr>
              <w:t>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val="zh-TW"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p>
            <w:pPr>
              <w:spacing w:line="276" w:lineRule="auto"/>
              <w:jc w:val="both"/>
              <w:rPr>
                <w:rFonts w:hAnsi="宋体"/>
                <w:szCs w:val="21"/>
                <w:u w:val="none" w:color="333333"/>
                <w:lang w:val="zh-TW" w:eastAsia="zh-TW"/>
              </w:rPr>
            </w:pPr>
            <w:r>
              <w:rPr>
                <w:rFonts w:hint="eastAsia" w:ascii="Arial" w:hAnsi="Arial" w:cs="Arial"/>
                <w:bCs/>
                <w:color w:val="000000"/>
                <w:szCs w:val="21"/>
                <w:lang w:eastAsia="zh-CN"/>
              </w:rPr>
              <w:t>供货</w:t>
            </w:r>
            <w:r>
              <w:rPr>
                <w:rFonts w:ascii="Arial" w:hAnsi="Arial" w:cs="Arial"/>
                <w:bCs/>
                <w:color w:val="000000"/>
                <w:szCs w:val="21"/>
                <w:lang w:eastAsia="zh-CN"/>
              </w:rPr>
              <w:t>方应提供主要备品备件的清单和价格表。在设备使用寿命内，</w:t>
            </w:r>
            <w:r>
              <w:rPr>
                <w:rFonts w:hint="eastAsia" w:ascii="Arial" w:hAnsi="Arial" w:cs="Arial"/>
                <w:bCs/>
                <w:color w:val="000000"/>
                <w:szCs w:val="21"/>
                <w:lang w:eastAsia="zh-CN"/>
              </w:rPr>
              <w:t>供货</w:t>
            </w:r>
            <w:r>
              <w:rPr>
                <w:rFonts w:ascii="Arial" w:hAnsi="Arial" w:cs="Arial"/>
                <w:bCs/>
                <w:color w:val="000000"/>
                <w:szCs w:val="21"/>
                <w:lang w:eastAsia="zh-CN"/>
              </w:rPr>
              <w:t>方应保证设备零配件的供应，并提供优惠供应的承诺。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eastAsia="zh-TW"/>
              </w:rPr>
            </w:pPr>
            <w:r>
              <w:rPr>
                <w:rFonts w:ascii="Arial" w:hAnsi="Arial" w:cs="Arial"/>
                <w:bCs/>
                <w:color w:val="000000"/>
                <w:szCs w:val="21"/>
                <w:lang w:eastAsia="zh-CN"/>
              </w:rPr>
              <w:t>如供货期内任何配件标准变化，供应商应该通知客户，走变更程序，变更的风险评估文件需提供给我方审批，如因更换配置导致合同内金额的变化，需和我方达成一致后方可执行。</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52"/>
    </w:tbl>
    <w:p/>
    <w:p>
      <w:pPr>
        <w:pStyle w:val="30"/>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53" w:edGrp="everyone"/>
      <w:r>
        <w:rPr>
          <w:rFonts w:hint="eastAsia"/>
          <w:szCs w:val="21"/>
          <w:lang w:eastAsia="zh-CN"/>
        </w:rPr>
        <w:t>推荐配置</w:t>
      </w:r>
    </w:p>
    <w:tbl>
      <w:tblPr>
        <w:tblStyle w:val="23"/>
        <w:tblW w:w="83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00"/>
        <w:gridCol w:w="5100"/>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5"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b/>
                <w:bCs/>
                <w:sz w:val="20"/>
                <w:lang w:val="en-US" w:eastAsia="zh-CN"/>
              </w:rPr>
            </w:pPr>
            <w:r>
              <w:rPr>
                <w:rFonts w:hint="eastAsia" w:ascii="宋体" w:hAnsi="宋体" w:cs="宋体"/>
                <w:b/>
                <w:bCs/>
                <w:sz w:val="20"/>
                <w:lang w:val="en-US" w:eastAsia="zh-CN"/>
              </w:rPr>
              <w:t xml:space="preserve">Item </w:t>
            </w:r>
            <w:r>
              <w:rPr>
                <w:rFonts w:hint="eastAsia" w:ascii="宋体" w:hAnsi="宋体" w:cs="宋体"/>
                <w:b/>
                <w:bCs/>
                <w:sz w:val="20"/>
                <w:lang w:val="en-US" w:eastAsia="zh-CN"/>
              </w:rPr>
              <w:br/>
            </w:r>
            <w:r>
              <w:rPr>
                <w:rFonts w:hint="eastAsia" w:ascii="宋体" w:hAnsi="宋体" w:cs="宋体"/>
                <w:b/>
                <w:bCs/>
                <w:sz w:val="20"/>
                <w:lang w:val="en-US" w:eastAsia="zh-CN"/>
              </w:rPr>
              <w:t>序号</w:t>
            </w:r>
          </w:p>
        </w:tc>
        <w:tc>
          <w:tcPr>
            <w:tcW w:w="5100" w:type="dxa"/>
            <w:tcBorders>
              <w:top w:val="single" w:color="auto" w:sz="8" w:space="0"/>
              <w:left w:val="nil"/>
              <w:bottom w:val="single" w:color="auto" w:sz="4" w:space="0"/>
              <w:right w:val="single" w:color="auto" w:sz="4" w:space="0"/>
            </w:tcBorders>
            <w:vAlign w:val="center"/>
          </w:tcPr>
          <w:p>
            <w:pPr>
              <w:adjustRightInd/>
              <w:jc w:val="center"/>
              <w:textAlignment w:val="auto"/>
              <w:rPr>
                <w:rFonts w:ascii="宋体" w:hAnsi="宋体" w:cs="宋体"/>
                <w:b/>
                <w:bCs/>
                <w:sz w:val="20"/>
                <w:lang w:val="en-US" w:eastAsia="zh-CN"/>
              </w:rPr>
            </w:pPr>
            <w:r>
              <w:rPr>
                <w:rFonts w:hint="eastAsia" w:ascii="宋体" w:hAnsi="宋体" w:cs="宋体"/>
                <w:b/>
                <w:bCs/>
                <w:sz w:val="20"/>
                <w:lang w:val="en-US" w:eastAsia="zh-CN"/>
              </w:rPr>
              <w:t xml:space="preserve">Description </w:t>
            </w:r>
            <w:r>
              <w:rPr>
                <w:rFonts w:hint="eastAsia" w:ascii="宋体" w:hAnsi="宋体" w:cs="宋体"/>
                <w:b/>
                <w:bCs/>
                <w:sz w:val="20"/>
                <w:lang w:val="en-US" w:eastAsia="zh-CN"/>
              </w:rPr>
              <w:br/>
            </w:r>
            <w:r>
              <w:rPr>
                <w:rFonts w:hint="eastAsia" w:ascii="宋体" w:hAnsi="宋体" w:cs="宋体"/>
                <w:b/>
                <w:bCs/>
                <w:sz w:val="20"/>
                <w:lang w:val="en-US" w:eastAsia="zh-CN"/>
              </w:rPr>
              <w:t>产品描述</w:t>
            </w:r>
          </w:p>
        </w:tc>
        <w:tc>
          <w:tcPr>
            <w:tcW w:w="2360" w:type="dxa"/>
            <w:tcBorders>
              <w:top w:val="single" w:color="auto" w:sz="8" w:space="0"/>
              <w:left w:val="nil"/>
              <w:bottom w:val="single" w:color="auto" w:sz="4" w:space="0"/>
              <w:right w:val="single" w:color="auto" w:sz="4" w:space="0"/>
            </w:tcBorders>
            <w:vAlign w:val="center"/>
          </w:tcPr>
          <w:p>
            <w:pPr>
              <w:adjustRightInd/>
              <w:jc w:val="center"/>
              <w:textAlignment w:val="auto"/>
              <w:rPr>
                <w:rFonts w:ascii="宋体" w:hAnsi="宋体" w:cs="宋体"/>
                <w:b/>
                <w:bCs/>
                <w:sz w:val="20"/>
                <w:lang w:val="en-US" w:eastAsia="zh-CN"/>
              </w:rPr>
            </w:pPr>
            <w:r>
              <w:rPr>
                <w:rFonts w:hint="eastAsia" w:ascii="宋体" w:hAnsi="宋体" w:cs="宋体"/>
                <w:b/>
                <w:bCs/>
                <w:sz w:val="20"/>
                <w:lang w:val="en-US" w:eastAsia="zh-CN"/>
              </w:rPr>
              <w:t>Qty</w:t>
            </w:r>
            <w:r>
              <w:rPr>
                <w:rFonts w:hint="eastAsia" w:ascii="宋体" w:hAnsi="宋体" w:cs="宋体"/>
                <w:b/>
                <w:bCs/>
                <w:sz w:val="20"/>
                <w:lang w:val="en-US" w:eastAsia="zh-CN"/>
              </w:rPr>
              <w:br/>
            </w:r>
            <w:r>
              <w:rPr>
                <w:rFonts w:hint="eastAsia" w:ascii="宋体" w:hAnsi="宋体" w:cs="宋体"/>
                <w:b/>
                <w:bCs/>
                <w:sz w:val="20"/>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1</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sz w:val="22"/>
                <w:szCs w:val="22"/>
                <w:lang w:val="en-US" w:eastAsia="zh-CN"/>
              </w:rPr>
              <w:t>自动电位滴定仪主机（双排电极接口）</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2</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color w:val="000000"/>
                <w:sz w:val="22"/>
                <w:szCs w:val="22"/>
                <w:lang w:val="en-US" w:eastAsia="zh-CN"/>
              </w:rPr>
              <w:t>滴定管活塞驱动器</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3</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磁力搅拌台</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4</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sz w:val="22"/>
                <w:szCs w:val="22"/>
                <w:lang w:val="en-US" w:eastAsia="zh-CN"/>
              </w:rPr>
              <w:t>滴定台</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5</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sz w:val="22"/>
                <w:szCs w:val="22"/>
                <w:lang w:val="en-US" w:eastAsia="zh-CN"/>
              </w:rPr>
              <w:t>螺旋搅拌器</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6</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sz w:val="22"/>
                <w:szCs w:val="22"/>
                <w:lang w:val="en-US" w:eastAsia="zh-CN"/>
              </w:rPr>
              <w:t>电脑连接线</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7</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sz w:val="22"/>
                <w:szCs w:val="22"/>
                <w:lang w:val="en-US" w:eastAsia="zh-CN"/>
              </w:rPr>
            </w:pPr>
            <w:r>
              <w:rPr>
                <w:rFonts w:hint="eastAsia" w:ascii="宋体" w:hAnsi="宋体" w:cs="宋体"/>
                <w:sz w:val="22"/>
                <w:szCs w:val="22"/>
                <w:lang w:val="en-US" w:eastAsia="zh-CN"/>
              </w:rPr>
              <w:t>滴定管</w:t>
            </w:r>
            <w:r>
              <w:rPr>
                <w:rFonts w:ascii="Arial" w:hAnsi="Arial" w:cs="Arial"/>
                <w:sz w:val="22"/>
                <w:szCs w:val="22"/>
                <w:lang w:val="en-US" w:eastAsia="zh-CN"/>
              </w:rPr>
              <w:t xml:space="preserve"> 20mL</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宋体" w:hAnsi="宋体" w:cs="宋体"/>
                <w:sz w:val="22"/>
                <w:szCs w:val="22"/>
                <w:lang w:val="en-US" w:eastAsia="zh-CN"/>
              </w:rPr>
            </w:pPr>
            <w:r>
              <w:rPr>
                <w:rFonts w:hint="eastAsia" w:ascii="宋体" w:hAnsi="宋体" w:cs="宋体"/>
                <w:sz w:val="22"/>
                <w:szCs w:val="22"/>
                <w:lang w:val="en-US" w:eastAsia="zh-CN"/>
              </w:rPr>
              <w:t>8</w:t>
            </w:r>
          </w:p>
        </w:tc>
        <w:tc>
          <w:tcPr>
            <w:tcW w:w="5100" w:type="dxa"/>
            <w:tcBorders>
              <w:top w:val="single" w:color="auto" w:sz="4" w:space="0"/>
              <w:left w:val="single" w:color="auto" w:sz="4" w:space="0"/>
              <w:bottom w:val="single" w:color="auto" w:sz="4" w:space="0"/>
              <w:right w:val="single" w:color="auto" w:sz="4" w:space="0"/>
            </w:tcBorders>
            <w:vAlign w:val="center"/>
          </w:tcPr>
          <w:p>
            <w:pPr>
              <w:adjustRightInd/>
              <w:textAlignment w:val="auto"/>
              <w:rPr>
                <w:rFonts w:ascii="Arial" w:hAnsi="Arial" w:cs="Arial"/>
                <w:b/>
                <w:bCs/>
                <w:i/>
                <w:iCs/>
                <w:sz w:val="22"/>
                <w:szCs w:val="22"/>
                <w:lang w:val="en-US" w:eastAsia="zh-CN"/>
              </w:rPr>
            </w:pPr>
            <w:r>
              <w:rPr>
                <w:rFonts w:hint="eastAsia" w:ascii="Arial" w:hAnsi="Arial" w:cs="Arial"/>
                <w:bCs/>
                <w:iCs/>
                <w:sz w:val="22"/>
                <w:szCs w:val="22"/>
                <w:lang w:val="en-US" w:eastAsia="zh-CN"/>
              </w:rPr>
              <w:t>分析</w:t>
            </w:r>
            <w:r>
              <w:rPr>
                <w:rFonts w:hint="eastAsia" w:ascii="宋体" w:hAnsi="宋体" w:cs="Arial"/>
                <w:sz w:val="22"/>
                <w:szCs w:val="22"/>
                <w:lang w:val="en-US" w:eastAsia="zh-CN"/>
              </w:rPr>
              <w:t>控制软件</w:t>
            </w:r>
          </w:p>
        </w:tc>
        <w:tc>
          <w:tcPr>
            <w:tcW w:w="236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9</w:t>
            </w:r>
          </w:p>
        </w:tc>
        <w:tc>
          <w:tcPr>
            <w:tcW w:w="5100" w:type="dxa"/>
            <w:tcBorders>
              <w:top w:val="single" w:color="auto" w:sz="4" w:space="0"/>
              <w:left w:val="single" w:color="auto" w:sz="4" w:space="0"/>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水相PH电极</w:t>
            </w:r>
          </w:p>
        </w:tc>
        <w:tc>
          <w:tcPr>
            <w:tcW w:w="2360" w:type="dxa"/>
            <w:tcBorders>
              <w:top w:val="single" w:color="auto" w:sz="4" w:space="0"/>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10</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非水相PH电极</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11</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试剂瓶</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hint="eastAsia"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12</w:t>
            </w:r>
          </w:p>
        </w:tc>
        <w:tc>
          <w:tcPr>
            <w:tcW w:w="5100" w:type="dxa"/>
            <w:tcBorders>
              <w:top w:val="nil"/>
              <w:left w:val="single" w:color="auto" w:sz="4" w:space="0"/>
              <w:bottom w:val="single" w:color="auto" w:sz="4" w:space="0"/>
              <w:right w:val="single" w:color="auto" w:sz="4" w:space="0"/>
            </w:tcBorders>
            <w:shd w:val="clear" w:color="000000" w:fill="FFFFFF"/>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指示电极电缆</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13</w:t>
            </w:r>
          </w:p>
        </w:tc>
        <w:tc>
          <w:tcPr>
            <w:tcW w:w="5100" w:type="dxa"/>
            <w:tcBorders>
              <w:top w:val="nil"/>
              <w:left w:val="single" w:color="auto" w:sz="4" w:space="0"/>
              <w:bottom w:val="single" w:color="auto" w:sz="4" w:space="0"/>
              <w:right w:val="single" w:color="auto" w:sz="4" w:space="0"/>
            </w:tcBorders>
            <w:shd w:val="clear" w:color="000000" w:fill="FFFFFF"/>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分析控制软件IQOQ认证及服务</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ascii="Arial" w:hAnsi="Arial" w:cs="Arial"/>
                <w:sz w:val="22"/>
                <w:szCs w:val="22"/>
                <w:lang w:val="en-US" w:eastAsia="zh-CN"/>
              </w:rPr>
              <w:t>14</w:t>
            </w:r>
          </w:p>
        </w:tc>
        <w:tc>
          <w:tcPr>
            <w:tcW w:w="5100" w:type="dxa"/>
            <w:tcBorders>
              <w:top w:val="nil"/>
              <w:left w:val="single" w:color="auto" w:sz="4" w:space="0"/>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滴定仪主机IQOQ认证及服务</w:t>
            </w:r>
          </w:p>
        </w:tc>
        <w:tc>
          <w:tcPr>
            <w:tcW w:w="2360" w:type="dxa"/>
            <w:tcBorders>
              <w:top w:val="nil"/>
              <w:left w:val="nil"/>
              <w:bottom w:val="single" w:color="auto" w:sz="4" w:space="0"/>
              <w:right w:val="single" w:color="auto" w:sz="4" w:space="0"/>
            </w:tcBorders>
            <w:vAlign w:val="center"/>
          </w:tcPr>
          <w:p>
            <w:pPr>
              <w:adjustRightInd/>
              <w:jc w:val="center"/>
              <w:textAlignment w:val="auto"/>
              <w:rPr>
                <w:rFonts w:ascii="Arial" w:hAnsi="Arial" w:cs="Arial"/>
                <w:color w:val="000000"/>
                <w:sz w:val="22"/>
                <w:szCs w:val="22"/>
                <w:lang w:val="en-US" w:eastAsia="zh-CN"/>
              </w:rPr>
            </w:pPr>
            <w:r>
              <w:rPr>
                <w:rFonts w:ascii="Arial" w:hAnsi="Arial" w:cs="Arial"/>
                <w:color w:val="000000"/>
                <w:sz w:val="22"/>
                <w:szCs w:val="2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hint="eastAsia" w:ascii="Arial" w:hAnsi="Arial" w:cs="Arial"/>
                <w:sz w:val="22"/>
                <w:szCs w:val="22"/>
                <w:lang w:val="en-US" w:eastAsia="zh-CN"/>
              </w:rPr>
              <w:t>15</w:t>
            </w:r>
          </w:p>
        </w:tc>
        <w:tc>
          <w:tcPr>
            <w:tcW w:w="51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 w:val="22"/>
                <w:szCs w:val="22"/>
              </w:rPr>
            </w:pPr>
            <w:r>
              <w:rPr>
                <w:rFonts w:ascii="Arial" w:hAnsi="Arial" w:cs="Arial"/>
                <w:color w:val="000000"/>
                <w:sz w:val="22"/>
                <w:szCs w:val="22"/>
              </w:rPr>
              <w:t xml:space="preserve">5 </w:t>
            </w:r>
            <w:r>
              <w:rPr>
                <w:rFonts w:hint="eastAsia" w:cs="Arial"/>
                <w:color w:val="000000"/>
                <w:sz w:val="22"/>
                <w:szCs w:val="22"/>
              </w:rPr>
              <w:t>孔滴定杯盖</w:t>
            </w:r>
          </w:p>
        </w:tc>
        <w:tc>
          <w:tcPr>
            <w:tcW w:w="2360" w:type="dxa"/>
            <w:tcBorders>
              <w:top w:val="single" w:color="auto" w:sz="4" w:space="0"/>
              <w:left w:val="nil"/>
              <w:bottom w:val="single" w:color="auto" w:sz="4" w:space="0"/>
              <w:right w:val="single" w:color="auto" w:sz="4" w:space="0"/>
            </w:tcBorders>
            <w:vAlign w:val="center"/>
          </w:tcPr>
          <w:p>
            <w:pPr>
              <w:jc w:val="center"/>
              <w:rPr>
                <w:rFonts w:ascii="Arial" w:hAnsi="Arial" w:cs="Arial"/>
                <w:color w:val="000000"/>
                <w:sz w:val="22"/>
                <w:szCs w:val="22"/>
              </w:rPr>
            </w:pPr>
            <w:r>
              <w:rPr>
                <w:rFonts w:ascii="Arial" w:hAnsi="Arial" w:cs="Arial"/>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hint="eastAsia" w:ascii="Arial" w:hAnsi="Arial" w:cs="Arial"/>
                <w:sz w:val="22"/>
                <w:szCs w:val="22"/>
                <w:lang w:val="en-US" w:eastAsia="zh-CN"/>
              </w:rPr>
              <w:t>16</w:t>
            </w:r>
          </w:p>
        </w:tc>
        <w:tc>
          <w:tcPr>
            <w:tcW w:w="5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lang w:eastAsia="zh-CN"/>
              </w:rPr>
            </w:pPr>
            <w:r>
              <w:rPr>
                <w:rFonts w:hint="eastAsia"/>
                <w:color w:val="000000"/>
                <w:sz w:val="22"/>
                <w:szCs w:val="22"/>
                <w:lang w:eastAsia="zh-CN"/>
              </w:rPr>
              <w:t>适配头（</w:t>
            </w:r>
            <w:r>
              <w:rPr>
                <w:rFonts w:ascii="Arial" w:hAnsi="Arial" w:cs="Arial"/>
                <w:color w:val="000000"/>
                <w:sz w:val="22"/>
                <w:szCs w:val="22"/>
                <w:lang w:eastAsia="zh-CN"/>
              </w:rPr>
              <w:t xml:space="preserve">5 </w:t>
            </w:r>
            <w:r>
              <w:rPr>
                <w:rFonts w:hint="eastAsia"/>
                <w:color w:val="000000"/>
                <w:sz w:val="22"/>
                <w:szCs w:val="22"/>
                <w:lang w:eastAsia="zh-CN"/>
              </w:rPr>
              <w:t>孔滴定杯盖用）</w:t>
            </w:r>
          </w:p>
        </w:tc>
        <w:tc>
          <w:tcPr>
            <w:tcW w:w="2360" w:type="dxa"/>
            <w:tcBorders>
              <w:top w:val="single" w:color="auto" w:sz="4" w:space="0"/>
              <w:left w:val="nil"/>
              <w:bottom w:val="single" w:color="auto" w:sz="4" w:space="0"/>
              <w:right w:val="single" w:color="auto" w:sz="4" w:space="0"/>
            </w:tcBorders>
            <w:vAlign w:val="center"/>
          </w:tcPr>
          <w:p>
            <w:pPr>
              <w:jc w:val="center"/>
              <w:rPr>
                <w:rFonts w:ascii="Arial" w:hAnsi="Arial" w:cs="Arial"/>
                <w:color w:val="000000"/>
                <w:sz w:val="22"/>
                <w:szCs w:val="22"/>
              </w:rPr>
            </w:pPr>
            <w:r>
              <w:rPr>
                <w:rFonts w:ascii="Arial" w:hAnsi="Arial" w:cs="Arial"/>
                <w:color w:val="000000"/>
                <w:sz w:val="22"/>
                <w:szCs w:val="2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00" w:type="dxa"/>
            <w:tcBorders>
              <w:top w:val="single" w:color="auto" w:sz="4" w:space="0"/>
              <w:left w:val="single" w:color="auto" w:sz="4" w:space="0"/>
              <w:bottom w:val="single" w:color="auto" w:sz="4" w:space="0"/>
              <w:right w:val="single" w:color="auto" w:sz="4" w:space="0"/>
            </w:tcBorders>
            <w:vAlign w:val="center"/>
          </w:tcPr>
          <w:p>
            <w:pPr>
              <w:adjustRightInd/>
              <w:jc w:val="center"/>
              <w:textAlignment w:val="auto"/>
              <w:rPr>
                <w:rFonts w:ascii="Arial" w:hAnsi="Arial" w:cs="Arial"/>
                <w:sz w:val="22"/>
                <w:szCs w:val="22"/>
                <w:lang w:val="en-US" w:eastAsia="zh-CN"/>
              </w:rPr>
            </w:pPr>
            <w:r>
              <w:rPr>
                <w:rFonts w:hint="eastAsia" w:ascii="Arial" w:hAnsi="Arial" w:cs="Arial"/>
                <w:sz w:val="22"/>
                <w:szCs w:val="22"/>
                <w:lang w:val="en-US" w:eastAsia="zh-CN"/>
              </w:rPr>
              <w:t>17</w:t>
            </w:r>
          </w:p>
        </w:tc>
        <w:tc>
          <w:tcPr>
            <w:tcW w:w="51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lang w:eastAsia="zh-CN"/>
              </w:rPr>
            </w:pPr>
            <w:r>
              <w:rPr>
                <w:rFonts w:hint="eastAsia"/>
                <w:color w:val="000000"/>
                <w:sz w:val="22"/>
                <w:szCs w:val="22"/>
                <w:lang w:eastAsia="zh-CN"/>
              </w:rPr>
              <w:t>滴定杯</w:t>
            </w:r>
            <w:r>
              <w:rPr>
                <w:rFonts w:ascii="Arial" w:hAnsi="Arial" w:cs="Arial"/>
                <w:color w:val="000000"/>
                <w:sz w:val="22"/>
                <w:szCs w:val="22"/>
                <w:lang w:eastAsia="zh-CN"/>
              </w:rPr>
              <w:t xml:space="preserve"> 20-100mL (</w:t>
            </w:r>
            <w:r>
              <w:rPr>
                <w:rFonts w:hint="eastAsia"/>
                <w:color w:val="000000"/>
                <w:sz w:val="22"/>
                <w:szCs w:val="22"/>
                <w:lang w:eastAsia="zh-CN"/>
              </w:rPr>
              <w:t>可配密封盖</w:t>
            </w:r>
            <w:r>
              <w:rPr>
                <w:rFonts w:ascii="Arial" w:hAnsi="Arial" w:cs="Arial"/>
                <w:color w:val="000000"/>
                <w:sz w:val="22"/>
                <w:szCs w:val="22"/>
                <w:lang w:eastAsia="zh-CN"/>
              </w:rPr>
              <w:t>)</w:t>
            </w:r>
          </w:p>
        </w:tc>
        <w:tc>
          <w:tcPr>
            <w:tcW w:w="2360" w:type="dxa"/>
            <w:tcBorders>
              <w:top w:val="single" w:color="auto" w:sz="4" w:space="0"/>
              <w:left w:val="nil"/>
              <w:bottom w:val="single" w:color="auto" w:sz="4" w:space="0"/>
              <w:right w:val="single" w:color="auto" w:sz="4" w:space="0"/>
            </w:tcBorders>
            <w:vAlign w:val="center"/>
          </w:tcPr>
          <w:p>
            <w:pPr>
              <w:jc w:val="center"/>
              <w:rPr>
                <w:rFonts w:ascii="Arial" w:hAnsi="Arial" w:cs="Arial"/>
                <w:color w:val="000000"/>
                <w:sz w:val="22"/>
                <w:szCs w:val="22"/>
              </w:rPr>
            </w:pPr>
            <w:r>
              <w:rPr>
                <w:rFonts w:ascii="Arial" w:hAnsi="Arial" w:cs="Arial"/>
                <w:color w:val="000000"/>
                <w:sz w:val="22"/>
                <w:szCs w:val="22"/>
              </w:rPr>
              <w:t>2</w:t>
            </w:r>
          </w:p>
        </w:tc>
      </w:tr>
      <w:permEnd w:id="53"/>
    </w:tbl>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
    <w:altName w:val="Arial Unicode MS"/>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8769676">
    <w:nsid w:val="3FB4218C"/>
    <w:multiLevelType w:val="multilevel"/>
    <w:tmpl w:val="3FB4218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 w:numId="12">
    <w:abstractNumId w:val="1068769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BE7"/>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738"/>
    <w:rsid w:val="00187B04"/>
    <w:rsid w:val="00190000"/>
    <w:rsid w:val="001929C2"/>
    <w:rsid w:val="00192B8F"/>
    <w:rsid w:val="001938B7"/>
    <w:rsid w:val="00193D66"/>
    <w:rsid w:val="00194BB7"/>
    <w:rsid w:val="001976BD"/>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0DE7"/>
    <w:rsid w:val="00261CD0"/>
    <w:rsid w:val="00261F30"/>
    <w:rsid w:val="002637FB"/>
    <w:rsid w:val="00263CB5"/>
    <w:rsid w:val="0026571F"/>
    <w:rsid w:val="0027137F"/>
    <w:rsid w:val="002723D2"/>
    <w:rsid w:val="002732E5"/>
    <w:rsid w:val="002745D9"/>
    <w:rsid w:val="00274823"/>
    <w:rsid w:val="0027534F"/>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42C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1A1B"/>
    <w:rsid w:val="003726DF"/>
    <w:rsid w:val="0037345A"/>
    <w:rsid w:val="00373FFA"/>
    <w:rsid w:val="0037455F"/>
    <w:rsid w:val="00374F1C"/>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095B"/>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59D"/>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402A"/>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12C"/>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048"/>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0F6"/>
    <w:rsid w:val="005D2483"/>
    <w:rsid w:val="005D3394"/>
    <w:rsid w:val="005D3989"/>
    <w:rsid w:val="005D42FF"/>
    <w:rsid w:val="005E2725"/>
    <w:rsid w:val="005E65FA"/>
    <w:rsid w:val="005F19CE"/>
    <w:rsid w:val="005F28F4"/>
    <w:rsid w:val="005F43BB"/>
    <w:rsid w:val="005F503E"/>
    <w:rsid w:val="005F6CB3"/>
    <w:rsid w:val="005F7612"/>
    <w:rsid w:val="005F7663"/>
    <w:rsid w:val="005F7D63"/>
    <w:rsid w:val="0060570B"/>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0A4"/>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BE3"/>
    <w:rsid w:val="00664084"/>
    <w:rsid w:val="0066445E"/>
    <w:rsid w:val="00667045"/>
    <w:rsid w:val="00670A00"/>
    <w:rsid w:val="00670C23"/>
    <w:rsid w:val="00672B86"/>
    <w:rsid w:val="00673031"/>
    <w:rsid w:val="00673EB3"/>
    <w:rsid w:val="00680BE8"/>
    <w:rsid w:val="00686409"/>
    <w:rsid w:val="00686D19"/>
    <w:rsid w:val="0068777F"/>
    <w:rsid w:val="00691F7E"/>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202"/>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17BF4"/>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5CC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7F6092"/>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B82"/>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DFC"/>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1FDD"/>
    <w:rsid w:val="00972E9C"/>
    <w:rsid w:val="0097391E"/>
    <w:rsid w:val="00973DF3"/>
    <w:rsid w:val="009742DA"/>
    <w:rsid w:val="009743BE"/>
    <w:rsid w:val="009753A0"/>
    <w:rsid w:val="00977437"/>
    <w:rsid w:val="00977C89"/>
    <w:rsid w:val="00980AB3"/>
    <w:rsid w:val="0098415C"/>
    <w:rsid w:val="009848CB"/>
    <w:rsid w:val="00984D10"/>
    <w:rsid w:val="0098600B"/>
    <w:rsid w:val="009861C1"/>
    <w:rsid w:val="0098624A"/>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665E"/>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493B"/>
    <w:rsid w:val="009F5FD0"/>
    <w:rsid w:val="009F6DD5"/>
    <w:rsid w:val="009F7B12"/>
    <w:rsid w:val="00A0141B"/>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3FA6"/>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30C"/>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73D"/>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BF6CDE"/>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87"/>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2F7E"/>
    <w:rsid w:val="00CF352C"/>
    <w:rsid w:val="00CF3B28"/>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3D6"/>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5E2"/>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77F9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7AA4"/>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2EFB"/>
    <w:rsid w:val="00F65E43"/>
    <w:rsid w:val="00F66036"/>
    <w:rsid w:val="00F6689D"/>
    <w:rsid w:val="00F67E23"/>
    <w:rsid w:val="00F71601"/>
    <w:rsid w:val="00F72C75"/>
    <w:rsid w:val="00F74033"/>
    <w:rsid w:val="00F759EB"/>
    <w:rsid w:val="00F772F7"/>
    <w:rsid w:val="00F81334"/>
    <w:rsid w:val="00F81A81"/>
    <w:rsid w:val="00F81CC5"/>
    <w:rsid w:val="00F83DCA"/>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48E0"/>
    <w:rsid w:val="00FA6D7E"/>
    <w:rsid w:val="00FB020D"/>
    <w:rsid w:val="00FB3F33"/>
    <w:rsid w:val="00FB43E4"/>
    <w:rsid w:val="00FB4889"/>
    <w:rsid w:val="00FB676C"/>
    <w:rsid w:val="00FB67CC"/>
    <w:rsid w:val="00FB728E"/>
    <w:rsid w:val="00FC0ADE"/>
    <w:rsid w:val="00FC0EB8"/>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E9639D"/>
    <w:rsid w:val="15E43552"/>
    <w:rsid w:val="3A850B47"/>
    <w:rsid w:val="487461C8"/>
    <w:rsid w:val="491C5F94"/>
    <w:rsid w:val="6BF14775"/>
    <w:rsid w:val="76ED7B7B"/>
    <w:rsid w:val="798D1805"/>
    <w:rsid w:val="FE579D3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basedOn w:val="19"/>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列出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1"/>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 w:type="character" w:customStyle="1" w:styleId="47">
    <w:name w:val="Date Char"/>
    <w:basedOn w:val="19"/>
    <w:qFormat/>
    <w:uiPriority w:val="0"/>
    <w:rPr>
      <w:rFonts w:cs="Times New Roman"/>
      <w:kern w:val="2"/>
      <w:sz w:val="24"/>
    </w:rPr>
  </w:style>
  <w:style w:type="character" w:customStyle="1" w:styleId="48">
    <w:name w:val="Body Text Char"/>
    <w:basedOn w:val="19"/>
    <w:qFormat/>
    <w:uiPriority w:val="0"/>
    <w:rPr>
      <w:rFonts w:eastAsia="宋体"/>
      <w:kern w:val="2"/>
      <w:sz w:val="21"/>
      <w:szCs w:val="24"/>
      <w:lang w:val="en-US" w:eastAsia="zh-CN"/>
    </w:rPr>
  </w:style>
  <w:style w:type="character" w:customStyle="1" w:styleId="49">
    <w:name w:val="标题 1 Char"/>
    <w:basedOn w:val="19"/>
    <w:qFormat/>
    <w:uiPriority w:val="0"/>
    <w:rPr>
      <w:rFonts w:ascii="Arial"/>
      <w:b/>
      <w:bCs/>
      <w:caps/>
      <w:sz w:val="22"/>
    </w:rPr>
  </w:style>
  <w:style w:type="character" w:customStyle="1" w:styleId="50">
    <w:name w:val="Header Char"/>
    <w:basedOn w:val="19"/>
    <w:qFormat/>
    <w:uiPriority w:val="0"/>
    <w:rPr>
      <w:rFonts w:cs="Times New Roman"/>
      <w:kern w:val="0"/>
      <w:sz w:val="18"/>
      <w:szCs w:val="18"/>
    </w:rPr>
  </w:style>
  <w:style w:type="character" w:customStyle="1" w:styleId="51">
    <w:name w:val="Body Text 3 Char"/>
    <w:basedOn w:val="19"/>
    <w:qFormat/>
    <w:uiPriority w:val="0"/>
    <w:rPr>
      <w:kern w:val="2"/>
      <w:sz w:val="24"/>
    </w:rPr>
  </w:style>
  <w:style w:type="character" w:customStyle="1" w:styleId="52">
    <w:name w:val="页眉 Char"/>
    <w:basedOn w:val="19"/>
    <w:qFormat/>
    <w:uiPriority w:val="0"/>
    <w:rPr>
      <w:kern w:val="2"/>
      <w:sz w:val="18"/>
    </w:rPr>
  </w:style>
  <w:style w:type="character" w:customStyle="1" w:styleId="53">
    <w:name w:val="标题 4 Char"/>
    <w:basedOn w:val="19"/>
    <w:qFormat/>
    <w:uiPriority w:val="0"/>
    <w:rPr>
      <w:rFonts w:ascii="Arial" w:eastAsia="??"/>
      <w:sz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1205</Words>
  <Characters>6874</Characters>
  <Lines>57</Lines>
  <Paragraphs>16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2020-01-19T10:36:00Z</dcterms:created>
  <dc:creator>Lilly</dc:creator>
  <cp:lastModifiedBy>汪洋</cp:lastModifiedBy>
  <cp:lastPrinted>2020-03-31T02:16:00Z</cp:lastPrinted>
  <dcterms:modified xsi:type="dcterms:W3CDTF">2020-05-12T07:16:41Z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