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color w:val="auto"/>
        </w:rPr>
      </w:pPr>
      <w:bookmarkStart w:id="0" w:name="_Toc483227223"/>
      <w:bookmarkStart w:id="1" w:name="_Toc483666358"/>
      <w:bookmarkStart w:id="2" w:name="_Toc483400307"/>
      <w:bookmarkStart w:id="3" w:name="_Toc484532399"/>
      <w:bookmarkStart w:id="4" w:name="_Toc482717189"/>
    </w:p>
    <w:p>
      <w:pPr>
        <w:spacing w:after="158" w:afterLines="50"/>
        <w:jc w:val="center"/>
        <w:rPr>
          <w:b/>
          <w:color w:val="auto"/>
          <w:szCs w:val="21"/>
          <w:lang w:eastAsia="zh-CN"/>
        </w:rPr>
      </w:pPr>
      <w:permStart w:id="0" w:edGrp="everyone"/>
      <w:r>
        <w:rPr>
          <w:rFonts w:hint="eastAsia"/>
          <w:b/>
          <w:color w:val="auto"/>
          <w:sz w:val="28"/>
          <w:szCs w:val="28"/>
          <w:lang w:val="en-US" w:eastAsia="zh-CN"/>
        </w:rPr>
        <w:t>中生武汉安全实验室2号楼层析柱</w:t>
      </w:r>
      <w:permEnd w:id="0"/>
      <w:r>
        <w:rPr>
          <w:b/>
          <w:color w:val="auto"/>
          <w:sz w:val="28"/>
          <w:szCs w:val="28"/>
          <w:lang w:eastAsia="zh-CN"/>
        </w:rPr>
        <w:t>用户需求说明（URS</w:t>
      </w:r>
      <w:r>
        <w:rPr>
          <w:b/>
          <w:color w:val="auto"/>
          <w:szCs w:val="21"/>
          <w:lang w:eastAsia="zh-CN"/>
        </w:rPr>
        <w:t>）</w:t>
      </w:r>
      <w:bookmarkEnd w:id="0"/>
      <w:bookmarkEnd w:id="1"/>
      <w:bookmarkEnd w:id="2"/>
      <w:bookmarkEnd w:id="3"/>
      <w:bookmarkEnd w:id="4"/>
    </w:p>
    <w:p>
      <w:pPr>
        <w:pStyle w:val="31"/>
        <w:widowControl w:val="0"/>
        <w:spacing w:after="158" w:afterLines="50" w:line="240" w:lineRule="auto"/>
        <w:jc w:val="center"/>
        <w:rPr>
          <w:color w:val="auto"/>
          <w:sz w:val="21"/>
          <w:szCs w:val="21"/>
          <w:lang w:val="zh-CN" w:eastAsia="zh-CN"/>
        </w:rPr>
      </w:pPr>
      <w:permStart w:id="1" w:edGrp="everyone"/>
      <w:permEnd w:id="1"/>
      <w:r>
        <w:rPr>
          <w:color w:val="auto"/>
          <w:sz w:val="21"/>
          <w:szCs w:val="21"/>
          <w:lang w:val="zh-CN" w:eastAsia="zh-CN"/>
        </w:rPr>
        <w:t xml:space="preserve">目录 </w:t>
      </w:r>
    </w:p>
    <w:p>
      <w:pPr>
        <w:pStyle w:val="16"/>
        <w:rPr>
          <w:b w:val="0"/>
          <w:bCs w:val="0"/>
          <w:caps w:val="0"/>
          <w:color w:val="auto"/>
          <w:szCs w:val="22"/>
        </w:rPr>
      </w:pPr>
      <w:permStart w:id="2" w:edGrp="everyone"/>
      <w:r>
        <w:rPr>
          <w:color w:val="auto"/>
        </w:rPr>
        <w:fldChar w:fldCharType="begin"/>
      </w:r>
      <w:r>
        <w:rPr>
          <w:color w:val="auto"/>
        </w:rPr>
        <w:instrText xml:space="preserve"> TOC \o "1-2" \h \z \u </w:instrText>
      </w:r>
      <w:r>
        <w:rPr>
          <w:color w:val="auto"/>
        </w:rPr>
        <w:fldChar w:fldCharType="separate"/>
      </w:r>
      <w:r>
        <w:rPr>
          <w:color w:val="auto"/>
        </w:rPr>
        <w:fldChar w:fldCharType="begin"/>
      </w:r>
      <w:r>
        <w:rPr>
          <w:color w:val="auto"/>
        </w:rPr>
        <w:instrText xml:space="preserve"> HYPERLINK \l "_Toc522716114" </w:instrText>
      </w:r>
      <w:r>
        <w:rPr>
          <w:color w:val="auto"/>
        </w:rPr>
        <w:fldChar w:fldCharType="separate"/>
      </w:r>
      <w:r>
        <w:rPr>
          <w:rStyle w:val="21"/>
          <w:color w:val="auto"/>
        </w:rPr>
        <w:t>修订历史</w:t>
      </w:r>
      <w:r>
        <w:rPr>
          <w:color w:val="auto"/>
        </w:rPr>
        <w:tab/>
      </w:r>
      <w:r>
        <w:rPr>
          <w:color w:val="auto"/>
        </w:rPr>
        <w:fldChar w:fldCharType="begin"/>
      </w:r>
      <w:r>
        <w:rPr>
          <w:color w:val="auto"/>
        </w:rPr>
        <w:instrText xml:space="preserve"> PAGEREF _Toc522716114 \h </w:instrText>
      </w:r>
      <w:r>
        <w:rPr>
          <w:color w:val="auto"/>
        </w:rPr>
        <w:fldChar w:fldCharType="separate"/>
      </w:r>
      <w:r>
        <w:rPr>
          <w:color w:val="auto"/>
        </w:rPr>
        <w:t>3</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"_Toc522716115" </w:instrText>
      </w:r>
      <w:r>
        <w:rPr>
          <w:color w:val="auto"/>
        </w:rPr>
        <w:fldChar w:fldCharType="separate"/>
      </w:r>
      <w:r>
        <w:rPr>
          <w:rStyle w:val="21"/>
          <w:color w:val="auto"/>
        </w:rPr>
        <w:t>1</w:t>
      </w:r>
      <w:r>
        <w:rPr>
          <w:b w:val="0"/>
          <w:bCs w:val="0"/>
          <w:caps w:val="0"/>
          <w:color w:val="auto"/>
          <w:szCs w:val="22"/>
        </w:rPr>
        <w:tab/>
      </w:r>
      <w:r>
        <w:rPr>
          <w:rStyle w:val="21"/>
          <w:color w:val="auto"/>
        </w:rPr>
        <w:t>目的</w:t>
      </w:r>
      <w:r>
        <w:rPr>
          <w:color w:val="auto"/>
        </w:rPr>
        <w:tab/>
      </w:r>
      <w:r>
        <w:rPr>
          <w:color w:val="auto"/>
        </w:rPr>
        <w:fldChar w:fldCharType="begin"/>
      </w:r>
      <w:r>
        <w:rPr>
          <w:color w:val="auto"/>
        </w:rPr>
        <w:instrText xml:space="preserve"> PAGEREF _Toc522716115 \h </w:instrText>
      </w:r>
      <w:r>
        <w:rPr>
          <w:color w:val="auto"/>
        </w:rPr>
        <w:fldChar w:fldCharType="separate"/>
      </w:r>
      <w:r>
        <w:rPr>
          <w:color w:val="auto"/>
        </w:rPr>
        <w:t>4</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"_Toc522716116" </w:instrText>
      </w:r>
      <w:r>
        <w:rPr>
          <w:color w:val="auto"/>
        </w:rPr>
        <w:fldChar w:fldCharType="separate"/>
      </w:r>
      <w:r>
        <w:rPr>
          <w:rStyle w:val="21"/>
          <w:color w:val="auto"/>
        </w:rPr>
        <w:t>2</w:t>
      </w:r>
      <w:r>
        <w:rPr>
          <w:b w:val="0"/>
          <w:bCs w:val="0"/>
          <w:caps w:val="0"/>
          <w:color w:val="auto"/>
          <w:szCs w:val="22"/>
        </w:rPr>
        <w:tab/>
      </w:r>
      <w:r>
        <w:rPr>
          <w:rStyle w:val="21"/>
          <w:color w:val="auto"/>
        </w:rPr>
        <w:t>范围</w:t>
      </w:r>
      <w:r>
        <w:rPr>
          <w:color w:val="auto"/>
        </w:rPr>
        <w:tab/>
      </w:r>
      <w:r>
        <w:rPr>
          <w:color w:val="auto"/>
        </w:rPr>
        <w:fldChar w:fldCharType="begin"/>
      </w:r>
      <w:r>
        <w:rPr>
          <w:color w:val="auto"/>
        </w:rPr>
        <w:instrText xml:space="preserve"> PAGEREF _Toc522716116 \h </w:instrText>
      </w:r>
      <w:r>
        <w:rPr>
          <w:color w:val="auto"/>
        </w:rPr>
        <w:fldChar w:fldCharType="separate"/>
      </w:r>
      <w:r>
        <w:rPr>
          <w:color w:val="auto"/>
        </w:rPr>
        <w:t>4</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"_Toc522716117" </w:instrText>
      </w:r>
      <w:r>
        <w:rPr>
          <w:color w:val="auto"/>
        </w:rPr>
        <w:fldChar w:fldCharType="separate"/>
      </w:r>
      <w:r>
        <w:rPr>
          <w:rStyle w:val="21"/>
          <w:color w:val="auto"/>
        </w:rPr>
        <w:t>3</w:t>
      </w:r>
      <w:r>
        <w:rPr>
          <w:b w:val="0"/>
          <w:bCs w:val="0"/>
          <w:caps w:val="0"/>
          <w:color w:val="auto"/>
          <w:szCs w:val="22"/>
        </w:rPr>
        <w:tab/>
      </w:r>
      <w:r>
        <w:rPr>
          <w:rStyle w:val="21"/>
          <w:color w:val="auto"/>
        </w:rPr>
        <w:t>参考文件</w:t>
      </w:r>
      <w:r>
        <w:rPr>
          <w:color w:val="auto"/>
        </w:rPr>
        <w:tab/>
      </w:r>
      <w:r>
        <w:rPr>
          <w:color w:val="auto"/>
        </w:rPr>
        <w:fldChar w:fldCharType="begin"/>
      </w:r>
      <w:r>
        <w:rPr>
          <w:color w:val="auto"/>
        </w:rPr>
        <w:instrText xml:space="preserve"> PAGEREF _Toc522716117 \h </w:instrText>
      </w:r>
      <w:r>
        <w:rPr>
          <w:color w:val="auto"/>
        </w:rPr>
        <w:fldChar w:fldCharType="separate"/>
      </w:r>
      <w:r>
        <w:rPr>
          <w:color w:val="auto"/>
        </w:rPr>
        <w:t>4</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"_Toc522716118" </w:instrText>
      </w:r>
      <w:r>
        <w:rPr>
          <w:color w:val="auto"/>
        </w:rPr>
        <w:fldChar w:fldCharType="separate"/>
      </w:r>
      <w:r>
        <w:rPr>
          <w:rStyle w:val="21"/>
          <w:color w:val="auto"/>
        </w:rPr>
        <w:t>4</w:t>
      </w:r>
      <w:r>
        <w:rPr>
          <w:b w:val="0"/>
          <w:bCs w:val="0"/>
          <w:caps w:val="0"/>
          <w:color w:val="auto"/>
          <w:szCs w:val="22"/>
        </w:rPr>
        <w:tab/>
      </w:r>
      <w:r>
        <w:rPr>
          <w:rStyle w:val="21"/>
          <w:color w:val="auto"/>
        </w:rPr>
        <w:t>职责</w:t>
      </w:r>
      <w:r>
        <w:rPr>
          <w:color w:val="auto"/>
        </w:rPr>
        <w:tab/>
      </w:r>
      <w:r>
        <w:rPr>
          <w:color w:val="auto"/>
        </w:rPr>
        <w:fldChar w:fldCharType="begin"/>
      </w:r>
      <w:r>
        <w:rPr>
          <w:color w:val="auto"/>
        </w:rPr>
        <w:instrText xml:space="preserve"> PAGEREF _Toc522716118 \h </w:instrText>
      </w:r>
      <w:r>
        <w:rPr>
          <w:color w:val="auto"/>
        </w:rPr>
        <w:fldChar w:fldCharType="separate"/>
      </w:r>
      <w:r>
        <w:rPr>
          <w:color w:val="auto"/>
        </w:rPr>
        <w:t>4</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"_Toc522716119" </w:instrText>
      </w:r>
      <w:r>
        <w:rPr>
          <w:color w:val="auto"/>
        </w:rPr>
        <w:fldChar w:fldCharType="separate"/>
      </w:r>
      <w:r>
        <w:rPr>
          <w:rStyle w:val="21"/>
          <w:color w:val="auto"/>
        </w:rPr>
        <w:t>5</w:t>
      </w:r>
      <w:r>
        <w:rPr>
          <w:b w:val="0"/>
          <w:bCs w:val="0"/>
          <w:caps w:val="0"/>
          <w:color w:val="auto"/>
          <w:szCs w:val="22"/>
        </w:rPr>
        <w:tab/>
      </w:r>
      <w:r>
        <w:rPr>
          <w:rStyle w:val="21"/>
          <w:color w:val="auto"/>
        </w:rPr>
        <w:t>系统描述</w:t>
      </w:r>
      <w:r>
        <w:rPr>
          <w:color w:val="auto"/>
        </w:rPr>
        <w:tab/>
      </w:r>
      <w:r>
        <w:rPr>
          <w:color w:val="auto"/>
        </w:rPr>
        <w:fldChar w:fldCharType="begin"/>
      </w:r>
      <w:r>
        <w:rPr>
          <w:color w:val="auto"/>
        </w:rPr>
        <w:instrText xml:space="preserve"> PAGEREF _Toc522716119 \h </w:instrText>
      </w:r>
      <w:r>
        <w:rPr>
          <w:color w:val="auto"/>
        </w:rPr>
        <w:fldChar w:fldCharType="separate"/>
      </w:r>
      <w:r>
        <w:rPr>
          <w:color w:val="auto"/>
        </w:rPr>
        <w:t>5</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"_Toc522716120" </w:instrText>
      </w:r>
      <w:r>
        <w:rPr>
          <w:color w:val="auto"/>
        </w:rPr>
        <w:fldChar w:fldCharType="separate"/>
      </w:r>
      <w:r>
        <w:rPr>
          <w:rStyle w:val="21"/>
          <w:color w:val="auto"/>
        </w:rPr>
        <w:t>6</w:t>
      </w:r>
      <w:r>
        <w:rPr>
          <w:b w:val="0"/>
          <w:bCs w:val="0"/>
          <w:caps w:val="0"/>
          <w:color w:val="auto"/>
          <w:szCs w:val="22"/>
        </w:rPr>
        <w:tab/>
      </w:r>
      <w:r>
        <w:rPr>
          <w:rStyle w:val="21"/>
          <w:color w:val="auto"/>
        </w:rPr>
        <w:t>安装要求</w:t>
      </w:r>
      <w:r>
        <w:rPr>
          <w:color w:val="auto"/>
        </w:rPr>
        <w:tab/>
      </w:r>
      <w:r>
        <w:rPr>
          <w:color w:val="auto"/>
        </w:rPr>
        <w:fldChar w:fldCharType="begin"/>
      </w:r>
      <w:r>
        <w:rPr>
          <w:color w:val="auto"/>
        </w:rPr>
        <w:instrText xml:space="preserve"> PAGEREF _Toc522716120 \h </w:instrText>
      </w:r>
      <w:r>
        <w:rPr>
          <w:color w:val="auto"/>
        </w:rPr>
        <w:fldChar w:fldCharType="separate"/>
      </w:r>
      <w:r>
        <w:rPr>
          <w:color w:val="auto"/>
        </w:rPr>
        <w:t>5</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"_Toc522716121" </w:instrText>
      </w:r>
      <w:r>
        <w:rPr>
          <w:color w:val="auto"/>
        </w:rPr>
        <w:fldChar w:fldCharType="separate"/>
      </w:r>
      <w:r>
        <w:rPr>
          <w:rStyle w:val="21"/>
          <w:color w:val="auto"/>
        </w:rPr>
        <w:t>7</w:t>
      </w:r>
      <w:r>
        <w:rPr>
          <w:b w:val="0"/>
          <w:bCs w:val="0"/>
          <w:caps w:val="0"/>
          <w:color w:val="auto"/>
          <w:szCs w:val="22"/>
        </w:rPr>
        <w:tab/>
      </w:r>
      <w:r>
        <w:rPr>
          <w:rStyle w:val="21"/>
          <w:color w:val="auto"/>
        </w:rPr>
        <w:t>运行要求</w:t>
      </w:r>
      <w:r>
        <w:rPr>
          <w:color w:val="auto"/>
        </w:rPr>
        <w:tab/>
      </w:r>
      <w:r>
        <w:rPr>
          <w:color w:val="auto"/>
        </w:rPr>
        <w:fldChar w:fldCharType="begin"/>
      </w:r>
      <w:r>
        <w:rPr>
          <w:color w:val="auto"/>
        </w:rPr>
        <w:instrText xml:space="preserve"> PAGEREF _Toc522716121 \h </w:instrText>
      </w:r>
      <w:r>
        <w:rPr>
          <w:color w:val="auto"/>
        </w:rPr>
        <w:fldChar w:fldCharType="separate"/>
      </w:r>
      <w:r>
        <w:rPr>
          <w:color w:val="auto"/>
        </w:rPr>
        <w:t>7</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"_Toc522716122" </w:instrText>
      </w:r>
      <w:r>
        <w:rPr>
          <w:color w:val="auto"/>
        </w:rPr>
        <w:fldChar w:fldCharType="separate"/>
      </w:r>
      <w:r>
        <w:rPr>
          <w:rStyle w:val="21"/>
          <w:color w:val="auto"/>
        </w:rPr>
        <w:t>8</w:t>
      </w:r>
      <w:r>
        <w:rPr>
          <w:b w:val="0"/>
          <w:bCs w:val="0"/>
          <w:caps w:val="0"/>
          <w:color w:val="auto"/>
          <w:szCs w:val="22"/>
        </w:rPr>
        <w:tab/>
      </w:r>
      <w:r>
        <w:rPr>
          <w:rStyle w:val="21"/>
          <w:color w:val="auto"/>
        </w:rPr>
        <w:t>电气、自动控制要求</w:t>
      </w:r>
      <w:r>
        <w:rPr>
          <w:color w:val="auto"/>
        </w:rPr>
        <w:tab/>
      </w:r>
      <w:r>
        <w:rPr>
          <w:color w:val="auto"/>
        </w:rPr>
        <w:fldChar w:fldCharType="begin"/>
      </w:r>
      <w:r>
        <w:rPr>
          <w:color w:val="auto"/>
        </w:rPr>
        <w:instrText xml:space="preserve"> PAGEREF _Toc522716122 \h </w:instrText>
      </w:r>
      <w:r>
        <w:rPr>
          <w:color w:val="auto"/>
        </w:rPr>
        <w:fldChar w:fldCharType="separate"/>
      </w:r>
      <w:r>
        <w:rPr>
          <w:color w:val="auto"/>
        </w:rPr>
        <w:t>8</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"_Toc522716123" </w:instrText>
      </w:r>
      <w:r>
        <w:rPr>
          <w:color w:val="auto"/>
        </w:rPr>
        <w:fldChar w:fldCharType="separate"/>
      </w:r>
      <w:r>
        <w:rPr>
          <w:rStyle w:val="21"/>
          <w:color w:val="auto"/>
        </w:rPr>
        <w:t>9</w:t>
      </w:r>
      <w:r>
        <w:rPr>
          <w:b w:val="0"/>
          <w:bCs w:val="0"/>
          <w:caps w:val="0"/>
          <w:color w:val="auto"/>
          <w:szCs w:val="22"/>
        </w:rPr>
        <w:tab/>
      </w:r>
      <w:r>
        <w:rPr>
          <w:rStyle w:val="21"/>
          <w:color w:val="auto"/>
        </w:rPr>
        <w:t>安全要求</w:t>
      </w:r>
      <w:r>
        <w:rPr>
          <w:color w:val="auto"/>
        </w:rPr>
        <w:tab/>
      </w:r>
      <w:r>
        <w:rPr>
          <w:color w:val="auto"/>
        </w:rPr>
        <w:fldChar w:fldCharType="begin"/>
      </w:r>
      <w:r>
        <w:rPr>
          <w:color w:val="auto"/>
        </w:rPr>
        <w:instrText xml:space="preserve"> PAGEREF _Toc522716123 \h </w:instrText>
      </w:r>
      <w:r>
        <w:rPr>
          <w:color w:val="auto"/>
        </w:rPr>
        <w:fldChar w:fldCharType="separate"/>
      </w:r>
      <w:r>
        <w:rPr>
          <w:color w:val="auto"/>
        </w:rPr>
        <w:t>9</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"_Toc522716124" </w:instrText>
      </w:r>
      <w:r>
        <w:rPr>
          <w:color w:val="auto"/>
        </w:rPr>
        <w:fldChar w:fldCharType="separate"/>
      </w:r>
      <w:r>
        <w:rPr>
          <w:rStyle w:val="21"/>
          <w:color w:val="auto"/>
        </w:rPr>
        <w:t>10</w:t>
      </w:r>
      <w:r>
        <w:rPr>
          <w:b w:val="0"/>
          <w:bCs w:val="0"/>
          <w:caps w:val="0"/>
          <w:color w:val="auto"/>
          <w:szCs w:val="22"/>
        </w:rPr>
        <w:tab/>
      </w:r>
      <w:r>
        <w:rPr>
          <w:rStyle w:val="21"/>
          <w:color w:val="auto"/>
        </w:rPr>
        <w:t>文件要求</w:t>
      </w:r>
      <w:r>
        <w:rPr>
          <w:color w:val="auto"/>
        </w:rPr>
        <w:tab/>
      </w:r>
      <w:r>
        <w:rPr>
          <w:color w:val="auto"/>
        </w:rPr>
        <w:fldChar w:fldCharType="begin"/>
      </w:r>
      <w:r>
        <w:rPr>
          <w:color w:val="auto"/>
        </w:rPr>
        <w:instrText xml:space="preserve"> PAGEREF _Toc522716124 \h </w:instrText>
      </w:r>
      <w:r>
        <w:rPr>
          <w:color w:val="auto"/>
        </w:rPr>
        <w:fldChar w:fldCharType="separate"/>
      </w:r>
      <w:r>
        <w:rPr>
          <w:color w:val="auto"/>
        </w:rPr>
        <w:t>9</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"_Toc522716125" </w:instrText>
      </w:r>
      <w:r>
        <w:rPr>
          <w:color w:val="auto"/>
        </w:rPr>
        <w:fldChar w:fldCharType="separate"/>
      </w:r>
      <w:r>
        <w:rPr>
          <w:rStyle w:val="21"/>
          <w:color w:val="auto"/>
        </w:rPr>
        <w:t>11</w:t>
      </w:r>
      <w:r>
        <w:rPr>
          <w:b w:val="0"/>
          <w:bCs w:val="0"/>
          <w:caps w:val="0"/>
          <w:color w:val="auto"/>
          <w:szCs w:val="22"/>
        </w:rPr>
        <w:tab/>
      </w:r>
      <w:r>
        <w:rPr>
          <w:rStyle w:val="21"/>
          <w:color w:val="auto"/>
        </w:rPr>
        <w:t>服务要求</w:t>
      </w:r>
      <w:r>
        <w:rPr>
          <w:color w:val="auto"/>
        </w:rPr>
        <w:tab/>
      </w:r>
      <w:r>
        <w:rPr>
          <w:color w:val="auto"/>
        </w:rPr>
        <w:fldChar w:fldCharType="begin"/>
      </w:r>
      <w:r>
        <w:rPr>
          <w:color w:val="auto"/>
        </w:rPr>
        <w:instrText xml:space="preserve"> PAGEREF _Toc522716125 \h </w:instrText>
      </w:r>
      <w:r>
        <w:rPr>
          <w:color w:val="auto"/>
        </w:rPr>
        <w:fldChar w:fldCharType="separate"/>
      </w:r>
      <w:r>
        <w:rPr>
          <w:color w:val="auto"/>
        </w:rPr>
        <w:t>10</w:t>
      </w:r>
      <w:r>
        <w:rPr>
          <w:color w:val="auto"/>
        </w:rPr>
        <w:fldChar w:fldCharType="end"/>
      </w:r>
      <w:r>
        <w:rPr>
          <w:color w:val="auto"/>
        </w:rPr>
        <w:fldChar w:fldCharType="end"/>
      </w:r>
    </w:p>
    <w:p>
      <w:pPr>
        <w:pStyle w:val="16"/>
        <w:rPr>
          <w:b w:val="0"/>
          <w:bCs w:val="0"/>
          <w:caps w:val="0"/>
          <w:color w:val="auto"/>
          <w:szCs w:val="22"/>
        </w:rPr>
      </w:pPr>
      <w:r>
        <w:rPr>
          <w:color w:val="auto"/>
        </w:rPr>
        <w:fldChar w:fldCharType="begin"/>
      </w:r>
      <w:r>
        <w:rPr>
          <w:color w:val="auto"/>
        </w:rPr>
        <w:instrText xml:space="preserve"> HYPERLINK \l "_Toc522716126" </w:instrText>
      </w:r>
      <w:r>
        <w:rPr>
          <w:color w:val="auto"/>
        </w:rPr>
        <w:fldChar w:fldCharType="separate"/>
      </w:r>
      <w:r>
        <w:rPr>
          <w:rStyle w:val="21"/>
          <w:color w:val="auto"/>
        </w:rPr>
        <w:t>12</w:t>
      </w:r>
      <w:r>
        <w:rPr>
          <w:b w:val="0"/>
          <w:bCs w:val="0"/>
          <w:caps w:val="0"/>
          <w:color w:val="auto"/>
          <w:szCs w:val="22"/>
        </w:rPr>
        <w:tab/>
      </w:r>
      <w:r>
        <w:rPr>
          <w:rStyle w:val="21"/>
          <w:color w:val="auto"/>
        </w:rPr>
        <w:t>附件</w:t>
      </w:r>
      <w:r>
        <w:rPr>
          <w:color w:val="auto"/>
        </w:rPr>
        <w:tab/>
      </w:r>
      <w:r>
        <w:rPr>
          <w:color w:val="auto"/>
        </w:rPr>
        <w:fldChar w:fldCharType="begin"/>
      </w:r>
      <w:r>
        <w:rPr>
          <w:color w:val="auto"/>
        </w:rPr>
        <w:instrText xml:space="preserve"> PAGEREF _Toc522716126 \h </w:instrText>
      </w:r>
      <w:r>
        <w:rPr>
          <w:color w:val="auto"/>
        </w:rPr>
        <w:fldChar w:fldCharType="separate"/>
      </w:r>
      <w:r>
        <w:rPr>
          <w:color w:val="auto"/>
        </w:rPr>
        <w:t>12</w:t>
      </w:r>
      <w:r>
        <w:rPr>
          <w:color w:val="auto"/>
        </w:rPr>
        <w:fldChar w:fldCharType="end"/>
      </w:r>
      <w:r>
        <w:rPr>
          <w:color w:val="auto"/>
        </w:rPr>
        <w:fldChar w:fldCharType="end"/>
      </w:r>
    </w:p>
    <w:p>
      <w:pPr>
        <w:rPr>
          <w:color w:val="auto"/>
        </w:rPr>
      </w:pPr>
      <w:r>
        <w:rPr>
          <w:color w:val="auto"/>
        </w:rPr>
        <w:fldChar w:fldCharType="end"/>
      </w:r>
      <w:permEnd w:id="2"/>
    </w:p>
    <w:p>
      <w:pPr>
        <w:adjustRightInd/>
        <w:textAlignment w:val="auto"/>
        <w:rPr>
          <w:b/>
          <w:bCs/>
          <w:caps/>
          <w:color w:val="auto"/>
          <w:kern w:val="2"/>
          <w:szCs w:val="21"/>
          <w:lang w:eastAsia="zh-CN"/>
        </w:rPr>
      </w:pPr>
    </w:p>
    <w:p>
      <w:pPr>
        <w:adjustRightInd/>
        <w:textAlignment w:val="auto"/>
        <w:rPr>
          <w:b/>
          <w:bCs/>
          <w:caps/>
          <w:color w:val="auto"/>
          <w:kern w:val="2"/>
          <w:szCs w:val="21"/>
          <w:lang w:eastAsia="zh-CN"/>
        </w:rPr>
      </w:pPr>
    </w:p>
    <w:p>
      <w:pPr>
        <w:adjustRightInd/>
        <w:textAlignment w:val="auto"/>
        <w:rPr>
          <w:b/>
          <w:bCs/>
          <w:caps/>
          <w:color w:val="auto"/>
          <w:kern w:val="2"/>
          <w:szCs w:val="21"/>
          <w:lang w:eastAsia="zh-CN"/>
        </w:rPr>
      </w:pPr>
    </w:p>
    <w:p>
      <w:pPr>
        <w:adjustRightInd/>
        <w:textAlignment w:val="auto"/>
        <w:rPr>
          <w:b/>
          <w:bCs/>
          <w:caps/>
          <w:color w:val="auto"/>
          <w:kern w:val="2"/>
          <w:szCs w:val="21"/>
          <w:lang w:eastAsia="zh-CN"/>
        </w:rPr>
      </w:pPr>
    </w:p>
    <w:p>
      <w:pPr>
        <w:pStyle w:val="30"/>
        <w:numPr>
          <w:ilvl w:val="0"/>
          <w:numId w:val="3"/>
        </w:numPr>
        <w:spacing w:after="158" w:afterLines="50"/>
        <w:ind w:left="426" w:hanging="426" w:hangingChars="202"/>
        <w:outlineLvl w:val="0"/>
        <w:rPr>
          <w:rFonts w:ascii="Times New Roman" w:hAnsi="Times New Roman"/>
          <w:b/>
          <w:color w:val="auto"/>
        </w:rPr>
      </w:pPr>
      <w:bookmarkStart w:id="5" w:name="_Toc522716115"/>
      <w:bookmarkStart w:id="6" w:name="_Toc522107735"/>
      <w:r>
        <w:rPr>
          <w:rFonts w:ascii="Times New Roman" w:hAnsi="Times New Roman"/>
          <w:b/>
          <w:color w:val="auto"/>
        </w:rPr>
        <w:t>目的</w:t>
      </w:r>
      <w:bookmarkEnd w:id="5"/>
      <w:bookmarkEnd w:id="6"/>
    </w:p>
    <w:p>
      <w:pPr>
        <w:pStyle w:val="34"/>
        <w:spacing w:before="0" w:line="360" w:lineRule="auto"/>
        <w:ind w:left="357"/>
        <w:jc w:val="left"/>
        <w:rPr>
          <w:color w:val="auto"/>
          <w:szCs w:val="21"/>
          <w:lang w:eastAsia="zh-CN"/>
        </w:rPr>
      </w:pPr>
      <w:bookmarkStart w:id="7" w:name="_Toc482370061"/>
      <w:bookmarkStart w:id="8" w:name="_Toc482370757"/>
      <w:bookmarkStart w:id="9" w:name="_Toc482370349"/>
      <w:bookmarkStart w:id="10" w:name="_Toc482369805"/>
      <w:bookmarkStart w:id="11" w:name="_Toc481702475"/>
      <w:bookmarkStart w:id="12" w:name="_Toc482625279"/>
      <w:bookmarkStart w:id="13" w:name="_Toc482360281"/>
      <w:bookmarkStart w:id="14" w:name="_Toc482359936"/>
      <w:bookmarkStart w:id="15" w:name="_Toc482370141"/>
      <w:r>
        <w:rPr>
          <w:color w:val="auto"/>
          <w:szCs w:val="21"/>
          <w:lang w:eastAsia="zh-CN"/>
        </w:rPr>
        <w:t>本文件的目的是描述武汉生物制品研究所有限责任公司</w:t>
      </w:r>
      <w:permStart w:id="3" w:edGrp="everyone"/>
      <w:r>
        <w:rPr>
          <w:rFonts w:hint="eastAsia"/>
          <w:color w:val="auto"/>
          <w:szCs w:val="21"/>
          <w:lang w:eastAsia="zh-CN"/>
        </w:rPr>
        <w:t>中生武汉安全实验室2号楼层析柱</w:t>
      </w:r>
      <w:permEnd w:id="3"/>
      <w:r>
        <w:rPr>
          <w:color w:val="auto"/>
          <w:szCs w:val="21"/>
          <w:lang w:eastAsia="zh-CN"/>
        </w:rPr>
        <w:t>的用户需求说明（URS），以确保最终用户的需求在项目设计阶段得以实现，并作为后续验证工作的基础。</w:t>
      </w:r>
    </w:p>
    <w:p>
      <w:pPr>
        <w:pStyle w:val="34"/>
        <w:spacing w:before="0"/>
        <w:ind w:left="360"/>
        <w:rPr>
          <w:color w:val="auto"/>
          <w:szCs w:val="21"/>
          <w:lang w:eastAsia="zh-CN"/>
        </w:rPr>
      </w:pPr>
    </w:p>
    <w:p>
      <w:pPr>
        <w:pStyle w:val="30"/>
        <w:numPr>
          <w:ilvl w:val="0"/>
          <w:numId w:val="3"/>
        </w:numPr>
        <w:spacing w:after="158" w:afterLines="50"/>
        <w:ind w:left="426" w:hanging="426" w:hangingChars="202"/>
        <w:outlineLvl w:val="0"/>
        <w:rPr>
          <w:rFonts w:ascii="Times New Roman" w:hAnsi="Times New Roman"/>
          <w:b/>
          <w:color w:val="auto"/>
        </w:rPr>
      </w:pPr>
      <w:bookmarkStart w:id="16" w:name="_Toc522716116"/>
      <w:bookmarkStart w:id="17" w:name="_Toc522107736"/>
      <w:r>
        <w:rPr>
          <w:rFonts w:ascii="Times New Roman" w:hAnsi="Times New Roman"/>
          <w:b/>
          <w:color w:val="auto"/>
        </w:rPr>
        <w:t>范围</w:t>
      </w:r>
      <w:bookmarkEnd w:id="16"/>
      <w:bookmarkEnd w:id="17"/>
    </w:p>
    <w:p>
      <w:pPr>
        <w:pStyle w:val="34"/>
        <w:spacing w:before="0" w:line="360" w:lineRule="auto"/>
        <w:ind w:left="357"/>
        <w:jc w:val="left"/>
        <w:rPr>
          <w:color w:val="auto"/>
          <w:szCs w:val="21"/>
          <w:lang w:eastAsia="zh-CN"/>
        </w:rPr>
      </w:pPr>
      <w:r>
        <w:rPr>
          <w:color w:val="auto"/>
          <w:szCs w:val="21"/>
          <w:lang w:eastAsia="zh-CN"/>
        </w:rPr>
        <w:t>本URS适用于武汉生物制品研究所有限责任公司</w:t>
      </w:r>
      <w:permStart w:id="4" w:edGrp="everyone"/>
      <w:r>
        <w:rPr>
          <w:rFonts w:hint="eastAsia"/>
          <w:color w:val="auto"/>
          <w:szCs w:val="21"/>
          <w:lang w:eastAsia="zh-CN"/>
        </w:rPr>
        <w:t>中生武汉安全实验室2号楼层析柱</w:t>
      </w:r>
      <w:permEnd w:id="4"/>
      <w:r>
        <w:rPr>
          <w:color w:val="auto"/>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color w:val="auto"/>
          <w:szCs w:val="21"/>
          <w:lang w:eastAsia="zh-CN"/>
        </w:rPr>
      </w:pPr>
    </w:p>
    <w:p>
      <w:pPr>
        <w:pStyle w:val="30"/>
        <w:numPr>
          <w:ilvl w:val="0"/>
          <w:numId w:val="3"/>
        </w:numPr>
        <w:spacing w:after="158" w:afterLines="50"/>
        <w:ind w:left="426" w:hanging="426" w:hangingChars="202"/>
        <w:outlineLvl w:val="0"/>
        <w:rPr>
          <w:rFonts w:ascii="Times New Roman" w:hAnsi="Times New Roman"/>
          <w:b/>
          <w:color w:val="auto"/>
        </w:rPr>
      </w:pPr>
      <w:bookmarkStart w:id="18" w:name="_Toc522716117"/>
      <w:bookmarkStart w:id="19" w:name="_Toc522107737"/>
      <w:r>
        <w:rPr>
          <w:rFonts w:ascii="Times New Roman" w:hAnsi="Times New Roman"/>
          <w:b/>
          <w:color w:val="auto"/>
        </w:rPr>
        <w:t>参考文件</w:t>
      </w:r>
      <w:bookmarkEnd w:id="18"/>
      <w:bookmarkEnd w:id="19"/>
    </w:p>
    <w:p>
      <w:pPr>
        <w:pStyle w:val="34"/>
        <w:numPr>
          <w:ilvl w:val="0"/>
          <w:numId w:val="4"/>
        </w:numPr>
        <w:spacing w:before="0" w:line="360" w:lineRule="auto"/>
        <w:jc w:val="left"/>
        <w:rPr>
          <w:color w:val="auto"/>
          <w:szCs w:val="21"/>
          <w:lang w:eastAsia="zh-CN"/>
        </w:rPr>
      </w:pPr>
      <w:r>
        <w:rPr>
          <w:color w:val="auto"/>
          <w:szCs w:val="21"/>
          <w:lang w:eastAsia="zh-CN"/>
        </w:rPr>
        <w:t>GMP法规指南和SOP</w:t>
      </w:r>
    </w:p>
    <w:p>
      <w:pPr>
        <w:pStyle w:val="34"/>
        <w:numPr>
          <w:ilvl w:val="0"/>
          <w:numId w:val="5"/>
        </w:numPr>
        <w:spacing w:before="0" w:line="360" w:lineRule="auto"/>
        <w:ind w:left="777"/>
        <w:jc w:val="left"/>
        <w:rPr>
          <w:color w:val="auto"/>
          <w:szCs w:val="21"/>
          <w:lang w:eastAsia="zh-CN"/>
        </w:rPr>
      </w:pPr>
      <w:r>
        <w:rPr>
          <w:color w:val="auto"/>
          <w:szCs w:val="21"/>
          <w:lang w:eastAsia="zh-CN"/>
        </w:rPr>
        <w:t>SOP-06-12-0005 用户需求编写审批SOP</w:t>
      </w:r>
      <w:bookmarkStart w:id="47" w:name="_GoBack"/>
      <w:bookmarkEnd w:id="47"/>
    </w:p>
    <w:p>
      <w:pPr>
        <w:pStyle w:val="34"/>
        <w:numPr>
          <w:ilvl w:val="0"/>
          <w:numId w:val="5"/>
        </w:numPr>
        <w:spacing w:before="0" w:line="360" w:lineRule="auto"/>
        <w:ind w:left="777"/>
        <w:jc w:val="left"/>
        <w:rPr>
          <w:rFonts w:ascii="宋体" w:hAnsi="宋体" w:cs="宋体"/>
          <w:color w:val="auto"/>
          <w:szCs w:val="21"/>
          <w:lang w:eastAsia="zh-CN"/>
        </w:rPr>
      </w:pPr>
      <w:permStart w:id="5" w:edGrp="everyone"/>
      <w:r>
        <w:rPr>
          <w:rFonts w:hint="eastAsia" w:ascii="宋体" w:hAnsi="宋体" w:cs="宋体"/>
          <w:color w:val="auto"/>
          <w:szCs w:val="21"/>
          <w:lang w:eastAsia="zh-CN"/>
        </w:rPr>
        <w:t>《药品生产质量管理规范》（2</w:t>
      </w:r>
      <w:r>
        <w:rPr>
          <w:rFonts w:ascii="宋体" w:hAnsi="宋体" w:cs="宋体"/>
          <w:color w:val="auto"/>
          <w:szCs w:val="21"/>
          <w:lang w:eastAsia="zh-CN"/>
        </w:rPr>
        <w:t>010</w:t>
      </w:r>
      <w:r>
        <w:rPr>
          <w:rFonts w:hint="eastAsia" w:ascii="宋体" w:hAnsi="宋体" w:cs="宋体"/>
          <w:color w:val="auto"/>
          <w:szCs w:val="21"/>
          <w:lang w:eastAsia="zh-CN"/>
        </w:rPr>
        <w:t>修订版）</w:t>
      </w:r>
    </w:p>
    <w:p>
      <w:pPr>
        <w:pStyle w:val="34"/>
        <w:numPr>
          <w:ilvl w:val="0"/>
          <w:numId w:val="5"/>
        </w:numPr>
        <w:spacing w:before="0" w:line="360" w:lineRule="auto"/>
        <w:ind w:left="777"/>
        <w:jc w:val="left"/>
        <w:rPr>
          <w:rFonts w:ascii="宋体" w:hAnsi="宋体" w:cs="宋体"/>
          <w:color w:val="auto"/>
          <w:szCs w:val="21"/>
          <w:lang w:eastAsia="zh-CN"/>
        </w:rPr>
      </w:pPr>
      <w:r>
        <w:rPr>
          <w:rFonts w:hint="eastAsia" w:ascii="宋体" w:hAnsi="宋体" w:cs="宋体"/>
          <w:color w:val="auto"/>
          <w:szCs w:val="21"/>
          <w:lang w:eastAsia="zh-CN"/>
        </w:rPr>
        <w:t>《药品GMP指南》无菌药品（2</w:t>
      </w:r>
      <w:r>
        <w:rPr>
          <w:rFonts w:ascii="宋体" w:hAnsi="宋体" w:cs="宋体"/>
          <w:color w:val="auto"/>
          <w:szCs w:val="21"/>
          <w:lang w:eastAsia="zh-CN"/>
        </w:rPr>
        <w:t>011</w:t>
      </w:r>
      <w:r>
        <w:rPr>
          <w:rFonts w:hint="eastAsia" w:ascii="宋体" w:hAnsi="宋体" w:cs="宋体"/>
          <w:color w:val="auto"/>
          <w:szCs w:val="21"/>
          <w:lang w:eastAsia="zh-CN"/>
        </w:rPr>
        <w:t>版）</w:t>
      </w:r>
    </w:p>
    <w:p>
      <w:pPr>
        <w:pStyle w:val="34"/>
        <w:numPr>
          <w:ilvl w:val="0"/>
          <w:numId w:val="5"/>
        </w:numPr>
        <w:spacing w:before="0" w:line="360" w:lineRule="auto"/>
        <w:ind w:left="777"/>
        <w:jc w:val="left"/>
        <w:rPr>
          <w:rFonts w:ascii="宋体" w:hAnsi="宋体" w:cs="宋体"/>
          <w:color w:val="auto"/>
          <w:szCs w:val="21"/>
          <w:lang w:eastAsia="zh-CN"/>
        </w:rPr>
      </w:pPr>
      <w:r>
        <w:rPr>
          <w:rFonts w:hint="eastAsia" w:ascii="宋体" w:hAnsi="宋体" w:cs="宋体"/>
          <w:color w:val="auto"/>
          <w:szCs w:val="21"/>
          <w:lang w:eastAsia="zh-CN"/>
        </w:rPr>
        <w:t>21 CFR Part 210（美国联邦法规生产，加工，包装和药品保存GMP；总则）</w:t>
      </w:r>
    </w:p>
    <w:p>
      <w:pPr>
        <w:pStyle w:val="34"/>
        <w:numPr>
          <w:ilvl w:val="0"/>
          <w:numId w:val="5"/>
        </w:numPr>
        <w:spacing w:before="0" w:line="360" w:lineRule="auto"/>
        <w:ind w:left="777"/>
        <w:jc w:val="left"/>
        <w:rPr>
          <w:rFonts w:ascii="宋体" w:hAnsi="宋体" w:cs="宋体"/>
          <w:color w:val="auto"/>
          <w:szCs w:val="21"/>
          <w:lang w:eastAsia="zh-CN"/>
        </w:rPr>
      </w:pPr>
      <w:r>
        <w:rPr>
          <w:rFonts w:hint="eastAsia" w:ascii="宋体" w:hAnsi="宋体" w:cs="宋体"/>
          <w:color w:val="auto"/>
          <w:szCs w:val="21"/>
        </w:rPr>
        <w:t>21 CFR Part 211（美国联邦法规，成品药现行GMP）</w:t>
      </w:r>
    </w:p>
    <w:p>
      <w:pPr>
        <w:pStyle w:val="34"/>
        <w:numPr>
          <w:ilvl w:val="0"/>
          <w:numId w:val="5"/>
        </w:numPr>
        <w:spacing w:before="0" w:line="360" w:lineRule="auto"/>
        <w:ind w:left="777"/>
        <w:jc w:val="left"/>
        <w:rPr>
          <w:rFonts w:ascii="宋体" w:hAnsi="宋体" w:cs="宋体"/>
          <w:color w:val="auto"/>
          <w:szCs w:val="21"/>
          <w:lang w:eastAsia="zh-CN"/>
        </w:rPr>
      </w:pPr>
      <w:r>
        <w:rPr>
          <w:rFonts w:hint="eastAsia" w:ascii="宋体" w:hAnsi="宋体" w:cs="宋体"/>
          <w:color w:val="auto"/>
          <w:szCs w:val="21"/>
          <w:lang w:eastAsia="zh-CN"/>
        </w:rPr>
        <w:t>21 CFR Part 11（美国联邦法规，电子记录；电子签名）</w:t>
      </w:r>
    </w:p>
    <w:p>
      <w:pPr>
        <w:pStyle w:val="34"/>
        <w:numPr>
          <w:ilvl w:val="0"/>
          <w:numId w:val="5"/>
        </w:numPr>
        <w:spacing w:before="0" w:line="360" w:lineRule="auto"/>
        <w:ind w:left="777"/>
        <w:jc w:val="left"/>
        <w:rPr>
          <w:rFonts w:ascii="宋体" w:hAnsi="宋体" w:cs="宋体"/>
          <w:color w:val="auto"/>
          <w:szCs w:val="21"/>
          <w:lang w:eastAsia="zh-CN"/>
        </w:rPr>
      </w:pPr>
      <w:r>
        <w:rPr>
          <w:rFonts w:hint="eastAsia" w:ascii="宋体" w:hAnsi="宋体" w:cs="宋体"/>
          <w:color w:val="auto"/>
          <w:szCs w:val="21"/>
        </w:rPr>
        <w:t>21 CFR Part 177 （美国联邦法规，间接食品添加剂：聚合体</w:t>
      </w:r>
      <w:r>
        <w:rPr>
          <w:rFonts w:hint="eastAsia" w:ascii="宋体" w:hAnsi="宋体" w:cs="宋体"/>
          <w:color w:val="auto"/>
          <w:szCs w:val="21"/>
          <w:lang w:eastAsia="zh-CN"/>
        </w:rPr>
        <w:t>）</w:t>
      </w:r>
    </w:p>
    <w:p>
      <w:pPr>
        <w:pStyle w:val="34"/>
        <w:numPr>
          <w:ilvl w:val="0"/>
          <w:numId w:val="5"/>
        </w:numPr>
        <w:spacing w:before="0" w:line="360" w:lineRule="auto"/>
        <w:ind w:left="777"/>
        <w:jc w:val="left"/>
        <w:rPr>
          <w:rFonts w:ascii="宋体" w:hAnsi="宋体" w:cs="宋体"/>
          <w:color w:val="auto"/>
          <w:szCs w:val="21"/>
          <w:lang w:eastAsia="zh-CN"/>
        </w:rPr>
      </w:pPr>
      <w:r>
        <w:rPr>
          <w:rFonts w:hint="eastAsia" w:ascii="宋体" w:hAnsi="宋体" w:cs="宋体"/>
          <w:color w:val="auto"/>
          <w:szCs w:val="21"/>
          <w:lang w:eastAsia="zh-CN"/>
        </w:rPr>
        <w:t>中国药典（2</w:t>
      </w:r>
      <w:r>
        <w:rPr>
          <w:rFonts w:ascii="宋体" w:hAnsi="宋体" w:cs="宋体"/>
          <w:color w:val="auto"/>
          <w:szCs w:val="21"/>
          <w:lang w:eastAsia="zh-CN"/>
        </w:rPr>
        <w:t>015</w:t>
      </w:r>
      <w:r>
        <w:rPr>
          <w:rFonts w:hint="eastAsia" w:ascii="宋体" w:hAnsi="宋体" w:cs="宋体"/>
          <w:color w:val="auto"/>
          <w:szCs w:val="21"/>
          <w:lang w:eastAsia="zh-CN"/>
        </w:rPr>
        <w:t>版）</w:t>
      </w:r>
    </w:p>
    <w:permEnd w:id="5"/>
    <w:p>
      <w:pPr>
        <w:pStyle w:val="34"/>
        <w:numPr>
          <w:ilvl w:val="0"/>
          <w:numId w:val="4"/>
        </w:numPr>
        <w:spacing w:before="0" w:line="360" w:lineRule="auto"/>
        <w:jc w:val="left"/>
        <w:rPr>
          <w:color w:val="auto"/>
          <w:szCs w:val="21"/>
          <w:lang w:eastAsia="zh-CN"/>
        </w:rPr>
      </w:pPr>
      <w:r>
        <w:rPr>
          <w:color w:val="auto"/>
          <w:szCs w:val="21"/>
          <w:lang w:eastAsia="zh-CN"/>
        </w:rPr>
        <w:t>安全及环保法规指南</w:t>
      </w:r>
    </w:p>
    <w:p>
      <w:pPr>
        <w:pStyle w:val="34"/>
        <w:numPr>
          <w:ilvl w:val="0"/>
          <w:numId w:val="5"/>
        </w:numPr>
        <w:spacing w:before="0" w:line="360" w:lineRule="auto"/>
        <w:ind w:left="777"/>
        <w:jc w:val="left"/>
        <w:rPr>
          <w:color w:val="auto"/>
          <w:szCs w:val="21"/>
          <w:lang w:eastAsia="zh-CN"/>
        </w:rPr>
      </w:pPr>
      <w:permStart w:id="6" w:edGrp="everyone"/>
      <w:r>
        <w:rPr>
          <w:color w:val="auto"/>
          <w:szCs w:val="21"/>
          <w:lang w:eastAsia="zh-CN"/>
        </w:rPr>
        <w:t>电气安全应符合GB4793.1和GB4793.4的要求</w:t>
      </w:r>
    </w:p>
    <w:p>
      <w:pPr>
        <w:pStyle w:val="34"/>
        <w:numPr>
          <w:ilvl w:val="0"/>
          <w:numId w:val="5"/>
        </w:numPr>
        <w:spacing w:before="0" w:line="360" w:lineRule="auto"/>
        <w:ind w:left="777"/>
        <w:jc w:val="left"/>
        <w:rPr>
          <w:color w:val="auto"/>
          <w:szCs w:val="21"/>
          <w:lang w:eastAsia="zh-CN"/>
        </w:rPr>
      </w:pPr>
      <w:r>
        <w:rPr>
          <w:rFonts w:hint="eastAsia" w:ascii="宋体" w:hAnsi="宋体" w:eastAsia="宋体" w:cs="宋体"/>
          <w:color w:val="auto"/>
          <w:szCs w:val="21"/>
          <w:lang w:eastAsia="zh-CN"/>
        </w:rPr>
        <w:t>《现场设备、工业管道焊接工程施工及验收规范》</w:t>
      </w:r>
      <w:r>
        <w:rPr>
          <w:rFonts w:hint="eastAsia" w:ascii="宋体" w:hAnsi="宋体" w:eastAsia="宋体" w:cs="宋体"/>
          <w:bCs/>
          <w:color w:val="auto"/>
          <w:szCs w:val="21"/>
          <w:lang w:eastAsia="zh-CN"/>
        </w:rPr>
        <w:t>（</w:t>
      </w:r>
      <w:r>
        <w:rPr>
          <w:rFonts w:eastAsia="宋体"/>
          <w:bCs/>
          <w:color w:val="auto"/>
          <w:szCs w:val="21"/>
          <w:lang w:eastAsia="zh-CN"/>
        </w:rPr>
        <w:t>GB50236-98</w:t>
      </w:r>
      <w:r>
        <w:rPr>
          <w:rFonts w:hint="eastAsia"/>
          <w:bCs/>
          <w:color w:val="auto"/>
          <w:sz w:val="24"/>
          <w:lang w:eastAsia="zh-CN"/>
        </w:rPr>
        <w:t>）</w:t>
      </w:r>
    </w:p>
    <w:permEnd w:id="6"/>
    <w:p>
      <w:pPr>
        <w:pStyle w:val="34"/>
        <w:spacing w:before="0" w:line="360" w:lineRule="auto"/>
        <w:ind w:left="357"/>
        <w:jc w:val="left"/>
        <w:rPr>
          <w:i/>
          <w:color w:val="auto"/>
          <w:szCs w:val="21"/>
          <w:lang w:eastAsia="zh-CN"/>
        </w:rPr>
      </w:pPr>
    </w:p>
    <w:p>
      <w:pPr>
        <w:pStyle w:val="30"/>
        <w:numPr>
          <w:ilvl w:val="0"/>
          <w:numId w:val="3"/>
        </w:numPr>
        <w:spacing w:after="158" w:afterLines="50"/>
        <w:ind w:left="426" w:hanging="426" w:hangingChars="202"/>
        <w:outlineLvl w:val="0"/>
        <w:rPr>
          <w:rFonts w:ascii="Times New Roman" w:hAnsi="Times New Roman"/>
          <w:b/>
          <w:color w:val="auto"/>
        </w:rPr>
      </w:pPr>
      <w:bookmarkStart w:id="20" w:name="_Toc522716119"/>
      <w:bookmarkStart w:id="21" w:name="_Toc522107739"/>
      <w:r>
        <w:rPr>
          <w:rFonts w:ascii="Times New Roman" w:hAnsi="Times New Roman"/>
          <w:b/>
          <w:color w:val="auto"/>
        </w:rPr>
        <w:t>系统描述</w:t>
      </w:r>
      <w:bookmarkEnd w:id="20"/>
      <w:bookmarkEnd w:id="21"/>
    </w:p>
    <w:p>
      <w:pPr>
        <w:pStyle w:val="34"/>
        <w:spacing w:before="0" w:line="360" w:lineRule="auto"/>
        <w:ind w:left="357"/>
        <w:jc w:val="left"/>
        <w:rPr>
          <w:i/>
          <w:color w:val="auto"/>
          <w:szCs w:val="21"/>
          <w:lang w:eastAsia="zh-CN"/>
        </w:rPr>
      </w:pPr>
      <w:permStart w:id="7" w:edGrp="everyone"/>
      <w:r>
        <w:rPr>
          <w:rFonts w:hint="eastAsia"/>
          <w:iCs/>
          <w:color w:val="auto"/>
          <w:szCs w:val="21"/>
          <w:lang w:eastAsia="zh-CN"/>
        </w:rPr>
        <w:t>中生武汉安全实验室2号楼需要购进3个层析柱，包括：2个300/750</w:t>
      </w:r>
      <w:r>
        <w:rPr>
          <w:rFonts w:hint="eastAsia"/>
          <w:iCs/>
          <w:color w:val="auto"/>
          <w:lang w:eastAsia="zh-CN"/>
        </w:rPr>
        <w:t>层析柱，1个450/</w:t>
      </w:r>
      <w:r>
        <w:rPr>
          <w:iCs/>
          <w:color w:val="auto"/>
          <w:lang w:eastAsia="zh-CN"/>
        </w:rPr>
        <w:t>50</w:t>
      </w:r>
      <w:r>
        <w:rPr>
          <w:rFonts w:hint="eastAsia"/>
          <w:iCs/>
          <w:color w:val="auto"/>
          <w:lang w:eastAsia="zh-CN"/>
        </w:rPr>
        <w:t>0</w:t>
      </w:r>
      <w:r>
        <w:rPr>
          <w:rFonts w:hint="eastAsia"/>
          <w:iCs/>
          <w:color w:val="auto"/>
          <w:szCs w:val="21"/>
          <w:lang w:eastAsia="zh-CN"/>
        </w:rPr>
        <w:t>层析柱，用于病毒的凝胶过滤、离子交换层析</w:t>
      </w:r>
      <w:r>
        <w:rPr>
          <w:iCs/>
          <w:color w:val="auto"/>
          <w:szCs w:val="21"/>
          <w:lang w:eastAsia="zh-CN"/>
        </w:rPr>
        <w:t>。</w:t>
      </w:r>
      <w:permEnd w:id="7"/>
    </w:p>
    <w:p>
      <w:pPr>
        <w:pStyle w:val="30"/>
        <w:numPr>
          <w:ilvl w:val="0"/>
          <w:numId w:val="3"/>
        </w:numPr>
        <w:spacing w:after="158" w:afterLines="50"/>
        <w:ind w:left="426" w:hanging="426" w:hangingChars="202"/>
        <w:outlineLvl w:val="0"/>
        <w:rPr>
          <w:rFonts w:ascii="Times New Roman" w:hAnsi="Times New Roman"/>
          <w:b/>
          <w:color w:val="auto"/>
          <w:szCs w:val="21"/>
        </w:rPr>
      </w:pPr>
      <w:bookmarkStart w:id="22" w:name="_Toc522716120"/>
      <w:r>
        <w:rPr>
          <w:rFonts w:ascii="Times New Roman" w:hAnsi="Times New Roman"/>
          <w:b/>
          <w:color w:val="auto"/>
          <w:szCs w:val="21"/>
        </w:rPr>
        <w:t>安装要求</w:t>
      </w:r>
      <w:bookmarkEnd w:id="22"/>
    </w:p>
    <w:p>
      <w:pPr>
        <w:pStyle w:val="30"/>
        <w:spacing w:after="158" w:afterLines="50"/>
        <w:ind w:left="425" w:firstLine="0" w:firstLineChars="0"/>
        <w:rPr>
          <w:rFonts w:ascii="Times New Roman" w:hAnsi="Times New Roman"/>
          <w:color w:val="auto"/>
          <w:szCs w:val="21"/>
        </w:rPr>
      </w:pPr>
      <w:permStart w:id="8" w:edGrp="everyone"/>
      <w:permEnd w:id="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color w:val="auto"/>
                <w:szCs w:val="21"/>
              </w:rPr>
            </w:pPr>
            <w:bookmarkStart w:id="23" w:name="OLE_LINK2"/>
            <w:bookmarkStart w:id="24" w:name="OLE_LINK1"/>
            <w:r>
              <w:rPr>
                <w:b/>
                <w:color w:val="auto"/>
                <w:szCs w:val="21"/>
              </w:rPr>
              <w:t>编号</w:t>
            </w:r>
          </w:p>
        </w:tc>
        <w:tc>
          <w:tcPr>
            <w:tcW w:w="7128" w:type="dxa"/>
            <w:shd w:val="clear" w:color="auto" w:fill="D9D9D9"/>
            <w:vAlign w:val="center"/>
          </w:tcPr>
          <w:p>
            <w:pPr>
              <w:jc w:val="center"/>
              <w:rPr>
                <w:b/>
                <w:color w:val="auto"/>
                <w:szCs w:val="21"/>
                <w:lang w:eastAsia="zh-CN"/>
              </w:rPr>
            </w:pPr>
            <w:r>
              <w:rPr>
                <w:b/>
                <w:color w:val="auto"/>
                <w:szCs w:val="21"/>
                <w:lang w:eastAsia="zh-CN"/>
              </w:rPr>
              <w:t>需求</w:t>
            </w:r>
          </w:p>
        </w:tc>
        <w:tc>
          <w:tcPr>
            <w:tcW w:w="2125" w:type="dxa"/>
            <w:shd w:val="clear" w:color="auto" w:fill="D9D9D9"/>
            <w:vAlign w:val="center"/>
          </w:tcPr>
          <w:p>
            <w:pPr>
              <w:jc w:val="center"/>
              <w:rPr>
                <w:b/>
                <w:color w:val="auto"/>
                <w:szCs w:val="21"/>
                <w:lang w:eastAsia="zh-CN"/>
              </w:rPr>
            </w:pPr>
            <w:r>
              <w:rPr>
                <w:b/>
                <w:color w:val="auto"/>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9" w:edGrp="everyone"/>
          </w:p>
        </w:tc>
        <w:tc>
          <w:tcPr>
            <w:tcW w:w="7128" w:type="dxa"/>
            <w:vAlign w:val="center"/>
          </w:tcPr>
          <w:p>
            <w:pPr>
              <w:spacing w:line="276" w:lineRule="auto"/>
              <w:jc w:val="both"/>
              <w:rPr>
                <w:i/>
                <w:color w:val="auto"/>
                <w:szCs w:val="21"/>
                <w:lang w:val="en-US" w:eastAsia="zh-CN"/>
              </w:rPr>
            </w:pPr>
            <w:r>
              <w:rPr>
                <w:rFonts w:hint="eastAsia"/>
                <w:color w:val="auto"/>
                <w:szCs w:val="21"/>
                <w:lang w:eastAsia="zh-CN"/>
              </w:rPr>
              <w:t>此设备安装在</w:t>
            </w:r>
            <w:r>
              <w:rPr>
                <w:rFonts w:hint="eastAsia"/>
                <w:color w:val="auto"/>
                <w:szCs w:val="21"/>
                <w:lang w:val="en-US" w:eastAsia="zh-CN"/>
              </w:rPr>
              <w:t>中生武汉安全实验室2号楼3楼纯化车间，匹配AKTA process纯化系统。</w:t>
            </w:r>
          </w:p>
        </w:tc>
        <w:tc>
          <w:tcPr>
            <w:tcW w:w="2125" w:type="dxa"/>
            <w:vAlign w:val="center"/>
          </w:tcPr>
          <w:p>
            <w:pPr>
              <w:jc w:val="both"/>
              <w:rPr>
                <w:i/>
                <w:color w:val="auto"/>
                <w:szCs w:val="21"/>
                <w:lang w:eastAsia="zh-CN"/>
              </w:rPr>
            </w:pPr>
            <w:r>
              <w:rPr>
                <w:rFonts w:hint="eastAsia"/>
                <w:iCs/>
                <w:color w:val="auto"/>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10" w:edGrp="everyone"/>
          </w:p>
        </w:tc>
        <w:tc>
          <w:tcPr>
            <w:tcW w:w="7128" w:type="dxa"/>
            <w:vAlign w:val="center"/>
          </w:tcPr>
          <w:p>
            <w:pPr>
              <w:spacing w:line="276" w:lineRule="auto"/>
              <w:jc w:val="both"/>
              <w:rPr>
                <w:i/>
                <w:color w:val="auto"/>
                <w:szCs w:val="21"/>
                <w:lang w:eastAsia="zh-CN"/>
              </w:rPr>
            </w:pPr>
            <w:r>
              <w:rPr>
                <w:color w:val="auto"/>
                <w:szCs w:val="21"/>
                <w:lang w:eastAsia="zh-CN"/>
              </w:rPr>
              <w:t>设备的形式尺寸应符合制造商说明书及技术文件规定的要求。</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color w:val="auto"/>
                <w:szCs w:val="21"/>
              </w:rPr>
            </w:pPr>
            <w:permStart w:id="11" w:edGrp="everyone"/>
            <w:permEnd w:id="11"/>
          </w:p>
        </w:tc>
        <w:tc>
          <w:tcPr>
            <w:tcW w:w="9253" w:type="dxa"/>
            <w:gridSpan w:val="2"/>
            <w:shd w:val="clear" w:color="auto" w:fill="D9D9D9"/>
            <w:vAlign w:val="center"/>
          </w:tcPr>
          <w:p>
            <w:pPr>
              <w:jc w:val="both"/>
              <w:rPr>
                <w:color w:val="auto"/>
                <w:szCs w:val="21"/>
                <w:lang w:eastAsia="zh-CN"/>
              </w:rPr>
            </w:pPr>
            <w:r>
              <w:rPr>
                <w:color w:val="auto"/>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12" w:edGrp="everyone"/>
          </w:p>
        </w:tc>
        <w:tc>
          <w:tcPr>
            <w:tcW w:w="7128" w:type="dxa"/>
            <w:vAlign w:val="center"/>
          </w:tcPr>
          <w:p>
            <w:pPr>
              <w:spacing w:line="276" w:lineRule="auto"/>
              <w:jc w:val="both"/>
              <w:rPr>
                <w:i/>
                <w:color w:val="auto"/>
                <w:szCs w:val="21"/>
                <w:lang w:eastAsia="zh-CN"/>
              </w:rPr>
            </w:pPr>
            <w:r>
              <w:rPr>
                <w:rFonts w:hint="eastAsia"/>
                <w:color w:val="auto"/>
                <w:szCs w:val="21"/>
                <w:lang w:eastAsia="zh-CN"/>
              </w:rPr>
              <w:t>其重量不超出房间地面（</w:t>
            </w:r>
            <w:r>
              <w:rPr>
                <w:color w:val="auto"/>
                <w:szCs w:val="21"/>
                <w:lang w:eastAsia="zh-CN"/>
              </w:rPr>
              <w:t>1.2</w:t>
            </w:r>
            <w:r>
              <w:rPr>
                <w:rFonts w:hint="eastAsia"/>
                <w:color w:val="auto"/>
                <w:szCs w:val="21"/>
                <w:lang w:eastAsia="zh-CN"/>
              </w:rPr>
              <w:t>吨</w:t>
            </w:r>
            <w:r>
              <w:rPr>
                <w:color w:val="auto"/>
                <w:szCs w:val="21"/>
                <w:lang w:eastAsia="zh-CN"/>
              </w:rPr>
              <w:t>/</w:t>
            </w:r>
            <w:r>
              <w:rPr>
                <w:rFonts w:hint="eastAsia"/>
                <w:color w:val="auto"/>
                <w:szCs w:val="21"/>
                <w:lang w:eastAsia="zh-CN"/>
              </w:rPr>
              <w:t>平米）承重要求。</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13" w:edGrp="everyone"/>
          </w:p>
        </w:tc>
        <w:tc>
          <w:tcPr>
            <w:tcW w:w="7128" w:type="dxa"/>
            <w:vAlign w:val="center"/>
          </w:tcPr>
          <w:p>
            <w:pPr>
              <w:spacing w:line="276" w:lineRule="auto"/>
              <w:jc w:val="both"/>
              <w:rPr>
                <w:color w:val="auto"/>
                <w:szCs w:val="21"/>
                <w:lang w:val="en-US" w:eastAsia="zh-CN"/>
              </w:rPr>
            </w:pPr>
            <w:r>
              <w:rPr>
                <w:rFonts w:hint="eastAsia"/>
                <w:color w:val="auto"/>
                <w:szCs w:val="21"/>
                <w:lang w:eastAsia="zh-CN"/>
              </w:rPr>
              <w:t>正压气体、纯化水、注射用水。</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14" w:edGrp="everyone"/>
          </w:p>
        </w:tc>
        <w:tc>
          <w:tcPr>
            <w:tcW w:w="7128" w:type="dxa"/>
            <w:vAlign w:val="center"/>
          </w:tcPr>
          <w:p>
            <w:pPr>
              <w:spacing w:line="276" w:lineRule="auto"/>
              <w:jc w:val="both"/>
              <w:rPr>
                <w:color w:val="auto"/>
                <w:szCs w:val="21"/>
                <w:lang w:eastAsia="zh-CN"/>
              </w:rPr>
            </w:pPr>
            <w:r>
              <w:rPr>
                <w:rFonts w:hint="eastAsia"/>
                <w:color w:val="auto"/>
                <w:lang w:val="en-US" w:eastAsia="zh-CN"/>
              </w:rPr>
              <w:t>适用于我公司</w:t>
            </w:r>
            <w:r>
              <w:rPr>
                <w:color w:val="auto"/>
                <w:lang w:eastAsia="zh-CN"/>
              </w:rPr>
              <w:t>工作环境温度：能适应</w:t>
            </w:r>
            <w:r>
              <w:rPr>
                <w:rFonts w:hint="eastAsia"/>
                <w:color w:val="auto"/>
                <w:lang w:eastAsia="zh-CN"/>
              </w:rPr>
              <w:t>18℃</w:t>
            </w:r>
            <w:r>
              <w:rPr>
                <w:color w:val="auto"/>
                <w:lang w:eastAsia="zh-CN"/>
              </w:rPr>
              <w:t>～</w:t>
            </w:r>
            <w:r>
              <w:rPr>
                <w:rFonts w:hint="eastAsia"/>
                <w:color w:val="auto"/>
                <w:lang w:eastAsia="zh-CN"/>
              </w:rPr>
              <w:t>26℃</w:t>
            </w:r>
            <w:r>
              <w:rPr>
                <w:color w:val="auto"/>
                <w:lang w:eastAsia="zh-CN"/>
              </w:rPr>
              <w:t>环境</w:t>
            </w:r>
            <w:r>
              <w:rPr>
                <w:rFonts w:hint="eastAsia"/>
                <w:color w:val="auto"/>
                <w:lang w:eastAsia="zh-CN"/>
              </w:rPr>
              <w:t>。</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15" w:edGrp="everyone"/>
          </w:p>
        </w:tc>
        <w:tc>
          <w:tcPr>
            <w:tcW w:w="7128" w:type="dxa"/>
            <w:vAlign w:val="center"/>
          </w:tcPr>
          <w:p>
            <w:pPr>
              <w:spacing w:line="276" w:lineRule="auto"/>
              <w:jc w:val="both"/>
              <w:rPr>
                <w:color w:val="auto"/>
                <w:szCs w:val="21"/>
                <w:lang w:eastAsia="zh-CN"/>
              </w:rPr>
            </w:pPr>
            <w:r>
              <w:rPr>
                <w:rFonts w:hint="eastAsia"/>
                <w:color w:val="auto"/>
                <w:lang w:val="en-US" w:eastAsia="zh-CN"/>
              </w:rPr>
              <w:t>适用于我公司</w:t>
            </w:r>
            <w:r>
              <w:rPr>
                <w:color w:val="auto"/>
                <w:lang w:eastAsia="zh-CN"/>
              </w:rPr>
              <w:t>工作环境湿度：至少包括45%～65%</w:t>
            </w:r>
            <w:r>
              <w:rPr>
                <w:rFonts w:hint="eastAsia"/>
                <w:color w:val="auto"/>
                <w:lang w:eastAsia="zh-CN"/>
              </w:rPr>
              <w:t>。</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16" w:edGrp="everyone"/>
          </w:p>
        </w:tc>
        <w:tc>
          <w:tcPr>
            <w:tcW w:w="7128" w:type="dxa"/>
            <w:vAlign w:val="center"/>
          </w:tcPr>
          <w:p>
            <w:pPr>
              <w:spacing w:line="276" w:lineRule="auto"/>
              <w:jc w:val="both"/>
              <w:rPr>
                <w:color w:val="auto"/>
                <w:lang w:eastAsia="zh-CN"/>
              </w:rPr>
            </w:pPr>
            <w:r>
              <w:rPr>
                <w:rFonts w:hint="eastAsia"/>
                <w:color w:val="auto"/>
                <w:lang w:val="en-US" w:eastAsia="zh-CN"/>
              </w:rPr>
              <w:t>适用于我公司</w:t>
            </w:r>
            <w:r>
              <w:rPr>
                <w:color w:val="auto"/>
                <w:lang w:eastAsia="zh-CN"/>
              </w:rPr>
              <w:t>工作环境洁净级别：</w:t>
            </w:r>
            <w:r>
              <w:rPr>
                <w:iCs/>
                <w:color w:val="auto"/>
                <w:lang w:eastAsia="zh-CN"/>
              </w:rPr>
              <w:t>C级</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left="350" w:firstLine="0" w:firstLineChars="0"/>
              <w:rPr>
                <w:rFonts w:ascii="Times New Roman" w:hAnsi="Times New Roman"/>
                <w:color w:val="auto"/>
                <w:szCs w:val="21"/>
              </w:rPr>
            </w:pPr>
            <w:permStart w:id="17" w:edGrp="everyone"/>
          </w:p>
        </w:tc>
        <w:tc>
          <w:tcPr>
            <w:tcW w:w="9253" w:type="dxa"/>
            <w:gridSpan w:val="2"/>
            <w:vAlign w:val="center"/>
          </w:tcPr>
          <w:p>
            <w:pPr>
              <w:jc w:val="both"/>
              <w:rPr>
                <w:iCs/>
                <w:color w:val="auto"/>
                <w:szCs w:val="21"/>
                <w:lang w:val="en-US" w:eastAsia="zh-CN"/>
              </w:rPr>
            </w:pPr>
            <w:r>
              <w:rPr>
                <w:rFonts w:hint="eastAsia"/>
                <w:color w:val="auto"/>
                <w:szCs w:val="21"/>
                <w:lang w:val="en-US"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18"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整机设计制造符合国家201</w:t>
            </w:r>
            <w:r>
              <w:rPr>
                <w:rFonts w:hint="eastAsia"/>
                <w:color w:val="auto"/>
                <w:szCs w:val="21"/>
                <w:lang w:val="en-US" w:eastAsia="zh-CN"/>
              </w:rPr>
              <w:t>5</w:t>
            </w:r>
            <w:r>
              <w:rPr>
                <w:rFonts w:hint="eastAsia"/>
                <w:color w:val="auto"/>
                <w:szCs w:val="21"/>
                <w:lang w:eastAsia="zh-CN"/>
              </w:rPr>
              <w:t>年版GMP要求，设备内、外表清洗方便，不留死角，符合GMP卫生标准要求。</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设备的外表面应平整、光洁、无清洗盲区，无凹凸不平和明显划痕等缺陷。</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层析柱子由柱头，分配器，柱头密封圈，柱体，底座，底部筛板等组成。柱头与柱管接触密封，无残留死角，易于清洗。底座应坚固，稳重，避免因操作或轻微碰撞而</w:t>
            </w:r>
            <w:r>
              <w:rPr>
                <w:rFonts w:hint="eastAsia"/>
                <w:color w:val="auto"/>
                <w:szCs w:val="21"/>
                <w:lang w:val="en-US" w:eastAsia="zh-CN"/>
              </w:rPr>
              <w:t>倾倒</w:t>
            </w:r>
            <w:r>
              <w:rPr>
                <w:rFonts w:hint="eastAsia"/>
                <w:color w:val="auto"/>
                <w:szCs w:val="21"/>
                <w:lang w:eastAsia="zh-CN"/>
              </w:rPr>
              <w:t>。</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val="en-US" w:eastAsia="zh-CN"/>
              </w:rPr>
            </w:pPr>
            <w:r>
              <w:rPr>
                <w:rFonts w:hint="eastAsia"/>
                <w:color w:val="auto"/>
                <w:szCs w:val="21"/>
                <w:lang w:val="en-US" w:eastAsia="zh-CN"/>
              </w:rPr>
              <w:t>报价中包含</w:t>
            </w:r>
            <w:r>
              <w:rPr>
                <w:rFonts w:hint="eastAsia"/>
                <w:color w:val="auto"/>
                <w:szCs w:val="21"/>
                <w:lang w:eastAsia="zh-CN"/>
              </w:rPr>
              <w:t>与</w:t>
            </w:r>
            <w:r>
              <w:rPr>
                <w:rFonts w:hint="eastAsia"/>
                <w:color w:val="auto"/>
                <w:szCs w:val="21"/>
                <w:lang w:val="en-US" w:eastAsia="zh-CN"/>
              </w:rPr>
              <w:t>450/</w:t>
            </w:r>
            <w:r>
              <w:rPr>
                <w:color w:val="auto"/>
                <w:szCs w:val="21"/>
                <w:lang w:val="en-US" w:eastAsia="zh-CN"/>
              </w:rPr>
              <w:t>50</w:t>
            </w:r>
            <w:r>
              <w:rPr>
                <w:rFonts w:hint="eastAsia"/>
                <w:color w:val="auto"/>
                <w:szCs w:val="21"/>
                <w:lang w:val="en-US" w:eastAsia="zh-CN"/>
              </w:rPr>
              <w:t>0层析柱匹配的可移动吊车，可以提升柱头，进行填料装卸，使用液压或气缸提升装置，需满足车间洁净度要求。</w:t>
            </w:r>
          </w:p>
        </w:tc>
        <w:tc>
          <w:tcPr>
            <w:tcW w:w="2125" w:type="dxa"/>
            <w:vAlign w:val="center"/>
          </w:tcPr>
          <w:p>
            <w:pPr>
              <w:jc w:val="both"/>
              <w:rPr>
                <w:rFonts w:hint="default"/>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val="en-US" w:eastAsia="zh-CN"/>
              </w:rPr>
              <w:t>报价中包含6个</w:t>
            </w:r>
            <w:r>
              <w:rPr>
                <w:rFonts w:hint="eastAsia"/>
                <w:color w:val="auto"/>
                <w:lang w:eastAsia="zh-CN"/>
              </w:rPr>
              <w:t>双向四通阀。</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rFonts w:hint="default" w:ascii="Times New Roman" w:hAnsi="Times New Roman" w:eastAsia="宋体" w:cs="Times New Roman"/>
                <w:color w:val="auto"/>
                <w:sz w:val="21"/>
                <w:szCs w:val="21"/>
                <w:lang w:val="en-US" w:eastAsia="zh-CN" w:bidi="ar-SA"/>
              </w:rPr>
            </w:pPr>
            <w:r>
              <w:rPr>
                <w:rFonts w:hint="eastAsia"/>
                <w:color w:val="auto"/>
                <w:szCs w:val="21"/>
                <w:lang w:val="en-US" w:eastAsia="zh-CN"/>
              </w:rPr>
              <w:t>报价中包含12根2000mm防爆管，ID10mm。</w:t>
            </w:r>
          </w:p>
        </w:tc>
        <w:tc>
          <w:tcPr>
            <w:tcW w:w="2125" w:type="dxa"/>
            <w:vAlign w:val="center"/>
          </w:tcPr>
          <w:p>
            <w:pPr>
              <w:jc w:val="both"/>
              <w:rPr>
                <w:rFonts w:hint="eastAsia" w:ascii="Times New Roman" w:hAnsi="Times New Roman" w:eastAsia="宋体" w:cs="Times New Roman"/>
                <w:iCs/>
                <w:color w:val="auto"/>
                <w:sz w:val="21"/>
                <w:szCs w:val="21"/>
                <w:lang w:val="en-US" w:eastAsia="zh-CN" w:bidi="ar-SA"/>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val="en-US" w:eastAsia="zh-CN"/>
              </w:rPr>
            </w:pPr>
            <w:r>
              <w:rPr>
                <w:rFonts w:hint="eastAsia"/>
                <w:color w:val="auto"/>
                <w:szCs w:val="21"/>
                <w:lang w:val="en-US" w:eastAsia="zh-CN"/>
              </w:rPr>
              <w:t>报价中包含</w:t>
            </w:r>
            <w:r>
              <w:rPr>
                <w:rFonts w:hint="eastAsia"/>
                <w:color w:val="auto"/>
                <w:szCs w:val="21"/>
                <w:lang w:eastAsia="zh-CN"/>
              </w:rPr>
              <w:t>相匹配填料搅拌棒</w:t>
            </w:r>
            <w:r>
              <w:rPr>
                <w:rFonts w:hint="eastAsia"/>
                <w:color w:val="auto"/>
                <w:szCs w:val="21"/>
                <w:lang w:val="en-US" w:eastAsia="zh-CN"/>
              </w:rPr>
              <w:t>2根，用于层析柱装填，需分别匹配</w:t>
            </w:r>
            <w:r>
              <w:rPr>
                <w:rFonts w:hint="eastAsia"/>
                <w:iCs/>
                <w:color w:val="auto"/>
                <w:lang w:val="en-US" w:eastAsia="zh-CN"/>
              </w:rPr>
              <w:t>300/750层析柱和</w:t>
            </w:r>
            <w:r>
              <w:rPr>
                <w:rFonts w:hint="eastAsia"/>
                <w:iCs/>
                <w:color w:val="auto"/>
                <w:lang w:eastAsia="zh-CN"/>
              </w:rPr>
              <w:t>450/</w:t>
            </w:r>
            <w:r>
              <w:rPr>
                <w:iCs/>
                <w:color w:val="auto"/>
                <w:lang w:eastAsia="zh-CN"/>
              </w:rPr>
              <w:t>50</w:t>
            </w:r>
            <w:r>
              <w:rPr>
                <w:rFonts w:hint="eastAsia"/>
                <w:iCs/>
                <w:color w:val="auto"/>
                <w:lang w:eastAsia="zh-CN"/>
              </w:rPr>
              <w:t>0层析柱</w:t>
            </w:r>
          </w:p>
        </w:tc>
        <w:tc>
          <w:tcPr>
            <w:tcW w:w="2125" w:type="dxa"/>
            <w:vAlign w:val="center"/>
          </w:tcPr>
          <w:p>
            <w:pPr>
              <w:jc w:val="both"/>
              <w:rPr>
                <w:rFonts w:hint="default"/>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rFonts w:hint="eastAsia"/>
                <w:color w:val="auto"/>
                <w:szCs w:val="21"/>
                <w:lang w:eastAsia="zh-CN"/>
              </w:rPr>
            </w:pPr>
            <w:r>
              <w:rPr>
                <w:rFonts w:hint="eastAsia"/>
                <w:color w:val="auto"/>
                <w:szCs w:val="21"/>
                <w:lang w:val="en-US" w:eastAsia="zh-CN"/>
              </w:rPr>
              <w:t>报价中包含一套正常拆装柱和层析操作时的配件，并列出清单中包括配件名称、规格、数量、品牌和价格，和物料直接接触的应提供材质证明。</w:t>
            </w:r>
          </w:p>
        </w:tc>
        <w:tc>
          <w:tcPr>
            <w:tcW w:w="2125" w:type="dxa"/>
            <w:vAlign w:val="center"/>
          </w:tcPr>
          <w:p>
            <w:pPr>
              <w:jc w:val="both"/>
              <w:rPr>
                <w:rFonts w:hint="eastAsia"/>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i/>
                <w:color w:val="auto"/>
                <w:lang w:eastAsia="zh-CN"/>
              </w:rPr>
            </w:pPr>
            <w:r>
              <w:rPr>
                <w:rFonts w:hint="eastAsia"/>
                <w:color w:val="auto"/>
                <w:szCs w:val="21"/>
                <w:lang w:eastAsia="zh-CN"/>
              </w:rPr>
              <w:t>层析柱除和纯化系统连接的公用设施管路为现场安装外，柱子整体应连接安装好。</w:t>
            </w:r>
          </w:p>
        </w:tc>
        <w:tc>
          <w:tcPr>
            <w:tcW w:w="2125" w:type="dxa"/>
            <w:vAlign w:val="center"/>
          </w:tcPr>
          <w:p>
            <w:pPr>
              <w:jc w:val="both"/>
              <w:rPr>
                <w:color w:val="auto"/>
                <w:szCs w:val="21"/>
                <w:lang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层析柱管材质：为</w:t>
            </w:r>
            <w:r>
              <w:rPr>
                <w:rFonts w:hint="eastAsia"/>
                <w:color w:val="auto"/>
                <w:szCs w:val="21"/>
                <w:lang w:val="en-US" w:eastAsia="zh-CN"/>
              </w:rPr>
              <w:t>硼</w:t>
            </w:r>
            <w:r>
              <w:rPr>
                <w:rFonts w:hint="eastAsia"/>
                <w:color w:val="auto"/>
                <w:szCs w:val="21"/>
                <w:lang w:eastAsia="zh-CN"/>
              </w:rPr>
              <w:t>化玻璃，有刻度显示。不易因碰撞损伤。</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val="en-US" w:eastAsia="zh-CN"/>
              </w:rPr>
              <w:t>层析柱</w:t>
            </w:r>
            <w:r>
              <w:rPr>
                <w:rFonts w:hint="eastAsia"/>
                <w:color w:val="auto"/>
                <w:szCs w:val="21"/>
                <w:lang w:eastAsia="zh-CN"/>
              </w:rPr>
              <w:t>底部支架为316不锈钢材质，配万向轮和轮锁，方便柱子的移动。</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管路、阀门、接口、密封垫等系统所使用材料的材质符合FDA、USP Class VI或欧洲药典要求，并且在验证文件中提供材质证明文件。</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设备外壳、连接管路、接口及其附属配件等材料符合洁净室使用要求，塑料材质符合FDA、USP Class VI要求，并提供材质证明文件。</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为满足卫生要求，层析柱及管路需耐受</w:t>
            </w:r>
            <w:r>
              <w:rPr>
                <w:rFonts w:hint="eastAsia"/>
                <w:color w:val="auto"/>
                <w:szCs w:val="21"/>
                <w:lang w:val="en-US" w:eastAsia="zh-CN"/>
              </w:rPr>
              <w:t>1</w:t>
            </w:r>
            <w:r>
              <w:rPr>
                <w:rFonts w:hint="eastAsia"/>
                <w:color w:val="auto"/>
                <w:szCs w:val="21"/>
                <w:lang w:eastAsia="zh-CN"/>
              </w:rPr>
              <w:t>.0 mol/LNaOH溶液在位清洗一小时以上，并能够耐受乙醇、NaOH等常用缓冲液保存。</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从进样、洗脱到收集过程需密闭，其接口及管路连接方式必须符合卫生级。</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设备外部可以耐受</w:t>
            </w:r>
            <w:r>
              <w:rPr>
                <w:rFonts w:hint="eastAsia"/>
                <w:color w:val="auto"/>
                <w:szCs w:val="21"/>
                <w:lang w:val="en-US" w:eastAsia="zh-CN"/>
              </w:rPr>
              <w:t>7</w:t>
            </w:r>
            <w:r>
              <w:rPr>
                <w:rFonts w:hint="eastAsia"/>
                <w:color w:val="auto"/>
                <w:szCs w:val="21"/>
                <w:lang w:eastAsia="zh-CN"/>
              </w:rPr>
              <w:t>5%乙醇、0.2%新洁尔灭、</w:t>
            </w:r>
            <w:r>
              <w:rPr>
                <w:rFonts w:hint="eastAsia"/>
                <w:color w:val="auto"/>
                <w:lang w:val="en-US" w:eastAsia="zh-CN"/>
              </w:rPr>
              <w:t>0.1%84</w:t>
            </w:r>
            <w:r>
              <w:rPr>
                <w:rFonts w:hint="eastAsia"/>
                <w:color w:val="auto"/>
                <w:szCs w:val="21"/>
                <w:lang w:eastAsia="zh-CN"/>
              </w:rPr>
              <w:t>等消毒剂擦拭消毒，同时也可以耐受甲醛、臭氧、双氧水和乙酸等空气消毒剂。</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进出口连接为：TC卡箍接口。</w:t>
            </w:r>
          </w:p>
        </w:tc>
        <w:tc>
          <w:tcPr>
            <w:tcW w:w="2125" w:type="dxa"/>
            <w:vAlign w:val="center"/>
          </w:tcPr>
          <w:p>
            <w:pPr>
              <w:jc w:val="both"/>
              <w:rPr>
                <w:iCs/>
                <w:color w:val="auto"/>
                <w:szCs w:val="21"/>
                <w:lang w:val="en-US"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color w:val="auto"/>
                <w:szCs w:val="21"/>
                <w:lang w:eastAsia="zh-CN"/>
              </w:rPr>
              <w:t xml:space="preserve">至少应有以下永久贴牢和清楚易认的标识： </w:t>
            </w:r>
          </w:p>
          <w:p>
            <w:pPr>
              <w:spacing w:line="276" w:lineRule="auto"/>
              <w:jc w:val="both"/>
              <w:rPr>
                <w:color w:val="auto"/>
                <w:szCs w:val="21"/>
                <w:lang w:eastAsia="zh-CN"/>
              </w:rPr>
            </w:pPr>
            <w:r>
              <w:rPr>
                <w:color w:val="auto"/>
                <w:szCs w:val="21"/>
                <w:lang w:eastAsia="zh-CN"/>
              </w:rPr>
              <w:t>（1）制造/供应单位；</w:t>
            </w:r>
          </w:p>
          <w:p>
            <w:pPr>
              <w:spacing w:line="276" w:lineRule="auto"/>
              <w:jc w:val="both"/>
              <w:rPr>
                <w:color w:val="auto"/>
                <w:szCs w:val="21"/>
                <w:lang w:eastAsia="zh-CN"/>
              </w:rPr>
            </w:pPr>
            <w:r>
              <w:rPr>
                <w:color w:val="auto"/>
                <w:szCs w:val="21"/>
                <w:lang w:eastAsia="zh-CN"/>
              </w:rPr>
              <w:t>（2）产品注册号；</w:t>
            </w:r>
          </w:p>
          <w:p>
            <w:pPr>
              <w:spacing w:line="276" w:lineRule="auto"/>
              <w:jc w:val="both"/>
              <w:rPr>
                <w:color w:val="auto"/>
                <w:szCs w:val="21"/>
                <w:lang w:eastAsia="zh-CN"/>
              </w:rPr>
            </w:pPr>
            <w:r>
              <w:rPr>
                <w:color w:val="auto"/>
                <w:szCs w:val="21"/>
                <w:lang w:eastAsia="zh-CN"/>
              </w:rPr>
              <w:t>（3）型号；</w:t>
            </w:r>
          </w:p>
          <w:p>
            <w:pPr>
              <w:spacing w:line="276" w:lineRule="auto"/>
              <w:jc w:val="both"/>
              <w:rPr>
                <w:color w:val="auto"/>
                <w:szCs w:val="21"/>
                <w:lang w:eastAsia="zh-CN"/>
              </w:rPr>
            </w:pPr>
            <w:r>
              <w:rPr>
                <w:color w:val="auto"/>
                <w:szCs w:val="21"/>
                <w:lang w:eastAsia="zh-CN"/>
              </w:rPr>
              <w:t>（4）生产日期或编号；</w:t>
            </w:r>
          </w:p>
          <w:p>
            <w:pPr>
              <w:spacing w:line="276" w:lineRule="auto"/>
              <w:jc w:val="both"/>
              <w:rPr>
                <w:color w:val="auto"/>
                <w:szCs w:val="21"/>
                <w:lang w:eastAsia="zh-CN"/>
              </w:rPr>
            </w:pPr>
            <w:r>
              <w:rPr>
                <w:color w:val="auto"/>
                <w:szCs w:val="21"/>
                <w:lang w:eastAsia="zh-CN"/>
              </w:rPr>
              <w:t>（5）对设备必要的说明；</w:t>
            </w:r>
          </w:p>
          <w:p>
            <w:pPr>
              <w:pStyle w:val="8"/>
              <w:spacing w:line="276" w:lineRule="auto"/>
              <w:rPr>
                <w:color w:val="auto"/>
                <w:sz w:val="21"/>
                <w:szCs w:val="21"/>
                <w:lang w:eastAsia="zh-CN"/>
              </w:rPr>
            </w:pPr>
            <w:r>
              <w:rPr>
                <w:color w:val="auto"/>
                <w:sz w:val="21"/>
                <w:szCs w:val="21"/>
              </w:rPr>
              <w:t>（</w:t>
            </w:r>
            <w:r>
              <w:rPr>
                <w:color w:val="auto"/>
                <w:sz w:val="21"/>
                <w:szCs w:val="21"/>
                <w:lang w:eastAsia="zh-CN"/>
              </w:rPr>
              <w:t>6</w:t>
            </w:r>
            <w:r>
              <w:rPr>
                <w:color w:val="auto"/>
                <w:sz w:val="21"/>
                <w:szCs w:val="21"/>
              </w:rPr>
              <w:t>）安全标识。</w:t>
            </w:r>
          </w:p>
        </w:tc>
        <w:tc>
          <w:tcPr>
            <w:tcW w:w="2125" w:type="dxa"/>
            <w:vAlign w:val="center"/>
          </w:tcPr>
          <w:p>
            <w:pPr>
              <w:jc w:val="both"/>
              <w:rPr>
                <w:color w:val="auto"/>
                <w:szCs w:val="21"/>
                <w:lang w:eastAsia="zh-CN"/>
              </w:rPr>
            </w:pPr>
            <w:r>
              <w:rPr>
                <w:rFonts w:hint="eastAsia"/>
                <w:iCs/>
                <w:color w:val="auto"/>
                <w:szCs w:val="21"/>
                <w:lang w:val="en-US" w:eastAsia="zh-CN"/>
              </w:rPr>
              <w:t>关键</w:t>
            </w:r>
          </w:p>
        </w:tc>
      </w:tr>
      <w:bookmarkEnd w:id="23"/>
      <w:bookmarkEnd w:id="24"/>
      <w:permEnd w:id="18"/>
    </w:tbl>
    <w:p>
      <w:pPr>
        <w:pStyle w:val="30"/>
        <w:spacing w:after="158" w:afterLines="50"/>
        <w:ind w:left="425" w:firstLine="0" w:firstLineChars="0"/>
        <w:rPr>
          <w:rFonts w:ascii="Times New Roman" w:hAnsi="Times New Roman"/>
          <w:color w:val="auto"/>
          <w:szCs w:val="21"/>
        </w:rPr>
      </w:pPr>
    </w:p>
    <w:p>
      <w:pPr>
        <w:pStyle w:val="30"/>
        <w:numPr>
          <w:ilvl w:val="0"/>
          <w:numId w:val="3"/>
        </w:numPr>
        <w:spacing w:after="158" w:afterLines="50"/>
        <w:ind w:left="426" w:hanging="426" w:hangingChars="202"/>
        <w:outlineLvl w:val="0"/>
        <w:rPr>
          <w:rFonts w:ascii="Times New Roman" w:hAnsi="Times New Roman"/>
          <w:b/>
          <w:color w:val="auto"/>
        </w:rPr>
      </w:pPr>
      <w:bookmarkStart w:id="25" w:name="_Toc522107740"/>
      <w:bookmarkStart w:id="26" w:name="_Toc522716121"/>
      <w:r>
        <w:rPr>
          <w:rFonts w:ascii="Times New Roman" w:hAnsi="Times New Roman"/>
          <w:b/>
          <w:color w:val="auto"/>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color w:val="auto"/>
                <w:szCs w:val="21"/>
              </w:rPr>
            </w:pPr>
            <w:permStart w:id="19" w:edGrp="everyone"/>
            <w:permEnd w:id="19"/>
            <w:r>
              <w:rPr>
                <w:b/>
                <w:color w:val="auto"/>
                <w:szCs w:val="21"/>
              </w:rPr>
              <w:t>编号</w:t>
            </w:r>
          </w:p>
        </w:tc>
        <w:tc>
          <w:tcPr>
            <w:tcW w:w="7128" w:type="dxa"/>
            <w:shd w:val="clear" w:color="auto" w:fill="D9D9D9"/>
            <w:vAlign w:val="center"/>
          </w:tcPr>
          <w:p>
            <w:pPr>
              <w:jc w:val="center"/>
              <w:rPr>
                <w:b/>
                <w:color w:val="auto"/>
                <w:szCs w:val="21"/>
                <w:lang w:eastAsia="zh-CN"/>
              </w:rPr>
            </w:pPr>
            <w:r>
              <w:rPr>
                <w:b/>
                <w:color w:val="auto"/>
                <w:szCs w:val="21"/>
                <w:lang w:eastAsia="zh-CN"/>
              </w:rPr>
              <w:t>需求</w:t>
            </w:r>
          </w:p>
        </w:tc>
        <w:tc>
          <w:tcPr>
            <w:tcW w:w="2125" w:type="dxa"/>
            <w:shd w:val="clear" w:color="auto" w:fill="D9D9D9"/>
            <w:vAlign w:val="center"/>
          </w:tcPr>
          <w:p>
            <w:pPr>
              <w:jc w:val="center"/>
              <w:rPr>
                <w:b/>
                <w:color w:val="auto"/>
                <w:szCs w:val="21"/>
                <w:lang w:eastAsia="zh-CN"/>
              </w:rPr>
            </w:pPr>
            <w:r>
              <w:rPr>
                <w:b/>
                <w:color w:val="auto"/>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0" w:edGrp="everyone"/>
          </w:p>
        </w:tc>
        <w:tc>
          <w:tcPr>
            <w:tcW w:w="7128" w:type="dxa"/>
            <w:vAlign w:val="center"/>
          </w:tcPr>
          <w:p>
            <w:pPr>
              <w:spacing w:line="276" w:lineRule="auto"/>
              <w:jc w:val="both"/>
              <w:rPr>
                <w:color w:val="auto"/>
                <w:szCs w:val="21"/>
                <w:lang w:val="en-US" w:eastAsia="zh-CN"/>
              </w:rPr>
            </w:pPr>
            <w:r>
              <w:rPr>
                <w:rFonts w:hint="eastAsia"/>
                <w:color w:val="auto"/>
                <w:szCs w:val="21"/>
                <w:lang w:eastAsia="zh-CN"/>
              </w:rPr>
              <w:t>管柱材质为亚克力。</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1" w:edGrp="everyone"/>
          </w:p>
        </w:tc>
        <w:tc>
          <w:tcPr>
            <w:tcW w:w="7128" w:type="dxa"/>
            <w:vAlign w:val="center"/>
          </w:tcPr>
          <w:p>
            <w:pPr>
              <w:spacing w:line="276" w:lineRule="auto"/>
              <w:jc w:val="both"/>
              <w:rPr>
                <w:color w:val="auto"/>
                <w:szCs w:val="21"/>
                <w:lang w:val="en-US" w:eastAsia="zh-CN"/>
              </w:rPr>
            </w:pPr>
            <w:r>
              <w:rPr>
                <w:rFonts w:hint="eastAsia"/>
                <w:color w:val="auto"/>
                <w:szCs w:val="21"/>
                <w:lang w:eastAsia="zh-CN"/>
              </w:rPr>
              <w:t>柱头材质为316L不锈钢。</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2" w:edGrp="everyone"/>
          </w:p>
        </w:tc>
        <w:tc>
          <w:tcPr>
            <w:tcW w:w="7128" w:type="dxa"/>
            <w:vAlign w:val="center"/>
          </w:tcPr>
          <w:p>
            <w:pPr>
              <w:spacing w:line="276" w:lineRule="auto"/>
              <w:jc w:val="both"/>
              <w:rPr>
                <w:color w:val="auto"/>
                <w:szCs w:val="21"/>
                <w:lang w:val="en-US" w:eastAsia="zh-CN"/>
              </w:rPr>
            </w:pPr>
            <w:r>
              <w:rPr>
                <w:rFonts w:hint="eastAsia"/>
                <w:color w:val="auto"/>
                <w:szCs w:val="21"/>
                <w:lang w:eastAsia="zh-CN"/>
              </w:rPr>
              <w:t>分流板材料为PP或POM。</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3" w:edGrp="everyone"/>
          </w:p>
        </w:tc>
        <w:tc>
          <w:tcPr>
            <w:tcW w:w="7128" w:type="dxa"/>
            <w:vAlign w:val="center"/>
          </w:tcPr>
          <w:p>
            <w:pPr>
              <w:spacing w:line="276" w:lineRule="auto"/>
              <w:jc w:val="both"/>
              <w:rPr>
                <w:color w:val="auto"/>
                <w:szCs w:val="21"/>
                <w:lang w:val="en-US" w:eastAsia="zh-CN"/>
              </w:rPr>
            </w:pPr>
            <w:r>
              <w:rPr>
                <w:rFonts w:hint="eastAsia"/>
                <w:color w:val="auto"/>
                <w:szCs w:val="21"/>
                <w:lang w:eastAsia="zh-CN"/>
              </w:rPr>
              <w:t>喷胶头材质为PEEK、PP。</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4" w:edGrp="everyone"/>
          </w:p>
        </w:tc>
        <w:tc>
          <w:tcPr>
            <w:tcW w:w="7128" w:type="dxa"/>
            <w:vAlign w:val="center"/>
          </w:tcPr>
          <w:p>
            <w:pPr>
              <w:spacing w:line="276" w:lineRule="auto"/>
              <w:jc w:val="both"/>
              <w:rPr>
                <w:color w:val="auto"/>
                <w:szCs w:val="21"/>
                <w:lang w:val="en-US" w:eastAsia="zh-CN"/>
              </w:rPr>
            </w:pPr>
            <w:r>
              <w:rPr>
                <w:rFonts w:hint="eastAsia"/>
                <w:color w:val="auto"/>
                <w:szCs w:val="21"/>
                <w:lang w:eastAsia="zh-CN"/>
              </w:rPr>
              <w:t>管路和配件材质：316L接头、PTFE密封圈。</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left="350" w:firstLine="0" w:firstLineChars="0"/>
              <w:rPr>
                <w:rFonts w:ascii="Times New Roman" w:hAnsi="Times New Roman"/>
                <w:color w:val="auto"/>
                <w:szCs w:val="21"/>
              </w:rPr>
            </w:pPr>
            <w:permStart w:id="25" w:edGrp="everyone"/>
          </w:p>
        </w:tc>
        <w:tc>
          <w:tcPr>
            <w:tcW w:w="9253" w:type="dxa"/>
            <w:gridSpan w:val="2"/>
            <w:vAlign w:val="center"/>
          </w:tcPr>
          <w:p>
            <w:pPr>
              <w:jc w:val="both"/>
              <w:rPr>
                <w:color w:val="auto"/>
                <w:szCs w:val="21"/>
                <w:lang w:eastAsia="zh-CN"/>
              </w:rPr>
            </w:pPr>
            <w:r>
              <w:rPr>
                <w:rFonts w:hint="eastAsia"/>
                <w:iCs/>
                <w:color w:val="auto"/>
                <w:lang w:val="en-US"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6" w:edGrp="everyone"/>
          </w:p>
        </w:tc>
        <w:tc>
          <w:tcPr>
            <w:tcW w:w="7128" w:type="dxa"/>
            <w:vAlign w:val="center"/>
          </w:tcPr>
          <w:p>
            <w:pPr>
              <w:spacing w:line="360" w:lineRule="auto"/>
              <w:jc w:val="both"/>
              <w:rPr>
                <w:iCs/>
                <w:color w:val="auto"/>
                <w:szCs w:val="21"/>
                <w:lang w:eastAsia="zh-CN"/>
              </w:rPr>
            </w:pPr>
            <w:r>
              <w:rPr>
                <w:rFonts w:hint="eastAsia"/>
                <w:iCs/>
                <w:color w:val="auto"/>
                <w:szCs w:val="21"/>
                <w:lang w:val="en-US" w:eastAsia="zh-CN"/>
              </w:rPr>
              <w:t>设备</w:t>
            </w:r>
            <w:r>
              <w:rPr>
                <w:rFonts w:hint="eastAsia"/>
                <w:iCs/>
                <w:color w:val="auto"/>
                <w:szCs w:val="21"/>
                <w:lang w:eastAsia="zh-CN"/>
              </w:rPr>
              <w:t>直径/高度（</w:t>
            </w:r>
            <w:r>
              <w:rPr>
                <w:rFonts w:hint="eastAsia"/>
                <w:iCs/>
                <w:color w:val="auto"/>
                <w:szCs w:val="21"/>
                <w:lang w:val="en-US" w:eastAsia="zh-CN"/>
              </w:rPr>
              <w:t>mm</w:t>
            </w:r>
            <w:r>
              <w:rPr>
                <w:rFonts w:hint="eastAsia"/>
                <w:iCs/>
                <w:color w:val="auto"/>
                <w:szCs w:val="21"/>
                <w:lang w:eastAsia="zh-CN"/>
              </w:rPr>
              <w:t>）：</w:t>
            </w:r>
            <w:r>
              <w:rPr>
                <w:rFonts w:hint="eastAsia"/>
                <w:iCs/>
                <w:color w:val="auto"/>
                <w:lang w:val="en-US" w:eastAsia="zh-CN"/>
              </w:rPr>
              <w:t>2个300/750层析柱，1个</w:t>
            </w:r>
            <w:r>
              <w:rPr>
                <w:rFonts w:hint="eastAsia"/>
                <w:iCs/>
                <w:color w:val="auto"/>
                <w:lang w:eastAsia="zh-CN"/>
              </w:rPr>
              <w:t>450/</w:t>
            </w:r>
            <w:r>
              <w:rPr>
                <w:iCs/>
                <w:color w:val="auto"/>
                <w:lang w:eastAsia="zh-CN"/>
              </w:rPr>
              <w:t>50</w:t>
            </w:r>
            <w:r>
              <w:rPr>
                <w:rFonts w:hint="eastAsia"/>
                <w:iCs/>
                <w:color w:val="auto"/>
                <w:lang w:eastAsia="zh-CN"/>
              </w:rPr>
              <w:t>0</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7" w:edGrp="everyone"/>
          </w:p>
        </w:tc>
        <w:tc>
          <w:tcPr>
            <w:tcW w:w="7128" w:type="dxa"/>
            <w:vAlign w:val="center"/>
          </w:tcPr>
          <w:p>
            <w:pPr>
              <w:spacing w:line="360" w:lineRule="auto"/>
              <w:jc w:val="both"/>
              <w:rPr>
                <w:iCs/>
                <w:color w:val="auto"/>
                <w:szCs w:val="21"/>
                <w:lang w:eastAsia="zh-CN"/>
              </w:rPr>
            </w:pPr>
            <w:r>
              <w:rPr>
                <w:rFonts w:hint="eastAsia"/>
                <w:iCs/>
                <w:color w:val="auto"/>
                <w:szCs w:val="21"/>
                <w:lang w:eastAsia="zh-CN"/>
              </w:rPr>
              <w:t>可装填高度：</w:t>
            </w:r>
          </w:p>
          <w:p>
            <w:pPr>
              <w:spacing w:line="360" w:lineRule="auto"/>
              <w:jc w:val="both"/>
              <w:rPr>
                <w:iCs/>
                <w:color w:val="auto"/>
                <w:szCs w:val="21"/>
                <w:lang w:eastAsia="zh-CN"/>
              </w:rPr>
            </w:pPr>
            <w:r>
              <w:rPr>
                <w:rFonts w:hint="eastAsia"/>
                <w:iCs/>
                <w:color w:val="auto"/>
                <w:szCs w:val="21"/>
                <w:lang w:eastAsia="zh-CN"/>
              </w:rPr>
              <w:t>300/750</w:t>
            </w:r>
            <w:r>
              <w:rPr>
                <w:rFonts w:hint="eastAsia"/>
                <w:iCs/>
                <w:color w:val="auto"/>
                <w:lang w:val="en-US" w:eastAsia="zh-CN"/>
              </w:rPr>
              <w:t>层析柱</w:t>
            </w:r>
            <w:r>
              <w:rPr>
                <w:rFonts w:hint="eastAsia"/>
                <w:iCs/>
                <w:color w:val="auto"/>
                <w:szCs w:val="21"/>
                <w:lang w:eastAsia="zh-CN"/>
              </w:rPr>
              <w:t>，200-</w:t>
            </w:r>
            <w:r>
              <w:rPr>
                <w:rFonts w:hint="eastAsia"/>
                <w:iCs/>
                <w:color w:val="auto"/>
                <w:szCs w:val="21"/>
                <w:lang w:val="en-US" w:eastAsia="zh-CN"/>
              </w:rPr>
              <w:t>5</w:t>
            </w:r>
            <w:r>
              <w:rPr>
                <w:rFonts w:hint="eastAsia"/>
                <w:iCs/>
                <w:color w:val="auto"/>
                <w:szCs w:val="21"/>
                <w:lang w:eastAsia="zh-CN"/>
              </w:rPr>
              <w:t>00mm；</w:t>
            </w:r>
          </w:p>
          <w:p>
            <w:pPr>
              <w:spacing w:line="360" w:lineRule="auto"/>
              <w:jc w:val="both"/>
              <w:rPr>
                <w:iCs/>
                <w:color w:val="auto"/>
                <w:szCs w:val="21"/>
                <w:lang w:eastAsia="zh-CN"/>
              </w:rPr>
            </w:pPr>
            <w:r>
              <w:rPr>
                <w:rFonts w:hint="eastAsia"/>
                <w:iCs/>
                <w:color w:val="auto"/>
                <w:lang w:eastAsia="zh-CN"/>
              </w:rPr>
              <w:t>450/</w:t>
            </w:r>
            <w:r>
              <w:rPr>
                <w:iCs/>
                <w:color w:val="auto"/>
                <w:lang w:eastAsia="zh-CN"/>
              </w:rPr>
              <w:t>50</w:t>
            </w:r>
            <w:r>
              <w:rPr>
                <w:rFonts w:hint="eastAsia"/>
                <w:iCs/>
                <w:color w:val="auto"/>
                <w:lang w:eastAsia="zh-CN"/>
              </w:rPr>
              <w:t>0</w:t>
            </w:r>
            <w:r>
              <w:rPr>
                <w:rFonts w:hint="eastAsia"/>
                <w:iCs/>
                <w:color w:val="auto"/>
                <w:szCs w:val="21"/>
                <w:lang w:eastAsia="zh-CN"/>
              </w:rPr>
              <w:t>，100-</w:t>
            </w:r>
            <w:r>
              <w:rPr>
                <w:iCs/>
                <w:color w:val="auto"/>
                <w:szCs w:val="21"/>
                <w:lang w:val="en-US" w:eastAsia="zh-CN"/>
              </w:rPr>
              <w:t>35</w:t>
            </w:r>
            <w:r>
              <w:rPr>
                <w:rFonts w:hint="eastAsia"/>
                <w:iCs/>
                <w:color w:val="auto"/>
                <w:szCs w:val="21"/>
                <w:lang w:eastAsia="zh-CN"/>
              </w:rPr>
              <w:t>0mm；</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8" w:edGrp="everyone"/>
          </w:p>
        </w:tc>
        <w:tc>
          <w:tcPr>
            <w:tcW w:w="7128" w:type="dxa"/>
            <w:vAlign w:val="center"/>
          </w:tcPr>
          <w:p>
            <w:pPr>
              <w:spacing w:line="276" w:lineRule="auto"/>
              <w:jc w:val="both"/>
              <w:rPr>
                <w:iCs/>
                <w:color w:val="auto"/>
                <w:szCs w:val="21"/>
                <w:lang w:eastAsia="zh-CN"/>
              </w:rPr>
            </w:pPr>
            <w:r>
              <w:rPr>
                <w:rFonts w:hint="eastAsia"/>
                <w:iCs/>
                <w:color w:val="auto"/>
                <w:szCs w:val="21"/>
                <w:lang w:eastAsia="zh-CN"/>
              </w:rPr>
              <w:t>筛网孔径大小</w:t>
            </w:r>
            <w:r>
              <w:rPr>
                <w:rFonts w:hint="default" w:ascii="Times New Roman" w:hAnsi="Times New Roman" w:cs="Times New Roman"/>
                <w:iCs/>
                <w:color w:val="auto"/>
                <w:szCs w:val="21"/>
                <w:lang w:eastAsia="zh-CN"/>
              </w:rPr>
              <w:t>：标配10/20μm</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29" w:edGrp="everyone"/>
          </w:p>
        </w:tc>
        <w:tc>
          <w:tcPr>
            <w:tcW w:w="7128" w:type="dxa"/>
            <w:vAlign w:val="center"/>
          </w:tcPr>
          <w:p>
            <w:pPr>
              <w:spacing w:line="276" w:lineRule="auto"/>
              <w:jc w:val="both"/>
              <w:rPr>
                <w:iCs/>
                <w:color w:val="auto"/>
                <w:szCs w:val="21"/>
                <w:lang w:eastAsia="zh-CN"/>
              </w:rPr>
            </w:pPr>
            <w:r>
              <w:rPr>
                <w:rFonts w:hint="eastAsia"/>
                <w:iCs/>
                <w:color w:val="auto"/>
                <w:szCs w:val="21"/>
                <w:lang w:val="en-US" w:eastAsia="zh-CN"/>
              </w:rPr>
              <w:t>设备正常运行</w:t>
            </w:r>
            <w:r>
              <w:rPr>
                <w:rFonts w:hint="eastAsia"/>
                <w:iCs/>
                <w:color w:val="auto"/>
                <w:szCs w:val="21"/>
                <w:lang w:eastAsia="zh-CN"/>
              </w:rPr>
              <w:t>温度：4～40℃</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30" w:edGrp="everyone"/>
          </w:p>
        </w:tc>
        <w:tc>
          <w:tcPr>
            <w:tcW w:w="7128" w:type="dxa"/>
            <w:vAlign w:val="center"/>
          </w:tcPr>
          <w:p>
            <w:pPr>
              <w:spacing w:line="276" w:lineRule="auto"/>
              <w:jc w:val="both"/>
              <w:rPr>
                <w:iCs/>
                <w:color w:val="auto"/>
                <w:szCs w:val="21"/>
                <w:lang w:eastAsia="zh-CN"/>
              </w:rPr>
            </w:pPr>
            <w:r>
              <w:rPr>
                <w:rFonts w:hint="eastAsia"/>
                <w:iCs/>
                <w:color w:val="auto"/>
                <w:szCs w:val="21"/>
                <w:lang w:eastAsia="zh-CN"/>
              </w:rPr>
              <w:t>设计最高压力：300/750</w:t>
            </w:r>
            <w:r>
              <w:rPr>
                <w:rFonts w:hint="eastAsia"/>
                <w:iCs/>
                <w:color w:val="auto"/>
                <w:lang w:val="en-US" w:eastAsia="zh-CN"/>
              </w:rPr>
              <w:t>层析柱</w:t>
            </w:r>
            <w:r>
              <w:rPr>
                <w:rFonts w:hint="eastAsia"/>
                <w:iCs/>
                <w:color w:val="auto"/>
                <w:szCs w:val="21"/>
                <w:lang w:eastAsia="zh-CN"/>
              </w:rPr>
              <w:t>，</w:t>
            </w:r>
            <w:r>
              <w:rPr>
                <w:rFonts w:hint="eastAsia"/>
                <w:iCs/>
                <w:color w:val="auto"/>
                <w:szCs w:val="21"/>
                <w:lang w:val="en-US" w:eastAsia="zh-CN"/>
              </w:rPr>
              <w:t>4</w:t>
            </w:r>
            <w:r>
              <w:rPr>
                <w:rFonts w:hint="eastAsia"/>
                <w:iCs/>
                <w:color w:val="auto"/>
                <w:szCs w:val="21"/>
                <w:lang w:eastAsia="zh-CN"/>
              </w:rPr>
              <w:t>bar；</w:t>
            </w:r>
          </w:p>
          <w:p>
            <w:pPr>
              <w:spacing w:line="276" w:lineRule="auto"/>
              <w:jc w:val="both"/>
              <w:rPr>
                <w:iCs/>
                <w:color w:val="auto"/>
                <w:szCs w:val="21"/>
                <w:lang w:eastAsia="zh-CN"/>
              </w:rPr>
            </w:pPr>
            <w:r>
              <w:rPr>
                <w:rFonts w:hint="eastAsia"/>
                <w:iCs/>
                <w:color w:val="auto"/>
                <w:lang w:eastAsia="zh-CN"/>
              </w:rPr>
              <w:t>　　450/</w:t>
            </w:r>
            <w:r>
              <w:rPr>
                <w:iCs/>
                <w:color w:val="auto"/>
                <w:lang w:eastAsia="zh-CN"/>
              </w:rPr>
              <w:t>50</w:t>
            </w:r>
            <w:r>
              <w:rPr>
                <w:rFonts w:hint="eastAsia"/>
                <w:iCs/>
                <w:color w:val="auto"/>
                <w:lang w:eastAsia="zh-CN"/>
              </w:rPr>
              <w:t>0</w:t>
            </w:r>
            <w:r>
              <w:rPr>
                <w:rFonts w:hint="eastAsia"/>
                <w:iCs/>
                <w:color w:val="auto"/>
                <w:szCs w:val="21"/>
                <w:lang w:eastAsia="zh-CN"/>
              </w:rPr>
              <w:t>，</w:t>
            </w:r>
            <w:r>
              <w:rPr>
                <w:rFonts w:hint="eastAsia"/>
                <w:iCs/>
                <w:color w:val="auto"/>
                <w:szCs w:val="21"/>
                <w:lang w:val="en-US" w:eastAsia="zh-CN"/>
              </w:rPr>
              <w:t>4</w:t>
            </w:r>
            <w:r>
              <w:rPr>
                <w:rFonts w:hint="eastAsia"/>
                <w:iCs/>
                <w:color w:val="auto"/>
                <w:szCs w:val="21"/>
                <w:lang w:eastAsia="zh-CN"/>
              </w:rPr>
              <w:t>bar；</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color w:val="auto"/>
                <w:szCs w:val="21"/>
              </w:rPr>
            </w:pPr>
            <w:permStart w:id="31" w:edGrp="everyone"/>
            <w:permEnd w:id="31"/>
          </w:p>
        </w:tc>
        <w:tc>
          <w:tcPr>
            <w:tcW w:w="9253" w:type="dxa"/>
            <w:gridSpan w:val="2"/>
            <w:shd w:val="clear" w:color="auto" w:fill="D9D9D9"/>
            <w:vAlign w:val="center"/>
          </w:tcPr>
          <w:p>
            <w:pPr>
              <w:jc w:val="both"/>
              <w:rPr>
                <w:color w:val="auto"/>
                <w:szCs w:val="21"/>
                <w:lang w:eastAsia="zh-CN"/>
              </w:rPr>
            </w:pPr>
            <w:r>
              <w:rPr>
                <w:color w:val="auto"/>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32"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层析柱可以与AKTA process系统连接，进行层析纯化操作。</w:t>
            </w:r>
          </w:p>
        </w:tc>
        <w:tc>
          <w:tcPr>
            <w:tcW w:w="2125" w:type="dxa"/>
            <w:vAlign w:val="center"/>
          </w:tcPr>
          <w:p>
            <w:pPr>
              <w:jc w:val="both"/>
              <w:rPr>
                <w:color w:val="auto"/>
                <w:szCs w:val="21"/>
                <w:lang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val="en-US" w:eastAsia="zh-CN"/>
              </w:rPr>
            </w:pPr>
            <w:r>
              <w:rPr>
                <w:rFonts w:hint="eastAsia"/>
                <w:color w:val="auto"/>
                <w:lang w:eastAsia="zh-CN"/>
              </w:rPr>
              <w:t>可达到高卫生标准要求，可以满足高流速运行的要求。</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32"/>
    </w:tbl>
    <w:p>
      <w:pPr>
        <w:pStyle w:val="30"/>
        <w:numPr>
          <w:ilvl w:val="0"/>
          <w:numId w:val="3"/>
        </w:numPr>
        <w:spacing w:after="158" w:afterLines="50"/>
        <w:ind w:left="426" w:hanging="426" w:hangingChars="202"/>
        <w:outlineLvl w:val="0"/>
        <w:rPr>
          <w:rFonts w:ascii="Times New Roman" w:hAnsi="Times New Roman"/>
          <w:b/>
          <w:color w:val="auto"/>
        </w:rPr>
      </w:pPr>
      <w:bookmarkStart w:id="27" w:name="_Toc522716122"/>
      <w:bookmarkStart w:id="28" w:name="_Toc522107742"/>
      <w:bookmarkStart w:id="29" w:name="_Toc482370071"/>
      <w:bookmarkStart w:id="30" w:name="_Toc482370767"/>
      <w:bookmarkStart w:id="31" w:name="_Toc483227237"/>
      <w:bookmarkStart w:id="32" w:name="_Toc482370151"/>
      <w:bookmarkStart w:id="33" w:name="_Toc481702480"/>
      <w:bookmarkStart w:id="34" w:name="_Toc482717202"/>
      <w:bookmarkStart w:id="35" w:name="_Toc482370359"/>
      <w:bookmarkStart w:id="36" w:name="_Toc482360291"/>
      <w:bookmarkStart w:id="37" w:name="_Toc482359946"/>
      <w:bookmarkStart w:id="38" w:name="_Toc482369815"/>
      <w:bookmarkStart w:id="39" w:name="_Toc483400317"/>
      <w:bookmarkStart w:id="40" w:name="_Toc482625289"/>
      <w:r>
        <w:rPr>
          <w:rFonts w:ascii="Times New Roman" w:hAnsi="Times New Roman"/>
          <w:b/>
          <w:color w:val="auto"/>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color w:val="auto"/>
                <w:szCs w:val="21"/>
              </w:rPr>
            </w:pPr>
            <w:permStart w:id="33" w:edGrp="everyone"/>
            <w:permEnd w:id="33"/>
            <w:r>
              <w:rPr>
                <w:b/>
                <w:color w:val="auto"/>
                <w:szCs w:val="21"/>
              </w:rPr>
              <w:t>编号</w:t>
            </w:r>
          </w:p>
        </w:tc>
        <w:tc>
          <w:tcPr>
            <w:tcW w:w="7128" w:type="dxa"/>
            <w:shd w:val="clear" w:color="auto" w:fill="D9D9D9"/>
            <w:vAlign w:val="center"/>
          </w:tcPr>
          <w:p>
            <w:pPr>
              <w:jc w:val="center"/>
              <w:rPr>
                <w:b/>
                <w:color w:val="auto"/>
                <w:szCs w:val="21"/>
                <w:lang w:eastAsia="zh-CN"/>
              </w:rPr>
            </w:pPr>
            <w:r>
              <w:rPr>
                <w:b/>
                <w:color w:val="auto"/>
                <w:szCs w:val="21"/>
                <w:lang w:eastAsia="zh-CN"/>
              </w:rPr>
              <w:t>需求</w:t>
            </w:r>
          </w:p>
        </w:tc>
        <w:tc>
          <w:tcPr>
            <w:tcW w:w="2125" w:type="dxa"/>
            <w:shd w:val="clear" w:color="auto" w:fill="D9D9D9"/>
            <w:vAlign w:val="center"/>
          </w:tcPr>
          <w:p>
            <w:pPr>
              <w:jc w:val="center"/>
              <w:rPr>
                <w:b/>
                <w:color w:val="auto"/>
                <w:szCs w:val="21"/>
                <w:lang w:eastAsia="zh-CN"/>
              </w:rPr>
            </w:pPr>
            <w:r>
              <w:rPr>
                <w:b/>
                <w:color w:val="auto"/>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ind w:left="350" w:firstLine="0" w:firstLineChars="0"/>
              <w:rPr>
                <w:rFonts w:ascii="Times New Roman" w:hAnsi="Times New Roman"/>
                <w:color w:val="auto"/>
                <w:szCs w:val="21"/>
              </w:rPr>
            </w:pPr>
            <w:permStart w:id="34" w:edGrp="everyone"/>
          </w:p>
        </w:tc>
        <w:tc>
          <w:tcPr>
            <w:tcW w:w="9253" w:type="dxa"/>
            <w:gridSpan w:val="2"/>
            <w:vAlign w:val="center"/>
          </w:tcPr>
          <w:p>
            <w:pPr>
              <w:jc w:val="both"/>
              <w:rPr>
                <w:color w:val="auto"/>
                <w:szCs w:val="21"/>
                <w:lang w:eastAsia="zh-CN"/>
              </w:rPr>
            </w:pPr>
            <w:r>
              <w:rPr>
                <w:rFonts w:hint="eastAsia"/>
                <w:iCs/>
                <w:color w:val="auto"/>
                <w:szCs w:val="21"/>
                <w:lang w:val="en-US"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color w:val="auto"/>
                <w:szCs w:val="21"/>
              </w:rPr>
            </w:pPr>
            <w:permStart w:id="35" w:edGrp="everyone"/>
            <w:permEnd w:id="35"/>
          </w:p>
        </w:tc>
        <w:tc>
          <w:tcPr>
            <w:tcW w:w="9253" w:type="dxa"/>
            <w:gridSpan w:val="2"/>
            <w:shd w:val="clear" w:color="auto" w:fill="D9D9D9"/>
            <w:vAlign w:val="center"/>
          </w:tcPr>
          <w:p>
            <w:pPr>
              <w:jc w:val="both"/>
              <w:rPr>
                <w:color w:val="auto"/>
                <w:szCs w:val="21"/>
              </w:rPr>
            </w:pPr>
            <w:r>
              <w:rPr>
                <w:color w:val="auto"/>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ind w:left="350" w:firstLine="0" w:firstLineChars="0"/>
              <w:rPr>
                <w:rFonts w:ascii="Times New Roman" w:hAnsi="Times New Roman"/>
                <w:color w:val="auto"/>
                <w:szCs w:val="21"/>
              </w:rPr>
            </w:pPr>
            <w:permStart w:id="36" w:edGrp="everyone"/>
          </w:p>
        </w:tc>
        <w:tc>
          <w:tcPr>
            <w:tcW w:w="9253" w:type="dxa"/>
            <w:gridSpan w:val="2"/>
            <w:vAlign w:val="center"/>
          </w:tcPr>
          <w:p>
            <w:pPr>
              <w:jc w:val="both"/>
              <w:rPr>
                <w:color w:val="auto"/>
                <w:szCs w:val="21"/>
                <w:lang w:eastAsia="zh-CN"/>
              </w:rPr>
            </w:pPr>
            <w:r>
              <w:rPr>
                <w:rFonts w:hint="eastAsia"/>
                <w:color w:val="auto"/>
                <w:szCs w:val="21"/>
                <w:lang w:val="en-US" w:eastAsia="zh-CN"/>
              </w:rPr>
              <w:t>N/A</w:t>
            </w:r>
          </w:p>
        </w:tc>
      </w:tr>
      <w:permEnd w:id="36"/>
    </w:tbl>
    <w:p>
      <w:pPr>
        <w:spacing w:after="158" w:afterLines="50"/>
        <w:rPr>
          <w:b/>
          <w:color w:val="auto"/>
          <w:lang w:eastAsia="zh-CN"/>
        </w:rPr>
      </w:pPr>
    </w:p>
    <w:p>
      <w:pPr>
        <w:pStyle w:val="30"/>
        <w:numPr>
          <w:ilvl w:val="0"/>
          <w:numId w:val="3"/>
        </w:numPr>
        <w:spacing w:after="158" w:afterLines="50"/>
        <w:ind w:left="426" w:hanging="426" w:hangingChars="202"/>
        <w:outlineLvl w:val="0"/>
        <w:rPr>
          <w:rFonts w:ascii="Times New Roman" w:hAnsi="Times New Roman"/>
          <w:b/>
          <w:color w:val="auto"/>
        </w:rPr>
      </w:pPr>
      <w:bookmarkStart w:id="41" w:name="_Toc522716123"/>
      <w:r>
        <w:rPr>
          <w:rFonts w:ascii="Times New Roman" w:hAnsi="Times New Roman"/>
          <w:b/>
          <w:color w:val="auto"/>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color w:val="auto"/>
                <w:szCs w:val="21"/>
              </w:rPr>
            </w:pPr>
            <w:permStart w:id="37" w:edGrp="everyone"/>
            <w:permEnd w:id="37"/>
            <w:r>
              <w:rPr>
                <w:b/>
                <w:color w:val="auto"/>
                <w:szCs w:val="21"/>
              </w:rPr>
              <w:t>编号</w:t>
            </w:r>
          </w:p>
        </w:tc>
        <w:tc>
          <w:tcPr>
            <w:tcW w:w="7128" w:type="dxa"/>
            <w:shd w:val="clear" w:color="auto" w:fill="D9D9D9"/>
            <w:vAlign w:val="center"/>
          </w:tcPr>
          <w:p>
            <w:pPr>
              <w:jc w:val="center"/>
              <w:rPr>
                <w:b/>
                <w:color w:val="auto"/>
                <w:szCs w:val="21"/>
                <w:lang w:eastAsia="zh-CN"/>
              </w:rPr>
            </w:pPr>
            <w:r>
              <w:rPr>
                <w:b/>
                <w:color w:val="auto"/>
                <w:szCs w:val="21"/>
                <w:lang w:eastAsia="zh-CN"/>
              </w:rPr>
              <w:t>需求</w:t>
            </w:r>
          </w:p>
        </w:tc>
        <w:tc>
          <w:tcPr>
            <w:tcW w:w="2125" w:type="dxa"/>
            <w:shd w:val="clear" w:color="auto" w:fill="D9D9D9"/>
            <w:vAlign w:val="center"/>
          </w:tcPr>
          <w:p>
            <w:pPr>
              <w:jc w:val="center"/>
              <w:rPr>
                <w:b/>
                <w:color w:val="auto"/>
                <w:szCs w:val="21"/>
                <w:lang w:eastAsia="zh-CN"/>
              </w:rPr>
            </w:pPr>
            <w:r>
              <w:rPr>
                <w:b/>
                <w:color w:val="auto"/>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38" w:edGrp="everyone"/>
          </w:p>
        </w:tc>
        <w:tc>
          <w:tcPr>
            <w:tcW w:w="7128" w:type="dxa"/>
            <w:vAlign w:val="center"/>
          </w:tcPr>
          <w:p>
            <w:pPr>
              <w:spacing w:line="276" w:lineRule="auto"/>
              <w:jc w:val="both"/>
              <w:rPr>
                <w:color w:val="auto"/>
                <w:szCs w:val="21"/>
                <w:shd w:val="clear" w:color="FFFFFF" w:fill="D9D9D9"/>
                <w:lang w:val="en-US" w:eastAsia="zh-CN"/>
              </w:rPr>
            </w:pPr>
            <w:r>
              <w:rPr>
                <w:rFonts w:hint="eastAsia"/>
                <w:color w:val="auto"/>
                <w:szCs w:val="21"/>
                <w:lang w:eastAsia="zh-CN"/>
              </w:rPr>
              <w:t>需保证设备密封性良好，不泄露。</w:t>
            </w:r>
          </w:p>
        </w:tc>
        <w:tc>
          <w:tcPr>
            <w:tcW w:w="2125" w:type="dxa"/>
            <w:vAlign w:val="center"/>
          </w:tcPr>
          <w:p>
            <w:pPr>
              <w:jc w:val="both"/>
              <w:rPr>
                <w:color w:val="auto"/>
                <w:szCs w:val="21"/>
                <w:shd w:val="clear" w:color="FFFFFF" w:fill="D9D9D9"/>
                <w:lang w:eastAsia="zh-CN"/>
              </w:rPr>
            </w:pP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color w:val="auto"/>
                <w:szCs w:val="21"/>
              </w:rPr>
            </w:pPr>
            <w:permStart w:id="39" w:edGrp="everyone"/>
            <w:permEnd w:id="39"/>
          </w:p>
        </w:tc>
        <w:tc>
          <w:tcPr>
            <w:tcW w:w="7128" w:type="dxa"/>
            <w:shd w:val="clear" w:color="auto" w:fill="D9D9D9"/>
            <w:vAlign w:val="center"/>
          </w:tcPr>
          <w:p>
            <w:pPr>
              <w:jc w:val="both"/>
              <w:rPr>
                <w:color w:val="auto"/>
                <w:szCs w:val="21"/>
                <w:lang w:eastAsia="zh-CN"/>
              </w:rPr>
            </w:pPr>
            <w:r>
              <w:rPr>
                <w:color w:val="auto"/>
                <w:szCs w:val="21"/>
                <w:lang w:eastAsia="zh-CN"/>
              </w:rPr>
              <w:t>电气保护</w:t>
            </w:r>
          </w:p>
        </w:tc>
        <w:tc>
          <w:tcPr>
            <w:tcW w:w="2125" w:type="dxa"/>
            <w:shd w:val="clear" w:color="auto" w:fill="D9D9D9"/>
            <w:vAlign w:val="center"/>
          </w:tcPr>
          <w:p>
            <w:pPr>
              <w:jc w:val="both"/>
              <w:rPr>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ind w:firstLine="0" w:firstLineChars="0"/>
              <w:rPr>
                <w:rFonts w:ascii="Times New Roman" w:hAnsi="Times New Roman"/>
                <w:color w:val="auto"/>
                <w:szCs w:val="21"/>
              </w:rPr>
            </w:pPr>
            <w:permStart w:id="40" w:edGrp="everyone"/>
          </w:p>
        </w:tc>
        <w:tc>
          <w:tcPr>
            <w:tcW w:w="9253" w:type="dxa"/>
            <w:gridSpan w:val="2"/>
            <w:vAlign w:val="center"/>
          </w:tcPr>
          <w:p>
            <w:pPr>
              <w:jc w:val="both"/>
              <w:rPr>
                <w:color w:val="auto"/>
                <w:szCs w:val="21"/>
                <w:lang w:eastAsia="zh-CN"/>
              </w:rPr>
            </w:pPr>
            <w:r>
              <w:rPr>
                <w:rFonts w:hint="eastAsia"/>
                <w:color w:val="auto"/>
                <w:szCs w:val="21"/>
                <w:lang w:val="en-US" w:eastAsia="zh-CN"/>
              </w:rPr>
              <w:t>N/A</w:t>
            </w:r>
          </w:p>
        </w:tc>
      </w:tr>
      <w:permEnd w:id="40"/>
    </w:tbl>
    <w:p>
      <w:pPr>
        <w:rPr>
          <w:color w:val="auto"/>
          <w:szCs w:val="21"/>
          <w:lang w:eastAsia="zh-CN"/>
        </w:rPr>
      </w:pPr>
    </w:p>
    <w:p>
      <w:pPr>
        <w:pStyle w:val="30"/>
        <w:numPr>
          <w:ilvl w:val="0"/>
          <w:numId w:val="3"/>
        </w:numPr>
        <w:spacing w:after="158" w:afterLines="50"/>
        <w:ind w:left="426" w:hanging="426" w:hangingChars="202"/>
        <w:outlineLvl w:val="0"/>
        <w:rPr>
          <w:rFonts w:ascii="Times New Roman" w:hAnsi="Times New Roman"/>
          <w:b/>
          <w:color w:val="auto"/>
        </w:rPr>
      </w:pPr>
      <w:bookmarkStart w:id="42" w:name="_Toc522107743"/>
      <w:bookmarkStart w:id="43" w:name="_Toc522716124"/>
      <w:r>
        <w:rPr>
          <w:rFonts w:ascii="Times New Roman" w:hAnsi="Times New Roman"/>
          <w:b/>
          <w:color w:val="auto"/>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color w:val="auto"/>
                <w:szCs w:val="21"/>
              </w:rPr>
            </w:pPr>
            <w:permStart w:id="41" w:edGrp="everyone"/>
            <w:permEnd w:id="41"/>
            <w:r>
              <w:rPr>
                <w:b/>
                <w:color w:val="auto"/>
                <w:szCs w:val="21"/>
              </w:rPr>
              <w:t>编号</w:t>
            </w:r>
          </w:p>
        </w:tc>
        <w:tc>
          <w:tcPr>
            <w:tcW w:w="7128" w:type="dxa"/>
            <w:shd w:val="clear" w:color="auto" w:fill="D9D9D9"/>
            <w:vAlign w:val="center"/>
          </w:tcPr>
          <w:p>
            <w:pPr>
              <w:jc w:val="center"/>
              <w:rPr>
                <w:b/>
                <w:color w:val="auto"/>
                <w:szCs w:val="21"/>
                <w:lang w:eastAsia="zh-CN"/>
              </w:rPr>
            </w:pPr>
            <w:r>
              <w:rPr>
                <w:b/>
                <w:color w:val="auto"/>
                <w:szCs w:val="21"/>
                <w:lang w:eastAsia="zh-CN"/>
              </w:rPr>
              <w:t>需求</w:t>
            </w:r>
          </w:p>
        </w:tc>
        <w:tc>
          <w:tcPr>
            <w:tcW w:w="2125" w:type="dxa"/>
            <w:shd w:val="clear" w:color="auto" w:fill="D9D9D9"/>
            <w:vAlign w:val="center"/>
          </w:tcPr>
          <w:p>
            <w:pPr>
              <w:jc w:val="center"/>
              <w:rPr>
                <w:b/>
                <w:color w:val="auto"/>
                <w:szCs w:val="21"/>
                <w:lang w:eastAsia="zh-CN"/>
              </w:rPr>
            </w:pPr>
            <w:r>
              <w:rPr>
                <w:b/>
                <w:color w:val="auto"/>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42" w:edGrp="everyone"/>
          </w:p>
        </w:tc>
        <w:tc>
          <w:tcPr>
            <w:tcW w:w="7128" w:type="dxa"/>
            <w:vAlign w:val="center"/>
          </w:tcPr>
          <w:p>
            <w:pPr>
              <w:jc w:val="both"/>
              <w:rPr>
                <w:color w:val="auto"/>
                <w:szCs w:val="21"/>
                <w:lang w:eastAsia="zh-CN"/>
              </w:rPr>
            </w:pPr>
            <w:r>
              <w:rPr>
                <w:rFonts w:hint="eastAsia"/>
                <w:color w:val="auto"/>
                <w:szCs w:val="21"/>
                <w:lang w:eastAsia="zh-CN"/>
              </w:rPr>
              <w:t>附带层析柱文件及相应的操作</w:t>
            </w:r>
            <w:r>
              <w:rPr>
                <w:rFonts w:hint="eastAsia"/>
                <w:color w:val="auto"/>
                <w:szCs w:val="21"/>
                <w:lang w:val="en-US" w:eastAsia="zh-CN"/>
              </w:rPr>
              <w:t>使</w:t>
            </w:r>
            <w:r>
              <w:rPr>
                <w:rFonts w:hint="eastAsia"/>
                <w:color w:val="auto"/>
                <w:szCs w:val="21"/>
                <w:lang w:eastAsia="zh-CN"/>
              </w:rPr>
              <w:t>用说明书。</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43" w:edGrp="everyone"/>
          </w:p>
        </w:tc>
        <w:tc>
          <w:tcPr>
            <w:tcW w:w="7128" w:type="dxa"/>
            <w:vAlign w:val="center"/>
          </w:tcPr>
          <w:p>
            <w:pPr>
              <w:jc w:val="both"/>
              <w:rPr>
                <w:color w:val="auto"/>
                <w:szCs w:val="21"/>
                <w:lang w:eastAsia="zh-CN"/>
              </w:rPr>
            </w:pPr>
            <w:r>
              <w:rPr>
                <w:rFonts w:hint="eastAsia"/>
                <w:color w:val="auto"/>
                <w:lang w:eastAsia="zh-CN"/>
              </w:rPr>
              <w:t>投标文件、合同及订单。</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44" w:edGrp="everyone"/>
          </w:p>
        </w:tc>
        <w:tc>
          <w:tcPr>
            <w:tcW w:w="7128" w:type="dxa"/>
            <w:vAlign w:val="center"/>
          </w:tcPr>
          <w:p>
            <w:pPr>
              <w:jc w:val="both"/>
              <w:rPr>
                <w:color w:val="auto"/>
                <w:szCs w:val="21"/>
                <w:lang w:eastAsia="zh-CN"/>
              </w:rPr>
            </w:pPr>
            <w:r>
              <w:rPr>
                <w:rFonts w:hint="eastAsia"/>
                <w:color w:val="auto"/>
                <w:szCs w:val="21"/>
                <w:lang w:eastAsia="zh-CN"/>
              </w:rPr>
              <w:t>卖方发运清单及相关检验报告。</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45" w:edGrp="everyone"/>
          </w:p>
        </w:tc>
        <w:tc>
          <w:tcPr>
            <w:tcW w:w="7128" w:type="dxa"/>
            <w:vAlign w:val="center"/>
          </w:tcPr>
          <w:p>
            <w:pPr>
              <w:jc w:val="both"/>
              <w:rPr>
                <w:color w:val="auto"/>
                <w:szCs w:val="21"/>
                <w:lang w:eastAsia="zh-CN"/>
              </w:rPr>
            </w:pPr>
            <w:r>
              <w:rPr>
                <w:rFonts w:hint="eastAsia"/>
                <w:color w:val="auto"/>
                <w:szCs w:val="21"/>
                <w:lang w:eastAsia="zh-CN"/>
              </w:rPr>
              <w:t>系统功能配置清单</w:t>
            </w:r>
            <w:r>
              <w:rPr>
                <w:color w:val="auto"/>
                <w:szCs w:val="21"/>
                <w:lang w:eastAsia="zh-CN"/>
              </w:rPr>
              <w:t>&amp;</w:t>
            </w:r>
            <w:r>
              <w:rPr>
                <w:rFonts w:hint="eastAsia"/>
                <w:color w:val="auto"/>
                <w:szCs w:val="21"/>
                <w:lang w:eastAsia="zh-CN"/>
              </w:rPr>
              <w:t>说明，包含各组件名称、编号、型号、规格、品牌、材质等。</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46" w:edGrp="everyone"/>
          </w:p>
        </w:tc>
        <w:tc>
          <w:tcPr>
            <w:tcW w:w="7128" w:type="dxa"/>
            <w:vAlign w:val="center"/>
          </w:tcPr>
          <w:p>
            <w:pPr>
              <w:jc w:val="both"/>
              <w:rPr>
                <w:color w:val="auto"/>
                <w:szCs w:val="21"/>
                <w:lang w:eastAsia="zh-CN"/>
              </w:rPr>
            </w:pPr>
            <w:r>
              <w:rPr>
                <w:rFonts w:hint="eastAsia"/>
                <w:color w:val="auto"/>
                <w:szCs w:val="21"/>
                <w:lang w:eastAsia="zh-CN"/>
              </w:rPr>
              <w:t>设备标准技术文件。</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47" w:edGrp="everyone"/>
          </w:p>
        </w:tc>
        <w:tc>
          <w:tcPr>
            <w:tcW w:w="7128" w:type="dxa"/>
            <w:vAlign w:val="center"/>
          </w:tcPr>
          <w:p>
            <w:pPr>
              <w:jc w:val="both"/>
              <w:rPr>
                <w:color w:val="auto"/>
                <w:szCs w:val="21"/>
                <w:lang w:eastAsia="zh-CN"/>
              </w:rPr>
            </w:pPr>
            <w:r>
              <w:rPr>
                <w:rFonts w:hint="eastAsia"/>
                <w:color w:val="auto"/>
                <w:lang w:eastAsia="zh-CN"/>
              </w:rPr>
              <w:t>图纸：实物图；各种确认、维修等活动所需的电子版及打印版图纸（尺寸图、电气图、布局图、安装连接图、细节图、PLC图等）、P&amp;ID图（至少是控制原理图）、构架图等；图纸说明及清单。</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48" w:edGrp="everyone"/>
          </w:p>
        </w:tc>
        <w:tc>
          <w:tcPr>
            <w:tcW w:w="7128" w:type="dxa"/>
            <w:vAlign w:val="center"/>
          </w:tcPr>
          <w:p>
            <w:pPr>
              <w:jc w:val="both"/>
              <w:rPr>
                <w:color w:val="auto"/>
                <w:szCs w:val="21"/>
                <w:lang w:eastAsia="zh-CN"/>
              </w:rPr>
            </w:pPr>
            <w:r>
              <w:rPr>
                <w:rFonts w:hint="eastAsia"/>
                <w:color w:val="auto"/>
                <w:lang w:eastAsia="zh-CN"/>
              </w:rPr>
              <w:t>组件清单、易损件清单、备用零件、消耗品清单：包括名称、编号、对应厂家名称、生产地、规格及必要说明。</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49" w:edGrp="everyone"/>
          </w:p>
        </w:tc>
        <w:tc>
          <w:tcPr>
            <w:tcW w:w="7128" w:type="dxa"/>
            <w:vAlign w:val="center"/>
          </w:tcPr>
          <w:p>
            <w:pPr>
              <w:jc w:val="both"/>
              <w:rPr>
                <w:color w:val="auto"/>
                <w:szCs w:val="21"/>
                <w:lang w:eastAsia="zh-CN"/>
              </w:rPr>
            </w:pPr>
            <w:r>
              <w:rPr>
                <w:rFonts w:hint="eastAsia"/>
                <w:color w:val="auto"/>
                <w:lang w:eastAsia="zh-CN"/>
              </w:rPr>
              <w:t>设备厂家文件：工厂相关检测报告、材质清单材质证书（写明材料有效期）、各种标示、出厂合格证、各组件相关报告及合格证。</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0" w:edGrp="everyone"/>
          </w:p>
        </w:tc>
        <w:tc>
          <w:tcPr>
            <w:tcW w:w="7128" w:type="dxa"/>
            <w:vAlign w:val="center"/>
          </w:tcPr>
          <w:p>
            <w:pPr>
              <w:jc w:val="both"/>
              <w:rPr>
                <w:color w:val="auto"/>
                <w:szCs w:val="21"/>
                <w:lang w:eastAsia="zh-CN"/>
              </w:rPr>
            </w:pPr>
            <w:r>
              <w:rPr>
                <w:rFonts w:hint="eastAsia"/>
                <w:color w:val="auto"/>
                <w:lang w:eastAsia="zh-CN"/>
              </w:rPr>
              <w:t>设备操作手册（SOP）：语言为中文，应说明校准周期，并能提供校准服务（此项服务可付费）。</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1" w:edGrp="everyone"/>
          </w:p>
        </w:tc>
        <w:tc>
          <w:tcPr>
            <w:tcW w:w="7128" w:type="dxa"/>
            <w:vAlign w:val="center"/>
          </w:tcPr>
          <w:p>
            <w:pPr>
              <w:jc w:val="both"/>
              <w:rPr>
                <w:color w:val="auto"/>
                <w:lang w:eastAsia="zh-CN"/>
              </w:rPr>
            </w:pPr>
            <w:r>
              <w:rPr>
                <w:rFonts w:hint="eastAsia"/>
                <w:color w:val="auto"/>
                <w:lang w:val="en-US" w:eastAsia="zh-CN"/>
              </w:rPr>
              <w:t>仪器仪表清单和相关校验报告及计量证书（提供所有在该设备上安装的仪表、传感器的校验证书，且证书有效期自设备到货之日起不少于</w:t>
            </w:r>
            <w:r>
              <w:rPr>
                <w:color w:val="auto"/>
                <w:lang w:val="en-US" w:eastAsia="zh-CN"/>
              </w:rPr>
              <w:t>8</w:t>
            </w:r>
            <w:r>
              <w:rPr>
                <w:rFonts w:hint="eastAsia"/>
                <w:color w:val="auto"/>
                <w:lang w:val="en-US" w:eastAsia="zh-CN"/>
              </w:rPr>
              <w:t>个月）。</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2" w:edGrp="everyone"/>
          </w:p>
        </w:tc>
        <w:tc>
          <w:tcPr>
            <w:tcW w:w="7128" w:type="dxa"/>
            <w:vAlign w:val="center"/>
          </w:tcPr>
          <w:p>
            <w:pPr>
              <w:jc w:val="both"/>
              <w:rPr>
                <w:color w:val="auto"/>
                <w:lang w:eastAsia="zh-CN"/>
              </w:rPr>
            </w:pPr>
            <w:r>
              <w:rPr>
                <w:rFonts w:hint="eastAsia"/>
                <w:color w:val="auto"/>
                <w:lang w:eastAsia="zh-CN"/>
              </w:rPr>
              <w:t>安全报告。</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3" w:edGrp="everyone"/>
          </w:p>
        </w:tc>
        <w:tc>
          <w:tcPr>
            <w:tcW w:w="7128" w:type="dxa"/>
            <w:vAlign w:val="center"/>
          </w:tcPr>
          <w:p>
            <w:pPr>
              <w:jc w:val="both"/>
              <w:rPr>
                <w:color w:val="auto"/>
                <w:lang w:eastAsia="zh-CN"/>
              </w:rPr>
            </w:pPr>
            <w:r>
              <w:rPr>
                <w:rFonts w:hint="eastAsia"/>
                <w:color w:val="auto"/>
                <w:lang w:eastAsia="zh-CN"/>
              </w:rPr>
              <w:t>设备交付计划表。</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4" w:edGrp="everyone"/>
          </w:p>
        </w:tc>
        <w:tc>
          <w:tcPr>
            <w:tcW w:w="7128" w:type="dxa"/>
            <w:vAlign w:val="center"/>
          </w:tcPr>
          <w:p>
            <w:pPr>
              <w:jc w:val="both"/>
              <w:rPr>
                <w:color w:val="auto"/>
                <w:lang w:eastAsia="zh-CN"/>
              </w:rPr>
            </w:pPr>
            <w:r>
              <w:rPr>
                <w:rFonts w:hint="eastAsia"/>
                <w:color w:val="auto"/>
                <w:lang w:eastAsia="zh-CN"/>
              </w:rPr>
              <w:t>现场验收测试（</w:t>
            </w:r>
            <w:r>
              <w:rPr>
                <w:color w:val="auto"/>
                <w:lang w:eastAsia="zh-CN"/>
              </w:rPr>
              <w:t>SAT</w:t>
            </w:r>
            <w:r>
              <w:rPr>
                <w:rFonts w:hint="eastAsia"/>
                <w:color w:val="auto"/>
                <w:lang w:eastAsia="zh-CN"/>
              </w:rPr>
              <w:t>）报告。</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5" w:edGrp="everyone"/>
          </w:p>
        </w:tc>
        <w:tc>
          <w:tcPr>
            <w:tcW w:w="7128" w:type="dxa"/>
            <w:vAlign w:val="center"/>
          </w:tcPr>
          <w:p>
            <w:pPr>
              <w:rPr>
                <w:color w:val="auto"/>
                <w:lang w:eastAsia="zh-CN"/>
              </w:rPr>
            </w:pPr>
            <w:r>
              <w:rPr>
                <w:rFonts w:hint="eastAsia"/>
                <w:color w:val="auto"/>
                <w:lang w:eastAsia="zh-CN"/>
              </w:rPr>
              <w:t>验证文件：</w:t>
            </w:r>
          </w:p>
          <w:p>
            <w:pPr>
              <w:rPr>
                <w:color w:val="auto"/>
                <w:lang w:eastAsia="zh-CN"/>
              </w:rPr>
            </w:pPr>
            <w:r>
              <w:rPr>
                <w:rFonts w:hint="eastAsia"/>
                <w:color w:val="auto"/>
                <w:lang w:eastAsia="zh-CN"/>
              </w:rPr>
              <w:t>（1）验证计划</w:t>
            </w:r>
          </w:p>
          <w:p>
            <w:pPr>
              <w:rPr>
                <w:color w:val="auto"/>
                <w:lang w:eastAsia="zh-CN"/>
              </w:rPr>
            </w:pPr>
            <w:r>
              <w:rPr>
                <w:rFonts w:hint="eastAsia"/>
                <w:color w:val="auto"/>
                <w:lang w:eastAsia="zh-CN"/>
              </w:rPr>
              <w:t>（2）满足GMP和GAMP5等相关法规的评估文件</w:t>
            </w:r>
          </w:p>
          <w:p>
            <w:pPr>
              <w:rPr>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）安装确认及文件（IQ）；</w:t>
            </w:r>
          </w:p>
          <w:p>
            <w:pPr>
              <w:rPr>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）运行确认及文件（OQ）；</w:t>
            </w:r>
          </w:p>
          <w:p>
            <w:pPr>
              <w:rPr>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）验证总结报告（VSR）</w:t>
            </w:r>
          </w:p>
          <w:p>
            <w:pPr>
              <w:jc w:val="both"/>
              <w:rPr>
                <w:rFonts w:hint="eastAsia"/>
                <w:color w:val="auto"/>
                <w:lang w:eastAsia="zh-CN"/>
              </w:rPr>
            </w:pPr>
            <w:r>
              <w:rPr>
                <w:rFonts w:hint="eastAsia"/>
                <w:color w:val="auto"/>
                <w:lang w:eastAsia="zh-CN"/>
              </w:rPr>
              <w:t>（</w:t>
            </w:r>
            <w:r>
              <w:rPr>
                <w:rFonts w:hint="eastAsia"/>
                <w:color w:val="auto"/>
                <w:lang w:val="en-US" w:eastAsia="zh-CN"/>
              </w:rPr>
              <w:t>6</w:t>
            </w:r>
            <w:r>
              <w:rPr>
                <w:rFonts w:hint="eastAsia"/>
                <w:color w:val="auto"/>
                <w:lang w:eastAsia="zh-CN"/>
              </w:rPr>
              <w:t>）设备生产商负责制定设备IQ/OQ验证方案并负责IQ/OQ验证方案的实施，该验证方案作为设备必备文件。</w:t>
            </w:r>
          </w:p>
          <w:p>
            <w:pPr>
              <w:jc w:val="both"/>
              <w:rPr>
                <w:rFonts w:hint="eastAsia"/>
                <w:color w:val="auto"/>
                <w:lang w:eastAsia="zh-CN"/>
              </w:rPr>
            </w:pP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5"/>
    </w:tbl>
    <w:p>
      <w:pPr>
        <w:rPr>
          <w:color w:val="auto"/>
          <w:szCs w:val="21"/>
          <w:lang w:eastAsia="zh-CN"/>
        </w:rPr>
      </w:pPr>
    </w:p>
    <w:p>
      <w:pPr>
        <w:pStyle w:val="30"/>
        <w:numPr>
          <w:ilvl w:val="0"/>
          <w:numId w:val="3"/>
        </w:numPr>
        <w:spacing w:after="158" w:afterLines="50"/>
        <w:ind w:left="426" w:hanging="426" w:hangingChars="202"/>
        <w:outlineLvl w:val="0"/>
        <w:rPr>
          <w:rFonts w:ascii="Times New Roman" w:hAnsi="Times New Roman"/>
          <w:b/>
          <w:color w:val="auto"/>
        </w:rPr>
      </w:pPr>
      <w:bookmarkStart w:id="44" w:name="_Toc522716125"/>
      <w:r>
        <w:rPr>
          <w:rFonts w:ascii="Times New Roman" w:hAnsi="Times New Roman"/>
          <w:b/>
          <w:color w:val="auto"/>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color w:val="auto"/>
                <w:szCs w:val="21"/>
              </w:rPr>
            </w:pPr>
            <w:permStart w:id="56" w:edGrp="everyone"/>
            <w:permEnd w:id="56"/>
            <w:r>
              <w:rPr>
                <w:b/>
                <w:color w:val="auto"/>
                <w:szCs w:val="21"/>
              </w:rPr>
              <w:t>编号</w:t>
            </w:r>
          </w:p>
        </w:tc>
        <w:tc>
          <w:tcPr>
            <w:tcW w:w="7128" w:type="dxa"/>
            <w:shd w:val="clear" w:color="auto" w:fill="D9D9D9"/>
            <w:vAlign w:val="center"/>
          </w:tcPr>
          <w:p>
            <w:pPr>
              <w:jc w:val="center"/>
              <w:rPr>
                <w:b/>
                <w:color w:val="auto"/>
                <w:szCs w:val="21"/>
                <w:lang w:eastAsia="zh-CN"/>
              </w:rPr>
            </w:pPr>
            <w:r>
              <w:rPr>
                <w:b/>
                <w:color w:val="auto"/>
                <w:szCs w:val="21"/>
                <w:lang w:eastAsia="zh-CN"/>
              </w:rPr>
              <w:t>需求</w:t>
            </w:r>
          </w:p>
        </w:tc>
        <w:tc>
          <w:tcPr>
            <w:tcW w:w="2125" w:type="dxa"/>
            <w:shd w:val="clear" w:color="auto" w:fill="D9D9D9"/>
            <w:vAlign w:val="center"/>
          </w:tcPr>
          <w:p>
            <w:pPr>
              <w:jc w:val="center"/>
              <w:rPr>
                <w:b/>
                <w:color w:val="auto"/>
                <w:szCs w:val="21"/>
                <w:lang w:eastAsia="zh-CN"/>
              </w:rPr>
            </w:pPr>
            <w:r>
              <w:rPr>
                <w:b/>
                <w:color w:val="auto"/>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7" w:edGrp="everyone"/>
          </w:p>
        </w:tc>
        <w:tc>
          <w:tcPr>
            <w:tcW w:w="7128" w:type="dxa"/>
            <w:vAlign w:val="center"/>
          </w:tcPr>
          <w:p>
            <w:pPr>
              <w:spacing w:line="276" w:lineRule="auto"/>
              <w:jc w:val="both"/>
              <w:rPr>
                <w:color w:val="auto"/>
                <w:szCs w:val="21"/>
                <w:lang w:eastAsia="zh-CN"/>
              </w:rPr>
            </w:pPr>
            <w:r>
              <w:rPr>
                <w:color w:val="auto"/>
                <w:lang w:eastAsia="zh-CN"/>
              </w:rPr>
              <w:t>设备供应商应免费对设备使用方人员进行全面培训，包括对生产操作人员及设备维护、维修人员，并填写培训记录。</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8" w:edGrp="everyone"/>
          </w:p>
        </w:tc>
        <w:tc>
          <w:tcPr>
            <w:tcW w:w="7128" w:type="dxa"/>
            <w:vAlign w:val="center"/>
          </w:tcPr>
          <w:p>
            <w:pPr>
              <w:spacing w:line="276" w:lineRule="auto"/>
              <w:jc w:val="both"/>
              <w:rPr>
                <w:color w:val="auto"/>
                <w:szCs w:val="21"/>
                <w:lang w:eastAsia="zh-CN"/>
              </w:rPr>
            </w:pPr>
            <w:r>
              <w:rPr>
                <w:color w:val="auto"/>
                <w:lang w:eastAsia="zh-CN"/>
              </w:rPr>
              <w:t>生产操作人员培训包括设备结构原理、性能、操作、清洗消毒、故障排除等基本</w:t>
            </w:r>
            <w:r>
              <w:rPr>
                <w:color w:val="auto"/>
                <w:szCs w:val="21"/>
                <w:lang w:eastAsia="zh-CN"/>
              </w:rPr>
              <w:t>知识</w:t>
            </w:r>
            <w:r>
              <w:rPr>
                <w:color w:val="auto"/>
                <w:lang w:eastAsia="zh-CN"/>
              </w:rPr>
              <w:t>。合格标准为用户参加培训人员能够独立正确操作设备，会排除常见故障。</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59" w:edGrp="everyone"/>
          </w:p>
        </w:tc>
        <w:tc>
          <w:tcPr>
            <w:tcW w:w="7128" w:type="dxa"/>
            <w:vAlign w:val="center"/>
          </w:tcPr>
          <w:p>
            <w:pPr>
              <w:spacing w:line="276" w:lineRule="auto"/>
              <w:jc w:val="both"/>
              <w:rPr>
                <w:color w:val="auto"/>
                <w:lang w:eastAsia="zh-CN"/>
              </w:rPr>
            </w:pPr>
            <w:r>
              <w:rPr>
                <w:color w:val="auto"/>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0" w:edGrp="everyone"/>
          </w:p>
        </w:tc>
        <w:tc>
          <w:tcPr>
            <w:tcW w:w="7128" w:type="dxa"/>
            <w:vAlign w:val="center"/>
          </w:tcPr>
          <w:p>
            <w:pPr>
              <w:spacing w:line="276" w:lineRule="auto"/>
              <w:jc w:val="both"/>
              <w:rPr>
                <w:color w:val="auto"/>
                <w:lang w:val="en-US" w:eastAsia="zh-CN"/>
              </w:rPr>
            </w:pPr>
            <w:r>
              <w:rPr>
                <w:rFonts w:hint="eastAsia"/>
                <w:color w:val="auto"/>
                <w:lang w:val="en-US" w:eastAsia="zh-CN"/>
              </w:rPr>
              <w:t>供应方所派技术人员培训费用由供应方承担。</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1" w:edGrp="everyone"/>
          </w:p>
        </w:tc>
        <w:tc>
          <w:tcPr>
            <w:tcW w:w="7128" w:type="dxa"/>
            <w:vAlign w:val="center"/>
          </w:tcPr>
          <w:p>
            <w:pPr>
              <w:spacing w:line="276" w:lineRule="auto"/>
              <w:jc w:val="both"/>
              <w:rPr>
                <w:color w:val="auto"/>
                <w:szCs w:val="21"/>
                <w:lang w:eastAsia="zh-CN"/>
              </w:rPr>
            </w:pPr>
            <w:r>
              <w:rPr>
                <w:color w:val="auto"/>
                <w:lang w:eastAsia="zh-CN"/>
              </w:rPr>
              <w:t>设备运输在运输途中需做好防护措施，不得有任何损伤。</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2" w:edGrp="everyone"/>
          </w:p>
        </w:tc>
        <w:tc>
          <w:tcPr>
            <w:tcW w:w="7128" w:type="dxa"/>
            <w:vAlign w:val="center"/>
          </w:tcPr>
          <w:p>
            <w:pPr>
              <w:spacing w:line="276" w:lineRule="auto"/>
              <w:jc w:val="both"/>
              <w:rPr>
                <w:i/>
                <w:color w:val="auto"/>
                <w:szCs w:val="21"/>
                <w:lang w:eastAsia="zh-CN"/>
              </w:rPr>
            </w:pPr>
            <w:r>
              <w:rPr>
                <w:rFonts w:hint="eastAsia"/>
                <w:i/>
                <w:color w:val="auto"/>
                <w:szCs w:val="21"/>
                <w:lang w:eastAsia="zh-CN"/>
              </w:rPr>
              <w:t xml:space="preserve"> </w:t>
            </w:r>
            <w:r>
              <w:rPr>
                <w:rFonts w:hint="eastAsia"/>
                <w:iCs/>
                <w:color w:val="auto"/>
                <w:szCs w:val="21"/>
                <w:lang w:eastAsia="zh-CN"/>
              </w:rPr>
              <w:t>验证包括IQ、OQ。</w:t>
            </w:r>
            <w:r>
              <w:rPr>
                <w:rFonts w:hint="eastAsia"/>
                <w:bCs/>
                <w:color w:val="auto"/>
                <w:szCs w:val="21"/>
                <w:lang w:eastAsia="zh-CN"/>
              </w:rPr>
              <w:t>供应商</w:t>
            </w:r>
            <w:r>
              <w:rPr>
                <w:rFonts w:hint="eastAsia"/>
                <w:bCs/>
                <w:color w:val="auto"/>
                <w:szCs w:val="21"/>
                <w:lang w:val="en-US" w:eastAsia="zh-CN"/>
              </w:rPr>
              <w:t>应</w:t>
            </w:r>
            <w:r>
              <w:rPr>
                <w:rFonts w:hint="eastAsia"/>
                <w:bCs/>
                <w:color w:val="auto"/>
                <w:szCs w:val="21"/>
                <w:lang w:eastAsia="zh-CN"/>
              </w:rPr>
              <w:t>派出具备该类系统验证经验，且熟悉验证相关文件编写及验证工作实施的验证工程师开展验证工作。</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3"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供应商按GMP规范完成IQ、OQ工作，并提供相应文件（文件必须无条件符合我所QA要求）。供应商协助执行</w:t>
            </w:r>
            <w:r>
              <w:rPr>
                <w:rFonts w:hint="eastAsia"/>
                <w:color w:val="auto"/>
                <w:szCs w:val="21"/>
                <w:lang w:val="en-US" w:eastAsia="zh-CN"/>
              </w:rPr>
              <w:t>PQ工作。</w:t>
            </w:r>
            <w:r>
              <w:rPr>
                <w:rFonts w:hint="eastAsia"/>
                <w:color w:val="auto"/>
                <w:szCs w:val="21"/>
                <w:lang w:eastAsia="zh-CN"/>
              </w:rPr>
              <w:t>各验证工作开始前验证方案需经过本公司相关部门审核，并经质量保证部批准。</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4"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验证工作应按时保质完成，供应商需提供验证工作计划表。</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5"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验证项目应包含法规要求的测试项目，以及本公司提出的测试项目。</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6"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验证工作完成后，验证记录经本公司相关部门审核，并经质量保证部批准。</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7"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验收前，验证工作已成功完成，验证最终报告已经本公司相关部门审核，并经质量保证部批准。</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8"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设备保质期从设备验收合格之日起计算。</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69"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设备质保期为一年，一年内免费保修，一年后应提供良好的售后服务。</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70"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售后服务必须响应及时，要求设备出现须厂家维修的故障后，应在4小时内明确答复，当电话沟通无法解决时，须</w:t>
            </w:r>
            <w:r>
              <w:rPr>
                <w:rFonts w:hint="eastAsia"/>
                <w:color w:val="auto"/>
                <w:szCs w:val="21"/>
                <w:lang w:val="en-US" w:eastAsia="zh-CN"/>
              </w:rPr>
              <w:t>24</w:t>
            </w:r>
            <w:r>
              <w:rPr>
                <w:rFonts w:hint="eastAsia"/>
                <w:color w:val="auto"/>
                <w:szCs w:val="21"/>
                <w:lang w:eastAsia="zh-CN"/>
              </w:rPr>
              <w:t>小时内派人至现场解决。</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71"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72"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厂家应提供合格的备件，用于设备相应部件的维修、更换。</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73"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质保期内，非需方人为原因所造成的设备故障，供方须无条件免费更换故障部分，更换部分质保期重新计算。</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74"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供应商应定期进行回访，解决设备使用中可能出现的问题，排除潜在的故障，使设备保持良好的工作状态。技术支持包括试运行后定期电话咨询。质保期满前供方至少到现场作免费维护检修1次。</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75"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提供书面的设备维护、保养计划。</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76"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货物到达买方使用现场后，由买卖双方共同验收，卖方工程师免费为买方提供调试。</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ermStart w:id="77"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供应商进厂安装需遵守安全和安装规定。</w:t>
            </w:r>
          </w:p>
        </w:tc>
        <w:tc>
          <w:tcPr>
            <w:tcW w:w="2125" w:type="dxa"/>
            <w:vAlign w:val="center"/>
          </w:tcPr>
          <w:p>
            <w:pPr>
              <w:jc w:val="both"/>
              <w:rPr>
                <w:color w:val="auto"/>
                <w:szCs w:val="21"/>
                <w:lang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lang w:eastAsia="zh-CN"/>
              </w:rPr>
              <w:t>最后验收前必须保证所有的验证工作已完成和达到要求。</w:t>
            </w:r>
          </w:p>
        </w:tc>
        <w:tc>
          <w:tcPr>
            <w:tcW w:w="2125" w:type="dxa"/>
            <w:vAlign w:val="center"/>
          </w:tcPr>
          <w:p>
            <w:pPr>
              <w:jc w:val="both"/>
              <w:rPr>
                <w:color w:val="auto"/>
                <w:szCs w:val="21"/>
                <w:lang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lang w:eastAsia="zh-CN"/>
              </w:rPr>
              <w:t>确认验收合格应包含所有附件及备件。</w:t>
            </w:r>
          </w:p>
        </w:tc>
        <w:tc>
          <w:tcPr>
            <w:tcW w:w="2125" w:type="dxa"/>
            <w:vAlign w:val="center"/>
          </w:tcPr>
          <w:p>
            <w:pPr>
              <w:jc w:val="both"/>
              <w:rPr>
                <w:color w:val="auto"/>
                <w:szCs w:val="21"/>
                <w:lang w:eastAsia="zh-CN"/>
              </w:rPr>
            </w:pPr>
            <w:r>
              <w:rPr>
                <w:rFonts w:hint="eastAsia"/>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auto"/>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确认验收合格后，买卖双方签订验收报告。</w:t>
            </w:r>
          </w:p>
        </w:tc>
        <w:tc>
          <w:tcPr>
            <w:tcW w:w="2125" w:type="dxa"/>
            <w:vAlign w:val="center"/>
          </w:tcPr>
          <w:p>
            <w:pPr>
              <w:jc w:val="both"/>
              <w:rPr>
                <w:color w:val="auto"/>
                <w:szCs w:val="21"/>
                <w:lang w:eastAsia="zh-CN"/>
              </w:rPr>
            </w:pPr>
            <w:r>
              <w:rPr>
                <w:rFonts w:hint="eastAsia"/>
                <w:iCs/>
                <w:color w:val="auto"/>
                <w:szCs w:val="21"/>
                <w:lang w:val="en-US" w:eastAsia="zh-CN"/>
              </w:rPr>
              <w:t>关键</w:t>
            </w:r>
          </w:p>
        </w:tc>
      </w:tr>
      <w:permEnd w:id="77"/>
    </w:tbl>
    <w:p>
      <w:pPr>
        <w:rPr>
          <w:color w:val="auto"/>
        </w:rPr>
      </w:pPr>
    </w:p>
    <w:p>
      <w:pPr>
        <w:pStyle w:val="30"/>
        <w:numPr>
          <w:ilvl w:val="0"/>
          <w:numId w:val="3"/>
        </w:numPr>
        <w:spacing w:after="158" w:afterLines="50"/>
        <w:ind w:left="426" w:hanging="426" w:hangingChars="202"/>
        <w:outlineLvl w:val="0"/>
        <w:rPr>
          <w:rFonts w:ascii="Times New Roman" w:hAnsi="Times New Roman"/>
          <w:b/>
          <w:color w:val="auto"/>
        </w:rPr>
      </w:pPr>
      <w:bookmarkStart w:id="45" w:name="_Toc522107746"/>
      <w:bookmarkStart w:id="46" w:name="_Toc522716126"/>
      <w:r>
        <w:rPr>
          <w:rFonts w:ascii="Times New Roman" w:hAnsi="Times New Roman"/>
          <w:b/>
          <w:color w:val="auto"/>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jc w:val="left"/>
        <w:rPr>
          <w:color w:val="auto"/>
          <w:szCs w:val="21"/>
          <w:lang w:eastAsia="zh-CN"/>
        </w:rPr>
      </w:pPr>
      <w:permStart w:id="78" w:edGrp="everyone"/>
      <w:r>
        <w:rPr>
          <w:rFonts w:hint="eastAsia" w:cs="Times New Roman"/>
          <w:color w:val="auto"/>
          <w:szCs w:val="21"/>
          <w:lang w:eastAsia="zh-CN"/>
        </w:rPr>
        <w:t>招标文件需提供各个零配件品牌及型号。</w:t>
      </w:r>
      <w:permEnd w:id="78"/>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731"/>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122"/>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3F75DE"/>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1F83"/>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094F"/>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2C3D"/>
    <w:rsid w:val="00693018"/>
    <w:rsid w:val="006A0059"/>
    <w:rsid w:val="006A6FEC"/>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207D"/>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D7B6F"/>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2634"/>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3FD0"/>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050F44"/>
    <w:rsid w:val="03E1031D"/>
    <w:rsid w:val="048D6F3D"/>
    <w:rsid w:val="05BB0F32"/>
    <w:rsid w:val="080404E3"/>
    <w:rsid w:val="0807354A"/>
    <w:rsid w:val="085405D8"/>
    <w:rsid w:val="096F7D09"/>
    <w:rsid w:val="09AC1400"/>
    <w:rsid w:val="0CED63F1"/>
    <w:rsid w:val="0CF82A7B"/>
    <w:rsid w:val="0E392FEB"/>
    <w:rsid w:val="12A04F49"/>
    <w:rsid w:val="1488265F"/>
    <w:rsid w:val="171C350E"/>
    <w:rsid w:val="17807C58"/>
    <w:rsid w:val="18937C61"/>
    <w:rsid w:val="1D2E56D3"/>
    <w:rsid w:val="20403D43"/>
    <w:rsid w:val="20404EF6"/>
    <w:rsid w:val="24435627"/>
    <w:rsid w:val="266603B0"/>
    <w:rsid w:val="28DD3750"/>
    <w:rsid w:val="2A88417A"/>
    <w:rsid w:val="2AD23621"/>
    <w:rsid w:val="2BE33EE5"/>
    <w:rsid w:val="2D397054"/>
    <w:rsid w:val="2F9567D2"/>
    <w:rsid w:val="2FA831F6"/>
    <w:rsid w:val="327D7174"/>
    <w:rsid w:val="33D23F73"/>
    <w:rsid w:val="33F236D9"/>
    <w:rsid w:val="35081EB1"/>
    <w:rsid w:val="36BE468B"/>
    <w:rsid w:val="37F52699"/>
    <w:rsid w:val="3BC4646E"/>
    <w:rsid w:val="3D172343"/>
    <w:rsid w:val="4085602D"/>
    <w:rsid w:val="41E018F0"/>
    <w:rsid w:val="44972ED4"/>
    <w:rsid w:val="46670673"/>
    <w:rsid w:val="471C6730"/>
    <w:rsid w:val="474016A1"/>
    <w:rsid w:val="4E58323A"/>
    <w:rsid w:val="513A77EF"/>
    <w:rsid w:val="527826EB"/>
    <w:rsid w:val="53A72F43"/>
    <w:rsid w:val="53B72C3B"/>
    <w:rsid w:val="587F6D37"/>
    <w:rsid w:val="5A4022C7"/>
    <w:rsid w:val="5B4A524C"/>
    <w:rsid w:val="5C211A1F"/>
    <w:rsid w:val="5C7B666C"/>
    <w:rsid w:val="5D823ACA"/>
    <w:rsid w:val="5FB77C8D"/>
    <w:rsid w:val="61167738"/>
    <w:rsid w:val="62202F3B"/>
    <w:rsid w:val="631826B5"/>
    <w:rsid w:val="65AB7401"/>
    <w:rsid w:val="693257FE"/>
    <w:rsid w:val="6A3A5049"/>
    <w:rsid w:val="6D652796"/>
    <w:rsid w:val="6DAF17B6"/>
    <w:rsid w:val="6DBA02D2"/>
    <w:rsid w:val="71063F9C"/>
    <w:rsid w:val="71335ABF"/>
    <w:rsid w:val="728F1E80"/>
    <w:rsid w:val="72CD6C46"/>
    <w:rsid w:val="76250229"/>
    <w:rsid w:val="76302756"/>
    <w:rsid w:val="765F11D5"/>
    <w:rsid w:val="7A733E8D"/>
    <w:rsid w:val="7B536882"/>
    <w:rsid w:val="7CF859E0"/>
    <w:rsid w:val="7D6B37FB"/>
    <w:rsid w:val="7D892D17"/>
    <w:rsid w:val="7FC10EE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link w:val="15"/>
    <w:qFormat/>
    <w:uiPriority w:val="0"/>
    <w:rPr>
      <w:rFonts w:eastAsia="宋体"/>
      <w:sz w:val="24"/>
      <w:lang w:eastAsia="en-US" w:bidi="ar-SA"/>
    </w:rPr>
  </w:style>
  <w:style w:type="character" w:customStyle="1" w:styleId="37">
    <w:name w:val="批注文字 字符"/>
    <w:link w:val="7"/>
    <w:semiHidden/>
    <w:qFormat/>
    <w:uiPriority w:val="0"/>
    <w:rPr>
      <w:sz w:val="24"/>
      <w:lang w:eastAsia="en-US"/>
    </w:rPr>
  </w:style>
  <w:style w:type="character" w:customStyle="1" w:styleId="38">
    <w:name w:val="页脚 字符"/>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字符"/>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834</Words>
  <Characters>4759</Characters>
  <Lines>39</Lines>
  <Paragraphs>11</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2020-04-17T04:10:00Z</cp:lastPrinted>
  <dcterms:modified xsi:type="dcterms:W3CDTF">2020-05-12T07:27:18Z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