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3400307"/>
      <w:bookmarkStart w:id="1" w:name="_Toc484532399"/>
      <w:bookmarkStart w:id="2" w:name="_Toc483227223"/>
      <w:bookmarkStart w:id="3" w:name="_Toc482717189"/>
      <w:bookmarkStart w:id="4" w:name="_Toc483666358"/>
    </w:p>
    <w:p>
      <w:pPr>
        <w:spacing w:afterLines="50"/>
        <w:jc w:val="center"/>
        <w:rPr>
          <w:b/>
          <w:szCs w:val="21"/>
          <w:lang w:eastAsia="zh-CN"/>
        </w:rPr>
      </w:pPr>
      <w:r>
        <w:rPr>
          <w:rFonts w:hint="eastAsia"/>
          <w:b/>
          <w:sz w:val="28"/>
          <w:szCs w:val="28"/>
          <w:lang w:eastAsia="zh-CN"/>
        </w:rPr>
        <w:t>电热恒温水浴箱</w:t>
      </w:r>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Lines="50" w:line="240" w:lineRule="auto"/>
        <w:jc w:val="center"/>
        <w:rPr>
          <w:sz w:val="21"/>
          <w:szCs w:val="21"/>
          <w:lang w:val="zh-CN" w:eastAsia="zh-CN"/>
        </w:rPr>
      </w:pPr>
      <w:r>
        <w:rPr>
          <w:sz w:val="21"/>
          <w:szCs w:val="21"/>
          <w:lang w:val="zh-CN" w:eastAsia="zh-CN"/>
        </w:rPr>
        <w:t>目录</w:t>
      </w:r>
    </w:p>
    <w:p>
      <w:pPr>
        <w:pStyle w:val="16"/>
        <w:rPr>
          <w:b w:val="0"/>
          <w:bCs w:val="0"/>
          <w:caps w:val="0"/>
          <w:szCs w:val="22"/>
        </w:rPr>
      </w:pPr>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1"/>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 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 HYPERLINK \l "_Toc522716121" </w:instrText>
      </w:r>
      <w:r>
        <w:fldChar w:fldCharType="separate"/>
      </w:r>
      <w:r>
        <w:rPr>
          <w:rStyle w:val="21"/>
        </w:rPr>
        <w:t>7</w:t>
      </w:r>
      <w:r>
        <w:rPr>
          <w:b w:val="0"/>
          <w:bCs w:val="0"/>
          <w:caps w:val="0"/>
          <w:szCs w:val="22"/>
        </w:rPr>
        <w:tab/>
      </w:r>
      <w:r>
        <w:rPr>
          <w:rStyle w:val="21"/>
        </w:rPr>
        <w:t>运行要求</w:t>
      </w:r>
      <w:r>
        <w:tab/>
      </w:r>
      <w:r>
        <w:rPr>
          <w:rFonts w:hint="eastAsia"/>
        </w:rPr>
        <w:t>7</w:t>
      </w:r>
      <w:r>
        <w:rPr>
          <w:rFonts w:hint="eastAsia"/>
        </w:rPr>
        <w:fldChar w:fldCharType="end"/>
      </w:r>
    </w:p>
    <w:p>
      <w:pPr>
        <w:pStyle w:val="16"/>
        <w:rPr>
          <w:b w:val="0"/>
          <w:bCs w:val="0"/>
          <w:caps w:val="0"/>
          <w:szCs w:val="22"/>
        </w:rPr>
      </w:pPr>
      <w:r>
        <w:fldChar w:fldCharType="begin"/>
      </w:r>
      <w:r>
        <w:instrText xml:space="preserve"> HYPERLINK \l "_Toc522716122" </w:instrText>
      </w:r>
      <w:r>
        <w:fldChar w:fldCharType="separate"/>
      </w:r>
      <w:r>
        <w:rPr>
          <w:rStyle w:val="21"/>
        </w:rPr>
        <w:t>8</w:t>
      </w:r>
      <w:r>
        <w:rPr>
          <w:b w:val="0"/>
          <w:bCs w:val="0"/>
          <w:caps w:val="0"/>
          <w:szCs w:val="22"/>
        </w:rPr>
        <w:tab/>
      </w:r>
      <w:r>
        <w:rPr>
          <w:rStyle w:val="21"/>
        </w:rPr>
        <w:t>电气、自动控制要求</w:t>
      </w:r>
      <w:r>
        <w:tab/>
      </w:r>
      <w:r>
        <w:rPr>
          <w:rFonts w:hint="eastAsia"/>
        </w:rPr>
        <w:t>9</w:t>
      </w:r>
      <w:r>
        <w:rPr>
          <w:rFonts w:hint="eastAsia"/>
        </w:rPr>
        <w:fldChar w:fldCharType="end"/>
      </w:r>
    </w:p>
    <w:p>
      <w:pPr>
        <w:pStyle w:val="16"/>
        <w:rPr>
          <w:b w:val="0"/>
          <w:bCs w:val="0"/>
          <w:caps w:val="0"/>
          <w:szCs w:val="22"/>
        </w:rPr>
      </w:pPr>
      <w:r>
        <w:fldChar w:fldCharType="begin"/>
      </w:r>
      <w:r>
        <w:instrText xml:space="preserve"> HYPERLINK \l "_Toc522716123" </w:instrText>
      </w:r>
      <w:r>
        <w:fldChar w:fldCharType="separate"/>
      </w:r>
      <w:r>
        <w:rPr>
          <w:rStyle w:val="21"/>
        </w:rPr>
        <w:t>9</w:t>
      </w:r>
      <w:r>
        <w:rPr>
          <w:b w:val="0"/>
          <w:bCs w:val="0"/>
          <w:caps w:val="0"/>
          <w:szCs w:val="22"/>
        </w:rPr>
        <w:tab/>
      </w:r>
      <w:r>
        <w:rPr>
          <w:rStyle w:val="21"/>
        </w:rPr>
        <w:t>安全要求</w:t>
      </w:r>
      <w:r>
        <w:tab/>
      </w:r>
      <w:r>
        <w:rPr>
          <w:rFonts w:hint="eastAsia"/>
        </w:rPr>
        <w:t>11</w:t>
      </w:r>
      <w:r>
        <w:rPr>
          <w:rFonts w:hint="eastAsia"/>
        </w:rPr>
        <w:fldChar w:fldCharType="end"/>
      </w:r>
    </w:p>
    <w:p>
      <w:pPr>
        <w:pStyle w:val="16"/>
        <w:rPr>
          <w:b w:val="0"/>
          <w:bCs w:val="0"/>
          <w:caps w:val="0"/>
          <w:szCs w:val="22"/>
        </w:rPr>
      </w:pPr>
      <w:r>
        <w:fldChar w:fldCharType="begin"/>
      </w:r>
      <w:r>
        <w:instrText xml:space="preserve"> HYPERLINK \l "_Toc522716124" </w:instrText>
      </w:r>
      <w:r>
        <w:fldChar w:fldCharType="separate"/>
      </w:r>
      <w:r>
        <w:rPr>
          <w:rStyle w:val="21"/>
        </w:rPr>
        <w:t>10</w:t>
      </w:r>
      <w:r>
        <w:rPr>
          <w:b w:val="0"/>
          <w:bCs w:val="0"/>
          <w:caps w:val="0"/>
          <w:szCs w:val="22"/>
        </w:rPr>
        <w:tab/>
      </w:r>
      <w:r>
        <w:rPr>
          <w:rStyle w:val="21"/>
        </w:rPr>
        <w:t>文件要求</w:t>
      </w:r>
      <w:r>
        <w:tab/>
      </w:r>
      <w:r>
        <w:rPr>
          <w:rFonts w:hint="eastAsia"/>
        </w:rPr>
        <w:t>12</w:t>
      </w:r>
      <w:r>
        <w:rPr>
          <w:rFonts w:hint="eastAsia"/>
        </w:rPr>
        <w:fldChar w:fldCharType="end"/>
      </w:r>
    </w:p>
    <w:p>
      <w:pPr>
        <w:pStyle w:val="16"/>
        <w:rPr>
          <w:b w:val="0"/>
          <w:bCs w:val="0"/>
          <w:caps w:val="0"/>
          <w:szCs w:val="22"/>
        </w:rPr>
      </w:pPr>
      <w:r>
        <w:fldChar w:fldCharType="begin"/>
      </w:r>
      <w:r>
        <w:instrText xml:space="preserve"> HYPERLINK \l "_Toc522716125" </w:instrText>
      </w:r>
      <w:r>
        <w:fldChar w:fldCharType="separate"/>
      </w:r>
      <w:r>
        <w:rPr>
          <w:rStyle w:val="21"/>
        </w:rPr>
        <w:t>11</w:t>
      </w:r>
      <w:r>
        <w:rPr>
          <w:b w:val="0"/>
          <w:bCs w:val="0"/>
          <w:caps w:val="0"/>
          <w:szCs w:val="22"/>
        </w:rPr>
        <w:tab/>
      </w:r>
      <w:r>
        <w:rPr>
          <w:rStyle w:val="21"/>
        </w:rPr>
        <w:t>服务要求</w:t>
      </w:r>
      <w:r>
        <w:tab/>
      </w:r>
      <w:r>
        <w:rPr>
          <w:rFonts w:hint="eastAsia"/>
        </w:rPr>
        <w:t>14</w:t>
      </w:r>
      <w:r>
        <w:rPr>
          <w:rFonts w:hint="eastAsia"/>
        </w:rPr>
        <w:fldChar w:fldCharType="end"/>
      </w:r>
    </w:p>
    <w:p>
      <w:pPr>
        <w:pStyle w:val="16"/>
        <w:rPr>
          <w:b w:val="0"/>
          <w:bCs w:val="0"/>
          <w:caps w:val="0"/>
          <w:szCs w:val="22"/>
        </w:rPr>
      </w:pPr>
      <w:r>
        <w:fldChar w:fldCharType="begin"/>
      </w:r>
      <w:r>
        <w:instrText xml:space="preserve"> 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11</w:t>
      </w:r>
      <w:r>
        <w:fldChar w:fldCharType="end"/>
      </w:r>
      <w:r>
        <w:fldChar w:fldCharType="end"/>
      </w:r>
    </w:p>
    <w:p>
      <w:r>
        <w:fldChar w:fldCharType="end"/>
      </w:r>
    </w:p>
    <w:p>
      <w:pPr>
        <w:adjustRightInd/>
        <w:textAlignment w:val="auto"/>
        <w:rPr>
          <w:b/>
          <w:bCs/>
          <w:caps/>
          <w:kern w:val="2"/>
          <w:szCs w:val="21"/>
          <w:lang w:eastAsia="zh-CN"/>
        </w:rPr>
      </w:pPr>
    </w:p>
    <w:p>
      <w:pPr>
        <w:adjustRightInd/>
        <w:textAlignment w:val="auto"/>
        <w:rPr>
          <w:b/>
          <w:bCs/>
          <w:caps/>
          <w:kern w:val="2"/>
          <w:szCs w:val="21"/>
          <w:lang w:eastAsia="zh-CN"/>
        </w:rPr>
      </w:pPr>
    </w:p>
    <w:p>
      <w:pPr>
        <w:adjustRightInd/>
        <w:textAlignment w:val="auto"/>
        <w:rPr>
          <w:b/>
          <w:bCs/>
          <w:caps/>
          <w:kern w:val="2"/>
          <w:szCs w:val="21"/>
          <w:lang w:eastAsia="zh-CN"/>
        </w:rPr>
      </w:pPr>
    </w:p>
    <w:p>
      <w:pPr>
        <w:adjustRightInd/>
        <w:textAlignment w:val="auto"/>
        <w:rPr>
          <w:b/>
          <w:bCs/>
          <w:caps/>
          <w:kern w:val="2"/>
          <w:szCs w:val="21"/>
          <w:lang w:eastAsia="zh-CN"/>
        </w:rPr>
      </w:pPr>
    </w:p>
    <w:p>
      <w:pPr>
        <w:adjustRightInd/>
        <w:textAlignment w:val="auto"/>
        <w:rPr>
          <w:b/>
          <w:bCs/>
          <w:caps/>
          <w:kern w:val="2"/>
          <w:szCs w:val="21"/>
          <w:lang w:eastAsia="zh-CN"/>
        </w:rPr>
      </w:pPr>
    </w:p>
    <w:p>
      <w:pPr>
        <w:adjustRightInd/>
        <w:textAlignment w:val="auto"/>
        <w:rPr>
          <w:b/>
          <w:bCs/>
          <w:caps/>
          <w:kern w:val="2"/>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34"/>
        <w:spacing w:before="0" w:line="360" w:lineRule="auto"/>
        <w:ind w:left="357"/>
        <w:jc w:val="left"/>
        <w:rPr>
          <w:szCs w:val="21"/>
          <w:lang w:eastAsia="zh-CN"/>
        </w:rPr>
      </w:pPr>
      <w:bookmarkStart w:id="7" w:name="_Toc482359936"/>
      <w:bookmarkStart w:id="8" w:name="_Toc481702475"/>
      <w:bookmarkStart w:id="9" w:name="_Toc482360281"/>
      <w:bookmarkStart w:id="10" w:name="_Toc482369805"/>
      <w:bookmarkStart w:id="11" w:name="_Toc482370061"/>
      <w:bookmarkStart w:id="12" w:name="_Toc482370349"/>
      <w:bookmarkStart w:id="13" w:name="_Toc482370757"/>
      <w:bookmarkStart w:id="14" w:name="_Toc482370141"/>
      <w:bookmarkStart w:id="15" w:name="_Toc482625279"/>
      <w:r>
        <w:rPr>
          <w:szCs w:val="21"/>
          <w:lang w:eastAsia="zh-CN"/>
        </w:rPr>
        <w:t>本文件的目的是描述武汉生物制品研究所有限责任公司质量控制室原材料检定组</w:t>
      </w:r>
      <w:r>
        <w:rPr>
          <w:rFonts w:hint="eastAsia"/>
          <w:iCs/>
          <w:szCs w:val="21"/>
          <w:lang w:eastAsia="zh-CN"/>
        </w:rPr>
        <w:t>电热恒温水浴箱</w:t>
      </w:r>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16" w:name="_Toc522107736"/>
      <w:bookmarkStart w:id="17" w:name="_Toc522716116"/>
      <w:r>
        <w:rPr>
          <w:rFonts w:ascii="Times New Roman" w:hAnsi="Times New Roman"/>
          <w:b/>
        </w:rPr>
        <w:t>范围</w:t>
      </w:r>
      <w:bookmarkEnd w:id="16"/>
      <w:bookmarkEnd w:id="17"/>
    </w:p>
    <w:p>
      <w:pPr>
        <w:pStyle w:val="34"/>
        <w:spacing w:before="0" w:line="360" w:lineRule="auto"/>
        <w:ind w:left="357"/>
        <w:jc w:val="left"/>
        <w:rPr>
          <w:szCs w:val="21"/>
          <w:lang w:eastAsia="zh-CN"/>
        </w:rPr>
      </w:pPr>
      <w:r>
        <w:rPr>
          <w:szCs w:val="21"/>
          <w:lang w:eastAsia="zh-CN"/>
        </w:rPr>
        <w:t>本URS适用于武汉生物制品研究所有限责任公司质量控制室原材料检定组</w:t>
      </w:r>
      <w:r>
        <w:rPr>
          <w:rFonts w:hint="eastAsia"/>
          <w:iCs/>
          <w:szCs w:val="21"/>
          <w:lang w:eastAsia="zh-CN"/>
        </w:rPr>
        <w:t>电热恒温水浴箱</w:t>
      </w:r>
      <w:r>
        <w:rPr>
          <w:szCs w:val="21"/>
          <w:lang w:eastAsia="zh-CN"/>
        </w:rPr>
        <w:t>。</w:t>
      </w:r>
      <w:bookmarkEnd w:id="7"/>
      <w:bookmarkEnd w:id="8"/>
      <w:bookmarkEnd w:id="9"/>
      <w:bookmarkEnd w:id="10"/>
      <w:bookmarkEnd w:id="11"/>
      <w:bookmarkEnd w:id="12"/>
      <w:bookmarkEnd w:id="13"/>
      <w:bookmarkEnd w:id="14"/>
      <w:bookmarkEnd w:id="15"/>
    </w:p>
    <w:p>
      <w:pPr>
        <w:pStyle w:val="34"/>
        <w:spacing w:before="0" w:line="360" w:lineRule="auto"/>
        <w:ind w:left="357"/>
        <w:jc w:val="left"/>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18" w:name="_Toc522107737"/>
      <w:bookmarkStart w:id="19" w:name="_Toc522716117"/>
      <w:r>
        <w:rPr>
          <w:rFonts w:ascii="Times New Roman" w:hAnsi="Times New Roman"/>
          <w:b/>
        </w:rPr>
        <w:t>参考文件</w:t>
      </w:r>
      <w:bookmarkEnd w:id="18"/>
      <w:bookmarkEnd w:id="19"/>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numPr>
          <w:ilvl w:val="0"/>
          <w:numId w:val="6"/>
        </w:numPr>
        <w:spacing w:line="460" w:lineRule="exact"/>
        <w:rPr>
          <w:i/>
          <w:color w:val="4472C4"/>
          <w:szCs w:val="21"/>
          <w:lang w:eastAsia="zh-CN"/>
        </w:rPr>
      </w:pPr>
      <w:r>
        <w:rPr>
          <w:rFonts w:hint="eastAsia" w:ascii="Arial" w:hAnsi="Arial" w:cs="Arial"/>
          <w:bCs/>
          <w:color w:val="000000"/>
          <w:szCs w:val="21"/>
          <w:lang w:eastAsia="zh-CN"/>
        </w:rPr>
        <w:t>《</w:t>
      </w:r>
      <w:r>
        <w:rPr>
          <w:rFonts w:hint="eastAsia"/>
          <w:color w:val="000000"/>
          <w:szCs w:val="21"/>
          <w:lang w:eastAsia="zh-CN"/>
        </w:rPr>
        <w:t>中国药典</w:t>
      </w:r>
      <w:r>
        <w:rPr>
          <w:rFonts w:hint="eastAsia" w:ascii="Arial" w:hAnsi="Arial" w:cs="Arial"/>
          <w:bCs/>
          <w:color w:val="000000"/>
          <w:szCs w:val="21"/>
          <w:lang w:eastAsia="zh-CN"/>
        </w:rPr>
        <w:t>》</w:t>
      </w:r>
      <w:r>
        <w:rPr>
          <w:rFonts w:hint="eastAsia"/>
          <w:color w:val="000000"/>
          <w:szCs w:val="21"/>
          <w:lang w:eastAsia="zh-CN"/>
        </w:rPr>
        <w:t xml:space="preserve">（ChP）四部 </w:t>
      </w:r>
    </w:p>
    <w:p>
      <w:pPr>
        <w:pStyle w:val="34"/>
        <w:numPr>
          <w:ilvl w:val="0"/>
          <w:numId w:val="5"/>
        </w:numPr>
        <w:spacing w:before="0" w:line="360" w:lineRule="auto"/>
        <w:ind w:left="777"/>
        <w:jc w:val="left"/>
        <w:rPr>
          <w:i/>
          <w:color w:val="4472C4"/>
          <w:szCs w:val="21"/>
          <w:lang w:eastAsia="zh-CN"/>
        </w:rPr>
      </w:pPr>
      <w:r>
        <w:rPr>
          <w:rFonts w:hint="eastAsia" w:ascii="Arial" w:hAnsi="Arial" w:cs="Arial"/>
          <w:bCs/>
          <w:color w:val="000000"/>
          <w:szCs w:val="21"/>
          <w:lang w:eastAsia="zh-CN"/>
        </w:rPr>
        <w:t>《药品生产质量管理规范》（2</w:t>
      </w:r>
      <w:r>
        <w:rPr>
          <w:rFonts w:ascii="Arial" w:hAnsi="Arial" w:cs="Arial"/>
          <w:bCs/>
          <w:color w:val="000000"/>
          <w:szCs w:val="21"/>
          <w:lang w:eastAsia="zh-CN"/>
        </w:rPr>
        <w:t>010</w:t>
      </w:r>
      <w:r>
        <w:rPr>
          <w:rFonts w:hint="eastAsia" w:ascii="Arial" w:hAnsi="Arial" w:cs="Arial"/>
          <w:bCs/>
          <w:color w:val="000000"/>
          <w:szCs w:val="21"/>
          <w:lang w:eastAsia="zh-CN"/>
        </w:rPr>
        <w:t>修订）</w:t>
      </w:r>
    </w:p>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numPr>
          <w:ilvl w:val="0"/>
          <w:numId w:val="5"/>
        </w:numPr>
        <w:spacing w:before="0" w:line="360" w:lineRule="auto"/>
        <w:ind w:left="777"/>
        <w:jc w:val="left"/>
        <w:rPr>
          <w:szCs w:val="21"/>
          <w:lang w:eastAsia="zh-CN"/>
        </w:rPr>
      </w:pPr>
      <w:r>
        <w:rPr>
          <w:szCs w:val="21"/>
          <w:lang w:eastAsia="zh-CN"/>
        </w:rPr>
        <w:t>电气安全应符合GB4793.1和GB4793.4的要求。</w:t>
      </w:r>
    </w:p>
    <w:p>
      <w:pPr>
        <w:pStyle w:val="34"/>
        <w:spacing w:before="0" w:line="360" w:lineRule="auto"/>
        <w:ind w:left="357"/>
        <w:jc w:val="left"/>
        <w:rPr>
          <w:i/>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20" w:name="_Toc522107739"/>
      <w:bookmarkStart w:id="21" w:name="_Toc522716119"/>
      <w:r>
        <w:rPr>
          <w:rFonts w:ascii="Times New Roman" w:hAnsi="Times New Roman"/>
          <w:b/>
        </w:rPr>
        <w:t>系统描述</w:t>
      </w:r>
      <w:bookmarkEnd w:id="20"/>
      <w:bookmarkEnd w:id="21"/>
    </w:p>
    <w:p>
      <w:pPr>
        <w:pStyle w:val="30"/>
        <w:tabs>
          <w:tab w:val="left" w:pos="1260"/>
        </w:tabs>
        <w:spacing w:line="460" w:lineRule="exact"/>
        <w:ind w:firstLine="0" w:firstLineChars="0"/>
        <w:rPr>
          <w:rFonts w:ascii="Arial" w:hAnsi="Arial" w:cs="Arial"/>
          <w:iCs/>
          <w:color w:val="000000"/>
          <w:szCs w:val="21"/>
        </w:rPr>
      </w:pPr>
      <w:r>
        <w:rPr>
          <w:rFonts w:ascii="Arial" w:hAnsi="Arial" w:cs="Arial"/>
          <w:iCs/>
          <w:color w:val="000000"/>
          <w:szCs w:val="21"/>
        </w:rPr>
        <w:t>实验室</w:t>
      </w:r>
      <w:r>
        <w:rPr>
          <w:rFonts w:hint="eastAsia" w:ascii="Arial" w:hAnsi="Arial" w:cs="Arial"/>
          <w:iCs/>
          <w:color w:val="000000"/>
          <w:szCs w:val="21"/>
        </w:rPr>
        <w:t>电热恒温水浴箱为制药用水检测的辅助设备，应用于不挥发物检测时样品的蒸干处理</w:t>
      </w:r>
      <w:r>
        <w:rPr>
          <w:rFonts w:ascii="Arial" w:hAnsi="Arial" w:cs="Arial"/>
          <w:iCs/>
          <w:color w:val="000000"/>
          <w:szCs w:val="21"/>
        </w:rPr>
        <w:t>。</w:t>
      </w:r>
      <w:r>
        <w:rPr>
          <w:rFonts w:hint="eastAsia" w:ascii="Arial" w:hAnsi="Arial" w:cs="Arial"/>
          <w:iCs/>
          <w:color w:val="000000"/>
          <w:szCs w:val="21"/>
        </w:rPr>
        <w:t>其组成主要包括：</w:t>
      </w:r>
    </w:p>
    <w:p>
      <w:pPr>
        <w:pStyle w:val="30"/>
        <w:tabs>
          <w:tab w:val="left" w:pos="1260"/>
        </w:tabs>
        <w:spacing w:line="460" w:lineRule="exact"/>
        <w:ind w:firstLine="0" w:firstLineChars="0"/>
        <w:rPr>
          <w:rFonts w:ascii="Arial" w:hAnsi="Arial" w:cs="Arial"/>
          <w:iCs/>
          <w:color w:val="000000"/>
          <w:szCs w:val="21"/>
        </w:rPr>
      </w:pPr>
      <w:r>
        <w:rPr>
          <w:rFonts w:hint="eastAsia" w:ascii="Arial" w:hAnsi="Arial" w:cs="Arial"/>
          <w:iCs/>
          <w:color w:val="000000"/>
          <w:szCs w:val="21"/>
        </w:rPr>
        <w:t>不锈钢内胆、加热管、智能温控等。</w:t>
      </w:r>
    </w:p>
    <w:p>
      <w:pPr>
        <w:pStyle w:val="34"/>
        <w:spacing w:before="0" w:line="360" w:lineRule="auto"/>
        <w:ind w:left="357"/>
        <w:jc w:val="left"/>
        <w:rPr>
          <w:i/>
          <w:color w:val="4472C4"/>
          <w:szCs w:val="21"/>
          <w:lang w:eastAsia="zh-CN"/>
        </w:rPr>
      </w:pPr>
    </w:p>
    <w:p>
      <w:pPr>
        <w:pStyle w:val="30"/>
        <w:numPr>
          <w:ilvl w:val="0"/>
          <w:numId w:val="3"/>
        </w:numPr>
        <w:spacing w:afterLines="50"/>
        <w:ind w:left="426" w:hanging="426" w:hangingChars="202"/>
        <w:outlineLvl w:val="0"/>
        <w:rPr>
          <w:rFonts w:ascii="Times New Roman" w:hAnsi="Times New Roman"/>
          <w:b/>
          <w:szCs w:val="21"/>
        </w:rPr>
      </w:pPr>
      <w:bookmarkStart w:id="22" w:name="_Toc522716120"/>
      <w:r>
        <w:rPr>
          <w:rFonts w:ascii="Times New Roman" w:hAnsi="Times New Roman"/>
          <w:b/>
          <w:szCs w:val="21"/>
        </w:rPr>
        <w:t>安装要求</w:t>
      </w:r>
      <w:bookmarkEnd w:id="22"/>
      <w:bookmarkStart w:id="47" w:name="_GoBack"/>
      <w:bookmarkEnd w:id="47"/>
    </w:p>
    <w:p>
      <w:pPr>
        <w:pStyle w:val="30"/>
        <w:spacing w:afterLines="50"/>
        <w:ind w:left="425" w:firstLine="0" w:firstLineChars="0"/>
        <w:rPr>
          <w:rFonts w:ascii="Times New Roman" w:hAnsi="Times New Roman"/>
          <w:szCs w:val="21"/>
        </w:rPr>
      </w:pPr>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2"/>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1"/>
            <w:bookmarkStart w:id="24"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gridSpan w:val="2"/>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7"/>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i/>
                <w:color w:val="0070C0"/>
                <w:szCs w:val="21"/>
                <w:lang w:eastAsia="zh-CN"/>
              </w:rPr>
            </w:pPr>
            <w:r>
              <w:rPr>
                <w:rFonts w:hint="eastAsia"/>
                <w:iCs/>
                <w:szCs w:val="21"/>
                <w:lang w:val="en-US" w:eastAsia="zh-CN"/>
              </w:rPr>
              <w:t>武汉生物制品研究所有限责任公司</w:t>
            </w:r>
            <w:r>
              <w:rPr>
                <w:iCs/>
                <w:szCs w:val="21"/>
                <w:lang w:eastAsia="zh-CN"/>
              </w:rPr>
              <w:t>质量控制室原材料检测区</w:t>
            </w:r>
            <w:r>
              <w:rPr>
                <w:rFonts w:hint="eastAsia"/>
                <w:iCs/>
                <w:szCs w:val="21"/>
                <w:lang w:eastAsia="zh-CN"/>
              </w:rPr>
              <w:t>水浴室</w:t>
            </w:r>
          </w:p>
        </w:tc>
        <w:tc>
          <w:tcPr>
            <w:tcW w:w="2125" w:type="dxa"/>
            <w:gridSpan w:val="2"/>
            <w:vAlign w:val="center"/>
          </w:tcPr>
          <w:p>
            <w:pPr>
              <w:jc w:val="both"/>
              <w:rPr>
                <w:i/>
                <w:szCs w:val="21"/>
                <w:lang w:eastAsia="zh-CN"/>
              </w:rPr>
            </w:pPr>
            <w:r>
              <w:rPr>
                <w:rFonts w:hint="eastAsia"/>
                <w:color w:val="000000"/>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iCs/>
                <w:szCs w:val="21"/>
                <w:lang w:val="en-US" w:eastAsia="zh-CN"/>
              </w:rPr>
            </w:pPr>
            <w:r>
              <w:rPr>
                <w:rFonts w:hint="eastAsia"/>
                <w:iCs/>
                <w:szCs w:val="21"/>
                <w:lang w:val="en-US" w:eastAsia="zh-CN"/>
              </w:rPr>
              <w:t>安置于干燥通风处，仪器周围100mm内无障碍物。</w:t>
            </w:r>
          </w:p>
        </w:tc>
        <w:tc>
          <w:tcPr>
            <w:tcW w:w="2125" w:type="dxa"/>
            <w:gridSpan w:val="2"/>
            <w:vAlign w:val="center"/>
          </w:tcPr>
          <w:p>
            <w:pPr>
              <w:jc w:val="both"/>
              <w:rPr>
                <w:color w:val="000000"/>
                <w:szCs w:val="21"/>
                <w:lang w:eastAsia="zh-CN"/>
              </w:rPr>
            </w:pPr>
            <w:r>
              <w:rPr>
                <w:rFonts w:hint="eastAsia"/>
                <w:color w:val="000000"/>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7"/>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i/>
                <w:szCs w:val="21"/>
                <w:lang w:eastAsia="zh-CN"/>
              </w:rPr>
            </w:pPr>
            <w:r>
              <w:rPr>
                <w:rFonts w:hint="eastAsia" w:cs="宋体"/>
                <w:kern w:val="2"/>
                <w:szCs w:val="21"/>
                <w:lang w:val="en-US" w:eastAsia="zh-CN"/>
              </w:rPr>
              <w:t>设备周围应有足够的空间，便于对设备进行操作和维修</w:t>
            </w:r>
          </w:p>
        </w:tc>
        <w:tc>
          <w:tcPr>
            <w:tcW w:w="2125" w:type="dxa"/>
            <w:gridSpan w:val="2"/>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125"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7"/>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rPr>
                <w:iCs/>
                <w:szCs w:val="21"/>
                <w:highlight w:val="green"/>
                <w:lang w:val="en-US" w:eastAsia="zh-CN"/>
              </w:rPr>
            </w:pPr>
            <w:r>
              <w:rPr>
                <w:rFonts w:hint="eastAsia"/>
                <w:iCs/>
                <w:szCs w:val="21"/>
                <w:lang w:val="en-US" w:eastAsia="zh-CN"/>
              </w:rPr>
              <w:t>注满介质后，应不超过50kg</w:t>
            </w:r>
          </w:p>
        </w:tc>
        <w:tc>
          <w:tcPr>
            <w:tcW w:w="2125"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7"/>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FFFFFF"/>
            <w:vAlign w:val="center"/>
          </w:tcPr>
          <w:p>
            <w:pPr>
              <w:pStyle w:val="30"/>
              <w:numPr>
                <w:ilvl w:val="0"/>
                <w:numId w:val="8"/>
              </w:numPr>
              <w:ind w:left="470" w:hanging="120" w:firstLineChars="0"/>
              <w:rPr>
                <w:szCs w:val="21"/>
              </w:rPr>
            </w:pPr>
          </w:p>
        </w:tc>
        <w:tc>
          <w:tcPr>
            <w:tcW w:w="7150" w:type="dxa"/>
            <w:gridSpan w:val="2"/>
            <w:vAlign w:val="center"/>
          </w:tcPr>
          <w:p>
            <w:pPr>
              <w:spacing w:line="276" w:lineRule="auto"/>
              <w:jc w:val="both"/>
              <w:rPr>
                <w:iCs/>
                <w:lang w:eastAsia="zh-CN"/>
              </w:rPr>
            </w:pPr>
            <w:r>
              <w:rPr>
                <w:iCs/>
                <w:lang w:eastAsia="zh-CN"/>
              </w:rPr>
              <w:t>系统可以</w:t>
            </w:r>
            <w:r>
              <w:rPr>
                <w:rFonts w:hint="eastAsia"/>
                <w:iCs/>
                <w:lang w:eastAsia="zh-CN"/>
              </w:rPr>
              <w:t>在220V/50Hz的电源条件下运行；</w:t>
            </w:r>
            <w:r>
              <w:rPr>
                <w:rFonts w:hint="eastAsia" w:cs="宋体"/>
                <w:lang w:val="en-US" w:eastAsia="zh-CN"/>
              </w:rPr>
              <w:t>电源</w:t>
            </w:r>
            <w:r>
              <w:rPr>
                <w:rFonts w:hint="eastAsia" w:cs="宋体"/>
                <w:lang w:eastAsia="zh-CN"/>
              </w:rPr>
              <w:t>有可靠保护接地</w:t>
            </w:r>
          </w:p>
        </w:tc>
        <w:tc>
          <w:tcPr>
            <w:tcW w:w="2103" w:type="dxa"/>
            <w:vAlign w:val="center"/>
          </w:tcPr>
          <w:p>
            <w:pPr>
              <w:spacing w:line="276" w:lineRule="auto"/>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7"/>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lang w:eastAsia="zh-CN"/>
              </w:rPr>
              <w:t>适用于我公司的</w:t>
            </w:r>
            <w:r>
              <w:rPr>
                <w:rFonts w:hint="eastAsia"/>
                <w:color w:val="000000"/>
                <w:lang w:eastAsia="zh-CN"/>
              </w:rPr>
              <w:t>工作环境温度：</w:t>
            </w:r>
            <w:r>
              <w:rPr>
                <w:color w:val="000000"/>
                <w:lang w:eastAsia="zh-CN"/>
              </w:rPr>
              <w:t>10</w:t>
            </w:r>
            <w:r>
              <w:rPr>
                <w:rFonts w:hint="eastAsia" w:ascii="宋体" w:hAnsi="宋体" w:cs="宋体"/>
                <w:color w:val="000000"/>
                <w:lang w:eastAsia="zh-CN"/>
              </w:rPr>
              <w:t>℃</w:t>
            </w:r>
            <w:r>
              <w:rPr>
                <w:rFonts w:hint="eastAsia"/>
                <w:color w:val="000000"/>
                <w:lang w:eastAsia="zh-CN"/>
              </w:rPr>
              <w:t>～</w:t>
            </w:r>
            <w:r>
              <w:rPr>
                <w:color w:val="000000"/>
                <w:lang w:eastAsia="zh-CN"/>
              </w:rPr>
              <w:t>30</w:t>
            </w:r>
            <w:r>
              <w:rPr>
                <w:rFonts w:hint="eastAsia" w:ascii="宋体" w:hAnsi="宋体" w:cs="宋体"/>
                <w:color w:val="000000"/>
                <w:lang w:eastAsia="zh-CN"/>
              </w:rPr>
              <w:t>℃</w:t>
            </w:r>
            <w:r>
              <w:rPr>
                <w:rFonts w:hint="eastAsia"/>
                <w:color w:val="000000"/>
                <w:lang w:eastAsia="zh-CN"/>
              </w:rPr>
              <w:t>环境</w:t>
            </w:r>
          </w:p>
        </w:tc>
        <w:tc>
          <w:tcPr>
            <w:tcW w:w="2125" w:type="dxa"/>
            <w:gridSpan w:val="2"/>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lang w:eastAsia="zh-CN"/>
              </w:rPr>
              <w:t>适用于我公司的</w:t>
            </w:r>
            <w:r>
              <w:rPr>
                <w:rFonts w:hint="eastAsia"/>
                <w:color w:val="000000"/>
                <w:lang w:eastAsia="zh-CN"/>
              </w:rPr>
              <w:t>工作环境湿度：相对湿度≤80%</w:t>
            </w:r>
          </w:p>
        </w:tc>
        <w:tc>
          <w:tcPr>
            <w:tcW w:w="2125" w:type="dxa"/>
            <w:gridSpan w:val="2"/>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color w:val="000000"/>
                <w:lang w:eastAsia="zh-CN"/>
              </w:rPr>
            </w:pPr>
            <w:r>
              <w:rPr>
                <w:rFonts w:hint="eastAsia"/>
                <w:color w:val="000000"/>
                <w:lang w:eastAsia="zh-CN"/>
              </w:rPr>
              <w:t>工作环境洁净级别：无特殊要求</w:t>
            </w:r>
          </w:p>
        </w:tc>
        <w:tc>
          <w:tcPr>
            <w:tcW w:w="2125" w:type="dxa"/>
            <w:gridSpan w:val="2"/>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7"/>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color w:val="000000"/>
                <w:lang w:eastAsia="zh-CN"/>
              </w:rPr>
            </w:pPr>
            <w:r>
              <w:rPr>
                <w:rFonts w:hint="eastAsia"/>
                <w:lang w:eastAsia="zh-CN"/>
              </w:rPr>
              <w:t>220V，应</w:t>
            </w:r>
            <w:r>
              <w:rPr>
                <w:szCs w:val="21"/>
                <w:lang w:eastAsia="zh-CN"/>
              </w:rPr>
              <w:t>符合制造商说明书及技术文件规定的要求</w:t>
            </w:r>
            <w:r>
              <w:rPr>
                <w:rFonts w:hint="eastAsia"/>
                <w:szCs w:val="21"/>
                <w:lang w:eastAsia="zh-CN"/>
              </w:rPr>
              <w:t>。</w:t>
            </w:r>
          </w:p>
        </w:tc>
        <w:tc>
          <w:tcPr>
            <w:tcW w:w="2125" w:type="dxa"/>
            <w:gridSpan w:val="2"/>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7"/>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i/>
                <w:color w:val="000000"/>
                <w:lang w:eastAsia="zh-CN"/>
              </w:rPr>
            </w:pPr>
            <w:r>
              <w:rPr>
                <w:rFonts w:ascii="Arial" w:hAnsi="Arial" w:cs="Arial"/>
                <w:bCs/>
                <w:color w:val="000000"/>
                <w:szCs w:val="21"/>
                <w:lang w:eastAsia="zh-CN"/>
              </w:rPr>
              <w:t>设备表面及内部光滑，便于清洁，不能有清洁死角</w:t>
            </w:r>
            <w:r>
              <w:rPr>
                <w:rFonts w:hint="eastAsia" w:ascii="Arial" w:hAnsi="Arial" w:cs="Arial"/>
                <w:bCs/>
                <w:color w:val="000000"/>
                <w:szCs w:val="21"/>
                <w:lang w:eastAsia="zh-CN"/>
              </w:rPr>
              <w:t>，外壳采用优质冷轧板喷塑而成</w:t>
            </w:r>
          </w:p>
        </w:tc>
        <w:tc>
          <w:tcPr>
            <w:tcW w:w="2125"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bCs/>
                <w:color w:val="000000"/>
                <w:szCs w:val="21"/>
                <w:lang w:eastAsia="zh-CN"/>
              </w:rPr>
            </w:pPr>
            <w:r>
              <w:rPr>
                <w:rFonts w:hint="eastAsia" w:ascii="Arial" w:hAnsi="Arial" w:cs="Arial"/>
                <w:bCs/>
                <w:color w:val="000000"/>
                <w:szCs w:val="21"/>
                <w:lang w:eastAsia="zh-CN"/>
              </w:rPr>
              <w:t>设备应至少采用不锈钢内胆及顶盖，</w:t>
            </w:r>
            <w:r>
              <w:rPr>
                <w:rFonts w:ascii="Arial" w:hAnsi="Arial" w:cs="Arial"/>
                <w:bCs/>
                <w:color w:val="000000"/>
                <w:szCs w:val="21"/>
                <w:lang w:eastAsia="zh-CN"/>
              </w:rPr>
              <w:t xml:space="preserve"> </w:t>
            </w:r>
          </w:p>
        </w:tc>
        <w:tc>
          <w:tcPr>
            <w:tcW w:w="2125"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bCs/>
                <w:color w:val="000000"/>
                <w:szCs w:val="21"/>
                <w:lang w:eastAsia="zh-CN"/>
              </w:rPr>
            </w:pPr>
            <w:r>
              <w:rPr>
                <w:rFonts w:hint="eastAsia" w:ascii="Arial" w:hAnsi="Arial" w:cs="Arial"/>
                <w:bCs/>
                <w:color w:val="000000"/>
                <w:szCs w:val="21"/>
                <w:lang w:eastAsia="zh-CN"/>
              </w:rPr>
              <w:t>内胆与外壳夹层以玻璃棉绝热，加热快省电</w:t>
            </w:r>
          </w:p>
        </w:tc>
        <w:tc>
          <w:tcPr>
            <w:tcW w:w="2125"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bCs/>
                <w:color w:val="000000"/>
                <w:szCs w:val="21"/>
                <w:lang w:eastAsia="zh-CN"/>
              </w:rPr>
            </w:pPr>
            <w:r>
              <w:rPr>
                <w:rFonts w:hint="eastAsia" w:ascii="Arial" w:hAnsi="Arial" w:cs="Arial"/>
                <w:bCs/>
                <w:color w:val="000000"/>
                <w:szCs w:val="21"/>
                <w:lang w:eastAsia="zh-CN"/>
              </w:rPr>
              <w:t>内胆底部设有电热管和托架</w:t>
            </w:r>
          </w:p>
        </w:tc>
        <w:tc>
          <w:tcPr>
            <w:tcW w:w="2125" w:type="dxa"/>
            <w:gridSpan w:val="2"/>
            <w:vAlign w:val="top"/>
          </w:tcPr>
          <w:p>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bCs/>
                <w:color w:val="000000"/>
                <w:szCs w:val="21"/>
                <w:lang w:eastAsia="zh-CN"/>
              </w:rPr>
            </w:pPr>
            <w:r>
              <w:rPr>
                <w:rFonts w:hint="eastAsia" w:ascii="Arial" w:hAnsi="Arial" w:cs="Arial"/>
                <w:bCs/>
                <w:color w:val="000000"/>
                <w:szCs w:val="21"/>
                <w:lang w:eastAsia="zh-CN"/>
              </w:rPr>
              <w:t>电热管是铜质管，管内装有电炉丝并用绝缘材料包裹，有导线连接温度控制器。</w:t>
            </w:r>
          </w:p>
        </w:tc>
        <w:tc>
          <w:tcPr>
            <w:tcW w:w="2125" w:type="dxa"/>
            <w:gridSpan w:val="2"/>
            <w:vAlign w:val="top"/>
          </w:tcPr>
          <w:p>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bCs/>
                <w:color w:val="000000"/>
                <w:szCs w:val="21"/>
                <w:lang w:eastAsia="zh-CN"/>
              </w:rPr>
            </w:pPr>
            <w:r>
              <w:rPr>
                <w:rFonts w:hint="eastAsia" w:ascii="Arial" w:hAnsi="Arial" w:cs="Arial"/>
                <w:bCs/>
                <w:color w:val="000000"/>
                <w:szCs w:val="21"/>
                <w:lang w:eastAsia="zh-CN"/>
              </w:rPr>
              <w:t>温度控制器的全部电器部件均装在水浴锅的电器箱内，控制器所带的感温管则插在内胆中。</w:t>
            </w:r>
          </w:p>
        </w:tc>
        <w:tc>
          <w:tcPr>
            <w:tcW w:w="2125" w:type="dxa"/>
            <w:gridSpan w:val="2"/>
            <w:vAlign w:val="top"/>
          </w:tcPr>
          <w:p>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（2）产品注册号；</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p>
          <w:p>
            <w:pPr>
              <w:spacing w:line="276" w:lineRule="auto"/>
              <w:jc w:val="both"/>
              <w:rPr>
                <w:szCs w:val="21"/>
                <w:lang w:val="en-US" w:eastAsia="zh-CN"/>
              </w:rPr>
            </w:pPr>
            <w:r>
              <w:rPr>
                <w:szCs w:val="21"/>
                <w:lang w:eastAsia="zh-CN"/>
              </w:rPr>
              <w:t>（6）安全标识</w:t>
            </w:r>
            <w:r>
              <w:rPr>
                <w:rFonts w:hint="eastAsia"/>
                <w:szCs w:val="21"/>
                <w:lang w:eastAsia="zh-CN"/>
              </w:rPr>
              <w:t>（低温、高温）</w:t>
            </w:r>
            <w:r>
              <w:rPr>
                <w:szCs w:val="21"/>
                <w:lang w:eastAsia="zh-CN"/>
              </w:rPr>
              <w:t>。</w:t>
            </w:r>
          </w:p>
        </w:tc>
        <w:tc>
          <w:tcPr>
            <w:tcW w:w="2125" w:type="dxa"/>
            <w:gridSpan w:val="2"/>
            <w:vAlign w:val="center"/>
          </w:tcPr>
          <w:p>
            <w:pPr>
              <w:jc w:val="both"/>
              <w:rPr>
                <w:szCs w:val="21"/>
                <w:lang w:eastAsia="zh-CN"/>
              </w:rPr>
            </w:pPr>
            <w:r>
              <w:rPr>
                <w:rFonts w:hint="eastAsia"/>
                <w:szCs w:val="21"/>
                <w:lang w:eastAsia="zh-CN"/>
              </w:rPr>
              <w:t>期望</w:t>
            </w:r>
          </w:p>
        </w:tc>
      </w:tr>
      <w:bookmarkEnd w:id="23"/>
      <w:bookmarkEnd w:id="24"/>
    </w:tbl>
    <w:p>
      <w:pPr>
        <w:pStyle w:val="30"/>
        <w:spacing w:afterLines="50"/>
        <w:ind w:left="425" w:firstLine="0" w:firstLineChars="0"/>
        <w:rPr>
          <w:rFonts w:ascii="Times New Roman" w:hAnsi="Times New Roman"/>
          <w:szCs w:val="21"/>
        </w:rPr>
      </w:pPr>
    </w:p>
    <w:p>
      <w:pPr>
        <w:pStyle w:val="30"/>
        <w:numPr>
          <w:ilvl w:val="0"/>
          <w:numId w:val="3"/>
        </w:numPr>
        <w:spacing w:afterLines="50"/>
        <w:ind w:left="426" w:hanging="426" w:hangingChars="202"/>
        <w:outlineLvl w:val="0"/>
        <w:rPr>
          <w:rFonts w:ascii="Times New Roman" w:hAnsi="Times New Roman"/>
          <w:b/>
        </w:rPr>
      </w:pPr>
      <w:bookmarkStart w:id="25" w:name="_Toc522107740"/>
      <w:bookmarkStart w:id="26" w:name="_Toc522716121"/>
      <w:r>
        <w:rPr>
          <w:rFonts w:ascii="Times New Roman" w:hAnsi="Times New Roman"/>
          <w:b/>
        </w:rPr>
        <w:t>运行要求</w:t>
      </w:r>
      <w:bookmarkEnd w:id="25"/>
      <w:bookmarkEnd w:id="26"/>
    </w:p>
    <w:p>
      <w:pPr>
        <w:pStyle w:val="34"/>
        <w:spacing w:before="0" w:line="360" w:lineRule="auto"/>
        <w:jc w:val="left"/>
        <w:rPr>
          <w:bCs/>
          <w:i/>
          <w:color w:val="4472C4"/>
          <w:kern w:val="44"/>
          <w:szCs w:val="21"/>
          <w:lang w:eastAsia="zh-CN"/>
        </w:rPr>
      </w:pPr>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2"/>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gridSpan w:val="2"/>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9"/>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8D8D8"/>
            <w:vAlign w:val="center"/>
          </w:tcPr>
          <w:p>
            <w:pPr>
              <w:pStyle w:val="30"/>
              <w:numPr>
                <w:ilvl w:val="0"/>
                <w:numId w:val="8"/>
              </w:numPr>
              <w:ind w:left="470" w:hanging="120" w:firstLineChars="0"/>
              <w:rPr>
                <w:rFonts w:ascii="Times New Roman" w:hAnsi="Times New Roman"/>
                <w:szCs w:val="21"/>
              </w:rPr>
            </w:pPr>
          </w:p>
        </w:tc>
        <w:tc>
          <w:tcPr>
            <w:tcW w:w="7150" w:type="dxa"/>
            <w:gridSpan w:val="2"/>
            <w:vAlign w:val="center"/>
          </w:tcPr>
          <w:p>
            <w:pPr>
              <w:jc w:val="both"/>
              <w:rPr>
                <w:szCs w:val="21"/>
                <w:lang w:eastAsia="zh-CN"/>
              </w:rPr>
            </w:pPr>
            <w:r>
              <w:rPr>
                <w:rFonts w:ascii="宋体" w:hAnsi="宋体" w:cs="Arial"/>
                <w:color w:val="000000"/>
                <w:szCs w:val="21"/>
                <w:lang w:eastAsia="zh-CN"/>
              </w:rPr>
              <w:t>供应商应使用可靠的包装形式以保证相关部件的运输安全，包装满足运输和装卸要求，防潮湿、防磕碰、防振动，</w:t>
            </w:r>
            <w:r>
              <w:rPr>
                <w:rFonts w:hint="eastAsia" w:ascii="宋体" w:hAnsi="宋体" w:cs="Arial"/>
                <w:color w:val="000000"/>
                <w:szCs w:val="21"/>
                <w:lang w:eastAsia="zh-CN"/>
              </w:rPr>
              <w:t>每台设备应配备独立的防震箱，</w:t>
            </w:r>
            <w:r>
              <w:rPr>
                <w:rFonts w:ascii="宋体" w:hAnsi="宋体" w:cs="Arial"/>
                <w:color w:val="000000"/>
                <w:szCs w:val="21"/>
                <w:lang w:eastAsia="zh-CN"/>
              </w:rPr>
              <w:t>由于包装不良而导致无法达到用户验收标准，则供应商应承担全部损失和费用。</w:t>
            </w:r>
          </w:p>
        </w:tc>
        <w:tc>
          <w:tcPr>
            <w:tcW w:w="2103"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9"/>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pStyle w:val="36"/>
              <w:widowControl/>
              <w:spacing w:line="440" w:lineRule="exact"/>
              <w:ind w:left="360" w:firstLine="0" w:firstLineChars="0"/>
              <w:rPr>
                <w:rFonts w:ascii="宋体" w:hAnsi="宋体" w:cs="宋体"/>
                <w:szCs w:val="21"/>
              </w:rPr>
            </w:pPr>
            <w:r>
              <w:rPr>
                <w:rFonts w:hint="eastAsia" w:ascii="宋体" w:hAnsi="宋体" w:cs="宋体"/>
                <w:szCs w:val="21"/>
              </w:rPr>
              <w:t>设备升温至最高温度不超过2小时。</w:t>
            </w:r>
          </w:p>
        </w:tc>
        <w:tc>
          <w:tcPr>
            <w:tcW w:w="2125"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pStyle w:val="36"/>
              <w:widowControl/>
              <w:spacing w:line="440" w:lineRule="exact"/>
              <w:ind w:left="360" w:firstLine="0" w:firstLineChars="0"/>
              <w:rPr>
                <w:rFonts w:ascii="宋体" w:hAnsi="宋体" w:cs="宋体"/>
                <w:szCs w:val="21"/>
              </w:rPr>
            </w:pPr>
            <w:r>
              <w:rPr>
                <w:rFonts w:hint="eastAsia" w:ascii="宋体" w:hAnsi="宋体" w:cs="宋体"/>
                <w:szCs w:val="21"/>
              </w:rPr>
              <w:t>设备能够同时进行32个12cm口径蒸发皿的水浴蒸馏</w:t>
            </w:r>
          </w:p>
        </w:tc>
        <w:tc>
          <w:tcPr>
            <w:tcW w:w="2125" w:type="dxa"/>
            <w:gridSpan w:val="2"/>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9"/>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i/>
                <w:szCs w:val="21"/>
                <w:lang w:eastAsia="zh-CN"/>
              </w:rPr>
            </w:pPr>
            <w:r>
              <w:rPr>
                <w:rFonts w:hint="eastAsia" w:ascii="Arial Narrow" w:hAnsi="宋体" w:cs="Arial"/>
                <w:color w:val="000000"/>
                <w:szCs w:val="21"/>
                <w:lang w:eastAsia="zh-CN"/>
              </w:rPr>
              <w:t>控温范围：室温～99.9℃</w:t>
            </w:r>
          </w:p>
        </w:tc>
        <w:tc>
          <w:tcPr>
            <w:tcW w:w="2125"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ascii="Arial Narrow" w:hAnsi="宋体" w:cs="Arial"/>
                <w:color w:val="000000"/>
                <w:szCs w:val="21"/>
                <w:lang w:eastAsia="zh-CN"/>
              </w:rPr>
              <w:t>温度波动：±0.5℃，分辨率0.1℃</w:t>
            </w:r>
          </w:p>
        </w:tc>
        <w:tc>
          <w:tcPr>
            <w:tcW w:w="2125"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rFonts w:hint="eastAsia" w:ascii="Arial Narrow" w:hAnsi="宋体" w:cs="Arial"/>
                <w:iCs/>
                <w:color w:val="000000"/>
                <w:szCs w:val="21"/>
                <w:lang w:eastAsia="zh-CN"/>
              </w:rPr>
              <w:t>能够保持水浴温度至少6小时</w:t>
            </w:r>
          </w:p>
        </w:tc>
        <w:tc>
          <w:tcPr>
            <w:tcW w:w="2125"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eastAsia="宋体"/>
                <w:szCs w:val="21"/>
                <w:lang w:eastAsia="zh-CN"/>
              </w:rPr>
            </w:pPr>
            <w:r>
              <w:rPr>
                <w:rFonts w:hint="eastAsia" w:ascii="Arial Narrow" w:hAnsi="宋体" w:cs="Arial"/>
                <w:iCs/>
                <w:color w:val="000000"/>
                <w:szCs w:val="21"/>
                <w:lang w:eastAsia="zh-CN"/>
              </w:rPr>
              <w:t>采用智能式控温，温控精确，数字显示，自动控温</w:t>
            </w:r>
          </w:p>
        </w:tc>
        <w:tc>
          <w:tcPr>
            <w:tcW w:w="2125"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eastAsia="宋体"/>
                <w:sz w:val="20"/>
                <w:shd w:val="clear" w:color="auto" w:fill="FFFFFF"/>
                <w:lang w:eastAsia="zh-CN"/>
              </w:rPr>
            </w:pPr>
            <w:r>
              <w:rPr>
                <w:rFonts w:hint="eastAsia" w:eastAsia="宋体"/>
                <w:sz w:val="20"/>
                <w:shd w:val="clear" w:color="auto" w:fill="FFFFFF"/>
                <w:lang w:eastAsia="zh-CN"/>
              </w:rPr>
              <w:t>表面有电源开关、调温键和指示灯。水浴锅左下侧有放水阀门</w:t>
            </w:r>
          </w:p>
        </w:tc>
        <w:tc>
          <w:tcPr>
            <w:tcW w:w="2125"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hAnsi="宋体" w:eastAsia="宋体"/>
                <w:sz w:val="20"/>
                <w:shd w:val="clear" w:color="auto" w:fill="FFFFFF"/>
                <w:lang w:eastAsia="zh-CN"/>
              </w:rPr>
            </w:pPr>
            <w:r>
              <w:rPr>
                <w:rFonts w:hint="eastAsia" w:ascii="Arial Narrow" w:hAnsi="宋体" w:cs="Arial"/>
                <w:iCs/>
                <w:color w:val="000000"/>
                <w:szCs w:val="21"/>
                <w:lang w:eastAsia="zh-CN"/>
              </w:rPr>
              <w:t>宜有昉干烧的过热保护</w:t>
            </w:r>
            <w:r>
              <w:rPr>
                <w:rFonts w:hint="eastAsia" w:ascii="Arial Narrow" w:hAnsi="Arial Narrow" w:cs="Arial"/>
                <w:iCs/>
                <w:color w:val="000000"/>
                <w:szCs w:val="21"/>
                <w:lang w:eastAsia="zh-CN"/>
              </w:rPr>
              <w:t>。</w:t>
            </w:r>
          </w:p>
        </w:tc>
        <w:tc>
          <w:tcPr>
            <w:tcW w:w="2125" w:type="dxa"/>
            <w:gridSpan w:val="2"/>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9"/>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8D8D8"/>
            <w:vAlign w:val="center"/>
          </w:tcPr>
          <w:p>
            <w:pPr>
              <w:pStyle w:val="30"/>
              <w:ind w:firstLine="0" w:firstLineChars="0"/>
              <w:rPr>
                <w:rFonts w:ascii="Times New Roman" w:hAnsi="Times New Roman"/>
                <w:szCs w:val="21"/>
                <w:shd w:val="pct10" w:color="auto" w:fill="FFFFFF"/>
              </w:rPr>
            </w:pPr>
          </w:p>
        </w:tc>
        <w:tc>
          <w:tcPr>
            <w:tcW w:w="9253" w:type="dxa"/>
            <w:gridSpan w:val="3"/>
            <w:vAlign w:val="center"/>
          </w:tcPr>
          <w:p>
            <w:pPr>
              <w:spacing w:line="276" w:lineRule="auto"/>
              <w:jc w:val="both"/>
              <w:rPr>
                <w:szCs w:val="21"/>
                <w:lang w:eastAsia="zh-CN"/>
              </w:rPr>
            </w:pPr>
            <w:r>
              <w:rPr>
                <w:rFonts w:hint="eastAsia"/>
                <w:iCs/>
                <w:szCs w:val="21"/>
                <w:lang w:val="en-US" w:eastAsia="zh-CN"/>
              </w:rPr>
              <w:t xml:space="preserve"> N/A</w:t>
            </w:r>
          </w:p>
        </w:tc>
      </w:tr>
    </w:tbl>
    <w:p>
      <w:pPr>
        <w:pStyle w:val="30"/>
        <w:numPr>
          <w:ilvl w:val="0"/>
          <w:numId w:val="3"/>
        </w:numPr>
        <w:spacing w:afterLines="50"/>
        <w:ind w:left="426" w:hanging="426" w:hangingChars="202"/>
        <w:outlineLvl w:val="0"/>
        <w:rPr>
          <w:rFonts w:ascii="Times New Roman" w:hAnsi="Times New Roman"/>
          <w:b/>
        </w:rPr>
      </w:pPr>
      <w:bookmarkStart w:id="27" w:name="_Toc522716122"/>
      <w:bookmarkStart w:id="28" w:name="_Toc522107742"/>
      <w:bookmarkStart w:id="29" w:name="_Toc482370767"/>
      <w:bookmarkStart w:id="30" w:name="_Toc482370071"/>
      <w:bookmarkStart w:id="31" w:name="_Toc482360291"/>
      <w:bookmarkStart w:id="32" w:name="_Toc483400317"/>
      <w:bookmarkStart w:id="33" w:name="_Toc482369815"/>
      <w:bookmarkStart w:id="34" w:name="_Toc482359946"/>
      <w:bookmarkStart w:id="35" w:name="_Toc481702480"/>
      <w:bookmarkStart w:id="36" w:name="_Toc482370359"/>
      <w:bookmarkStart w:id="37" w:name="_Toc482370151"/>
      <w:bookmarkStart w:id="38" w:name="_Toc482717202"/>
      <w:bookmarkStart w:id="39" w:name="_Toc482625289"/>
      <w:bookmarkStart w:id="40" w:name="_Toc483227237"/>
      <w:r>
        <w:rPr>
          <w:rFonts w:ascii="Times New Roman" w:hAnsi="Times New Roman"/>
          <w:b/>
        </w:rPr>
        <w:t>电气、自动控制要求</w:t>
      </w:r>
      <w:bookmarkEnd w:id="27"/>
    </w:p>
    <w:p>
      <w:pPr>
        <w:pStyle w:val="34"/>
        <w:spacing w:before="0" w:line="360" w:lineRule="auto"/>
        <w:ind w:left="425"/>
        <w:jc w:val="left"/>
        <w:rPr>
          <w:i/>
          <w:color w:val="4472C4"/>
          <w:szCs w:val="21"/>
          <w:lang w:eastAsia="zh-CN"/>
        </w:rPr>
      </w:pPr>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2"/>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Arial Narrow" w:hAnsi="宋体" w:cs="Arial"/>
                <w:iCs/>
                <w:color w:val="000000"/>
                <w:szCs w:val="21"/>
                <w:lang w:eastAsia="zh-CN"/>
              </w:rPr>
              <w:t>采用智能式控温，温控精确，数字显示，自动控温</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2"/>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8D8D8"/>
            <w:vAlign w:val="center"/>
          </w:tcPr>
          <w:p>
            <w:pPr>
              <w:ind w:left="426"/>
              <w:rPr>
                <w:szCs w:val="21"/>
                <w:lang w:eastAsia="zh-CN"/>
              </w:rPr>
            </w:pPr>
            <w:r>
              <w:rPr>
                <w:rFonts w:hint="eastAsia"/>
                <w:szCs w:val="21"/>
                <w:lang w:eastAsia="zh-CN"/>
              </w:rPr>
              <w:t xml:space="preserve"> </w:t>
            </w:r>
          </w:p>
        </w:tc>
        <w:tc>
          <w:tcPr>
            <w:tcW w:w="9253" w:type="dxa"/>
            <w:gridSpan w:val="2"/>
            <w:vAlign w:val="center"/>
          </w:tcPr>
          <w:p>
            <w:pPr>
              <w:ind w:left="470"/>
              <w:jc w:val="both"/>
              <w:rPr>
                <w:kern w:val="2"/>
                <w:szCs w:val="21"/>
                <w:lang w:val="en-US" w:eastAsia="zh-CN"/>
              </w:rPr>
            </w:pPr>
            <w:r>
              <w:rPr>
                <w:rFonts w:hint="eastAsia"/>
                <w:kern w:val="2"/>
                <w:szCs w:val="21"/>
                <w:lang w:val="en-US" w:eastAsia="zh-CN"/>
              </w:rPr>
              <w:t>N/A</w:t>
            </w:r>
          </w:p>
        </w:tc>
      </w:tr>
    </w:tbl>
    <w:p>
      <w:pPr>
        <w:spacing w:afterLines="50"/>
        <w:rPr>
          <w:b/>
          <w:lang w:eastAsia="zh-CN"/>
        </w:rPr>
      </w:pPr>
    </w:p>
    <w:p>
      <w:pPr>
        <w:pStyle w:val="30"/>
        <w:numPr>
          <w:ilvl w:val="0"/>
          <w:numId w:val="3"/>
        </w:numPr>
        <w:spacing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p>
      <w:pPr>
        <w:pStyle w:val="34"/>
        <w:spacing w:before="0" w:line="360" w:lineRule="auto"/>
        <w:ind w:left="357"/>
        <w:jc w:val="left"/>
        <w:rPr>
          <w:i/>
          <w:color w:val="4472C4"/>
          <w:szCs w:val="21"/>
          <w:lang w:eastAsia="zh-CN"/>
        </w:rPr>
      </w:pPr>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8D8D8"/>
            <w:vAlign w:val="center"/>
          </w:tcPr>
          <w:p>
            <w:pPr>
              <w:pStyle w:val="30"/>
              <w:ind w:firstLine="0" w:firstLineChars="0"/>
              <w:rPr>
                <w:rFonts w:ascii="Times New Roman" w:hAnsi="Times New Roman"/>
                <w:szCs w:val="21"/>
              </w:rPr>
            </w:pPr>
          </w:p>
        </w:tc>
        <w:tc>
          <w:tcPr>
            <w:tcW w:w="9253" w:type="dxa"/>
            <w:gridSpan w:val="2"/>
            <w:vAlign w:val="center"/>
          </w:tcPr>
          <w:p>
            <w:pPr>
              <w:jc w:val="both"/>
              <w:rPr>
                <w:szCs w:val="21"/>
                <w:lang w:eastAsia="zh-CN"/>
              </w:rPr>
            </w:pPr>
            <w:r>
              <w:rPr>
                <w:rFonts w:hint="eastAsia"/>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8D8D8"/>
            <w:vAlign w:val="center"/>
          </w:tcPr>
          <w:p>
            <w:pPr>
              <w:pStyle w:val="30"/>
              <w:ind w:firstLine="0" w:firstLineChars="0"/>
              <w:rPr>
                <w:rFonts w:ascii="Times New Roman" w:hAnsi="Times New Roman"/>
                <w:szCs w:val="21"/>
              </w:rPr>
            </w:pPr>
          </w:p>
        </w:tc>
        <w:tc>
          <w:tcPr>
            <w:tcW w:w="9253" w:type="dxa"/>
            <w:gridSpan w:val="2"/>
            <w:vAlign w:val="center"/>
          </w:tcPr>
          <w:p>
            <w:pPr>
              <w:jc w:val="both"/>
              <w:rPr>
                <w:szCs w:val="21"/>
                <w:lang w:eastAsia="zh-CN"/>
              </w:rPr>
            </w:pPr>
            <w:r>
              <w:rPr>
                <w:rFonts w:hint="eastAsia"/>
                <w:szCs w:val="21"/>
                <w:lang w:eastAsia="zh-CN"/>
              </w:rPr>
              <w:t>N/A</w:t>
            </w:r>
          </w:p>
        </w:tc>
      </w:tr>
    </w:tbl>
    <w:p>
      <w:pPr>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42" w:name="_Toc522107743"/>
      <w:bookmarkStart w:id="43" w:name="_Toc522716124"/>
      <w:r>
        <w:rPr>
          <w:rFonts w:ascii="Times New Roman" w:hAnsi="Times New Roman"/>
          <w:b/>
        </w:rPr>
        <w:t>文件要求</w:t>
      </w:r>
      <w:bookmarkEnd w:id="42"/>
      <w:bookmarkEnd w:id="43"/>
    </w:p>
    <w:p>
      <w:pPr>
        <w:pStyle w:val="34"/>
        <w:spacing w:before="0" w:line="360" w:lineRule="auto"/>
        <w:ind w:left="357"/>
        <w:jc w:val="left"/>
        <w:rPr>
          <w:i/>
          <w:szCs w:val="21"/>
          <w:lang w:eastAsia="zh-CN"/>
        </w:rPr>
      </w:pPr>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360" w:lineRule="auto"/>
              <w:rPr>
                <w:rFonts w:ascii="宋体" w:hAnsi="宋体" w:cs="Arial"/>
                <w:color w:val="000000"/>
                <w:szCs w:val="21"/>
                <w:lang w:eastAsia="zh-CN"/>
              </w:rPr>
            </w:pPr>
            <w:r>
              <w:rPr>
                <w:rFonts w:ascii="宋体" w:hAnsi="宋体" w:cs="Arial"/>
                <w:color w:val="000000"/>
                <w:szCs w:val="21"/>
                <w:lang w:eastAsia="zh-CN"/>
              </w:rPr>
              <w:t>提供的文件，应满足以下要求：</w:t>
            </w:r>
          </w:p>
          <w:p>
            <w:pPr>
              <w:numPr>
                <w:ilvl w:val="0"/>
                <w:numId w:val="12"/>
              </w:numPr>
              <w:spacing w:line="360" w:lineRule="auto"/>
              <w:rPr>
                <w:rFonts w:ascii="宋体" w:hAnsi="宋体" w:cs="Arial"/>
                <w:color w:val="000000"/>
                <w:szCs w:val="21"/>
              </w:rPr>
            </w:pPr>
            <w:r>
              <w:rPr>
                <w:rFonts w:ascii="宋体" w:hAnsi="宋体" w:cs="Arial"/>
                <w:color w:val="000000"/>
                <w:szCs w:val="21"/>
              </w:rPr>
              <w:t>信息准确，</w:t>
            </w:r>
            <w:r>
              <w:rPr>
                <w:rFonts w:hint="eastAsia" w:ascii="宋体" w:hAnsi="宋体" w:cs="Arial"/>
                <w:color w:val="000000"/>
                <w:szCs w:val="21"/>
              </w:rPr>
              <w:t>完整</w:t>
            </w:r>
          </w:p>
          <w:p>
            <w:pPr>
              <w:numPr>
                <w:ilvl w:val="0"/>
                <w:numId w:val="12"/>
              </w:numPr>
              <w:spacing w:line="360" w:lineRule="auto"/>
              <w:rPr>
                <w:rFonts w:ascii="宋体" w:hAnsi="宋体" w:cs="Arial"/>
                <w:color w:val="000000"/>
                <w:szCs w:val="21"/>
                <w:lang w:eastAsia="zh-CN"/>
              </w:rPr>
            </w:pPr>
            <w:r>
              <w:rPr>
                <w:rFonts w:ascii="宋体" w:hAnsi="宋体" w:cs="Arial"/>
                <w:color w:val="000000"/>
                <w:szCs w:val="21"/>
                <w:lang w:eastAsia="zh-CN"/>
              </w:rPr>
              <w:t>测试项目全面（涵盖URS需求），</w:t>
            </w:r>
          </w:p>
          <w:p>
            <w:pPr>
              <w:numPr>
                <w:ilvl w:val="0"/>
                <w:numId w:val="12"/>
              </w:numPr>
              <w:spacing w:line="360" w:lineRule="auto"/>
              <w:rPr>
                <w:rFonts w:ascii="宋体" w:hAnsi="宋体" w:cs="Arial"/>
                <w:color w:val="000000"/>
                <w:szCs w:val="21"/>
                <w:lang w:eastAsia="zh-CN"/>
              </w:rPr>
            </w:pPr>
            <w:r>
              <w:rPr>
                <w:rFonts w:hint="eastAsia" w:ascii="宋体" w:hAnsi="宋体" w:cs="Arial"/>
                <w:color w:val="000000"/>
                <w:szCs w:val="21"/>
                <w:lang w:eastAsia="zh-CN"/>
              </w:rPr>
              <w:t>如适用，</w:t>
            </w:r>
            <w:r>
              <w:rPr>
                <w:rFonts w:ascii="宋体" w:hAnsi="宋体" w:cs="Arial"/>
                <w:color w:val="000000"/>
                <w:szCs w:val="21"/>
                <w:lang w:eastAsia="zh-CN"/>
              </w:rPr>
              <w:t>测试步骤描述详细、可操作，</w:t>
            </w:r>
          </w:p>
          <w:p>
            <w:pPr>
              <w:numPr>
                <w:ilvl w:val="0"/>
                <w:numId w:val="12"/>
              </w:numPr>
              <w:spacing w:line="360" w:lineRule="auto"/>
              <w:rPr>
                <w:rFonts w:ascii="宋体" w:hAnsi="宋体" w:cs="Arial"/>
                <w:color w:val="000000"/>
                <w:szCs w:val="21"/>
                <w:lang w:eastAsia="zh-CN"/>
              </w:rPr>
            </w:pPr>
            <w:r>
              <w:rPr>
                <w:rFonts w:ascii="宋体" w:hAnsi="宋体" w:cs="Arial"/>
                <w:color w:val="000000"/>
                <w:szCs w:val="21"/>
                <w:lang w:eastAsia="zh-CN"/>
              </w:rPr>
              <w:t>可接受标准合理（不得与URS或法规要求有冲突），</w:t>
            </w:r>
          </w:p>
          <w:p>
            <w:pPr>
              <w:jc w:val="both"/>
              <w:rPr>
                <w:szCs w:val="21"/>
                <w:lang w:eastAsia="zh-CN"/>
              </w:rPr>
            </w:pPr>
            <w:r>
              <w:rPr>
                <w:rFonts w:ascii="宋体" w:hAnsi="宋体" w:cs="Arial"/>
                <w:color w:val="000000"/>
                <w:szCs w:val="21"/>
                <w:lang w:eastAsia="zh-CN"/>
              </w:rPr>
              <w:t>测试表格的设计</w:t>
            </w:r>
            <w:r>
              <w:rPr>
                <w:rFonts w:hint="eastAsia" w:ascii="宋体" w:hAnsi="宋体" w:cs="Arial"/>
                <w:color w:val="000000"/>
                <w:szCs w:val="21"/>
                <w:lang w:eastAsia="zh-CN"/>
              </w:rPr>
              <w:t>内容详细，信息全面，</w:t>
            </w:r>
            <w:r>
              <w:rPr>
                <w:rFonts w:ascii="宋体" w:hAnsi="宋体" w:cs="Arial"/>
                <w:color w:val="000000"/>
                <w:szCs w:val="21"/>
                <w:lang w:eastAsia="zh-CN"/>
              </w:rPr>
              <w:t>便于人员记录</w:t>
            </w:r>
            <w:r>
              <w:rPr>
                <w:rFonts w:hint="eastAsia" w:ascii="宋体" w:hAnsi="宋体" w:cs="Arial"/>
                <w:color w:val="000000"/>
                <w:szCs w:val="21"/>
                <w:lang w:eastAsia="zh-CN"/>
              </w:rPr>
              <w:t>。</w:t>
            </w:r>
          </w:p>
        </w:tc>
        <w:tc>
          <w:tcPr>
            <w:tcW w:w="2125" w:type="dxa"/>
            <w:vAlign w:val="center"/>
          </w:tcPr>
          <w:p>
            <w:pPr>
              <w:jc w:val="both"/>
              <w:rPr>
                <w:szCs w:val="21"/>
                <w:lang w:eastAsia="zh-CN"/>
              </w:rPr>
            </w:pPr>
            <w:r>
              <w:rPr>
                <w:rFonts w:hint="eastAsia"/>
                <w:szCs w:val="21"/>
                <w:lang w:eastAsia="zh-CN"/>
              </w:rPr>
              <w:t xml:space="preserve"> 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360" w:lineRule="auto"/>
              <w:rPr>
                <w:rFonts w:ascii="宋体" w:hAnsi="宋体" w:cs="Arial"/>
                <w:bCs/>
                <w:color w:val="000000"/>
                <w:szCs w:val="21"/>
                <w:lang w:eastAsia="zh-CN"/>
              </w:rPr>
            </w:pPr>
            <w:r>
              <w:rPr>
                <w:rFonts w:ascii="Arial" w:hAnsi="Arial" w:cs="Arial"/>
                <w:bCs/>
                <w:color w:val="000000"/>
                <w:szCs w:val="21"/>
                <w:lang w:eastAsia="zh-CN"/>
              </w:rPr>
              <w:t>供应商应提供以下的文件资料</w:t>
            </w:r>
          </w:p>
          <w:p>
            <w:pPr>
              <w:numPr>
                <w:ilvl w:val="0"/>
                <w:numId w:val="13"/>
              </w:numPr>
              <w:spacing w:line="360" w:lineRule="auto"/>
              <w:rPr>
                <w:rFonts w:ascii="宋体" w:hAnsi="宋体" w:cs="Arial"/>
                <w:bCs/>
                <w:color w:val="000000"/>
                <w:szCs w:val="21"/>
              </w:rPr>
            </w:pPr>
            <w:r>
              <w:rPr>
                <w:rFonts w:ascii="宋体" w:hAnsi="宋体" w:cs="Arial"/>
                <w:bCs/>
                <w:color w:val="000000"/>
                <w:szCs w:val="21"/>
              </w:rPr>
              <w:t>仪器</w:t>
            </w:r>
            <w:r>
              <w:rPr>
                <w:rFonts w:hint="eastAsia" w:ascii="宋体" w:hAnsi="宋体" w:cs="Arial"/>
                <w:bCs/>
                <w:color w:val="000000"/>
                <w:szCs w:val="21"/>
                <w:lang w:eastAsia="zh-CN"/>
              </w:rPr>
              <w:t>出厂</w:t>
            </w:r>
            <w:r>
              <w:rPr>
                <w:rFonts w:ascii="宋体" w:hAnsi="宋体" w:cs="Arial"/>
                <w:bCs/>
                <w:color w:val="000000"/>
                <w:szCs w:val="21"/>
              </w:rPr>
              <w:t>校验证书；</w:t>
            </w:r>
          </w:p>
          <w:p>
            <w:pPr>
              <w:numPr>
                <w:ilvl w:val="0"/>
                <w:numId w:val="13"/>
              </w:numPr>
              <w:spacing w:line="360" w:lineRule="auto"/>
              <w:rPr>
                <w:rFonts w:ascii="宋体" w:hAnsi="宋体" w:cs="Arial"/>
                <w:bCs/>
                <w:color w:val="000000"/>
                <w:szCs w:val="21"/>
              </w:rPr>
            </w:pPr>
            <w:r>
              <w:rPr>
                <w:rFonts w:ascii="宋体" w:hAnsi="宋体" w:cs="Arial"/>
                <w:bCs/>
                <w:color w:val="000000"/>
                <w:szCs w:val="21"/>
              </w:rPr>
              <w:t>产品质量证明书；</w:t>
            </w:r>
          </w:p>
          <w:p>
            <w:pPr>
              <w:numPr>
                <w:ilvl w:val="0"/>
                <w:numId w:val="13"/>
              </w:numPr>
              <w:spacing w:line="360" w:lineRule="auto"/>
              <w:rPr>
                <w:rFonts w:ascii="宋体" w:hAnsi="宋体" w:cs="Arial"/>
                <w:bCs/>
                <w:color w:val="000000"/>
                <w:szCs w:val="21"/>
              </w:rPr>
            </w:pPr>
            <w:r>
              <w:rPr>
                <w:rFonts w:ascii="宋体" w:hAnsi="宋体" w:cs="Arial"/>
                <w:bCs/>
                <w:color w:val="000000"/>
                <w:szCs w:val="21"/>
              </w:rPr>
              <w:t>主要部件清单；</w:t>
            </w:r>
          </w:p>
          <w:p>
            <w:pPr>
              <w:numPr>
                <w:ilvl w:val="0"/>
                <w:numId w:val="13"/>
              </w:numPr>
              <w:spacing w:line="360" w:lineRule="auto"/>
              <w:rPr>
                <w:rFonts w:ascii="宋体" w:hAnsi="宋体" w:cs="Arial"/>
                <w:color w:val="000000"/>
                <w:szCs w:val="21"/>
              </w:rPr>
            </w:pPr>
            <w:r>
              <w:rPr>
                <w:rFonts w:ascii="宋体" w:hAnsi="宋体" w:cs="Arial"/>
                <w:bCs/>
                <w:color w:val="000000"/>
                <w:szCs w:val="21"/>
              </w:rPr>
              <w:t>备品备件清单</w:t>
            </w:r>
            <w:r>
              <w:rPr>
                <w:rFonts w:hint="eastAsia" w:ascii="宋体" w:hAnsi="宋体" w:cs="Arial"/>
                <w:bCs/>
                <w:color w:val="000000"/>
                <w:szCs w:val="21"/>
              </w:rPr>
              <w:t>；</w:t>
            </w:r>
          </w:p>
          <w:p>
            <w:pPr>
              <w:pStyle w:val="30"/>
              <w:numPr>
                <w:ilvl w:val="0"/>
                <w:numId w:val="13"/>
              </w:numPr>
              <w:ind w:firstLineChars="0"/>
              <w:rPr>
                <w:szCs w:val="21"/>
              </w:rPr>
            </w:pPr>
            <w:r>
              <w:rPr>
                <w:rFonts w:hint="eastAsia"/>
                <w:szCs w:val="21"/>
              </w:rPr>
              <w:t>有资质的第三方计量检定报告（有效期在6个月以上）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ascii="宋体" w:hAnsi="宋体" w:cs="Arial"/>
                <w:color w:val="000000"/>
                <w:szCs w:val="21"/>
                <w:lang w:eastAsia="zh-CN"/>
              </w:rPr>
              <w:t>设备</w:t>
            </w:r>
            <w:r>
              <w:rPr>
                <w:rFonts w:hint="eastAsia" w:ascii="宋体" w:hAnsi="宋体" w:cs="Arial"/>
                <w:color w:val="000000"/>
                <w:szCs w:val="21"/>
                <w:lang w:eastAsia="zh-CN"/>
              </w:rPr>
              <w:t>供应</w:t>
            </w:r>
            <w:r>
              <w:rPr>
                <w:rFonts w:ascii="宋体" w:hAnsi="宋体" w:cs="Arial"/>
                <w:color w:val="000000"/>
                <w:szCs w:val="21"/>
                <w:lang w:eastAsia="zh-CN"/>
              </w:rPr>
              <w:t>商负责IQ/OQ的实施，负责数据收集及报告的完成，由我方进行见证。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360" w:lineRule="auto"/>
              <w:rPr>
                <w:rFonts w:ascii="宋体" w:hAnsi="宋体" w:cs="Arial"/>
                <w:szCs w:val="21"/>
                <w:lang w:eastAsia="zh-CN"/>
              </w:rPr>
            </w:pPr>
            <w:r>
              <w:rPr>
                <w:rFonts w:ascii="宋体" w:hAnsi="宋体" w:cs="Arial"/>
                <w:szCs w:val="21"/>
                <w:lang w:eastAsia="zh-CN"/>
              </w:rPr>
              <w:t>设备至少</w:t>
            </w:r>
            <w:r>
              <w:rPr>
                <w:rFonts w:hint="eastAsia" w:ascii="宋体" w:hAnsi="宋体" w:cs="Arial"/>
                <w:szCs w:val="21"/>
                <w:lang w:eastAsia="zh-CN"/>
              </w:rPr>
              <w:t>1</w:t>
            </w:r>
            <w:r>
              <w:rPr>
                <w:rFonts w:ascii="宋体" w:hAnsi="宋体" w:cs="Arial"/>
                <w:szCs w:val="21"/>
                <w:lang w:eastAsia="zh-CN"/>
              </w:rPr>
              <w:t>套纸张版技术资料（中文或英文）：</w:t>
            </w:r>
          </w:p>
          <w:p>
            <w:pPr>
              <w:spacing w:line="360" w:lineRule="auto"/>
              <w:rPr>
                <w:rFonts w:ascii="宋体" w:hAnsi="宋体" w:cs="Arial"/>
                <w:szCs w:val="21"/>
                <w:lang w:eastAsia="zh-CN"/>
              </w:rPr>
            </w:pPr>
            <w:r>
              <w:rPr>
                <w:rFonts w:ascii="宋体" w:hAnsi="宋体" w:cs="Arial"/>
                <w:szCs w:val="21"/>
                <w:lang w:eastAsia="zh-CN"/>
              </w:rPr>
              <w:t>1. 设备安装使用维护操作手册</w:t>
            </w:r>
          </w:p>
          <w:p>
            <w:pPr>
              <w:jc w:val="both"/>
              <w:rPr>
                <w:rFonts w:hAnsi="宋体"/>
                <w:szCs w:val="21"/>
                <w:u w:val="none" w:color="333333"/>
                <w:lang w:val="zh-TW" w:eastAsia="zh-CN"/>
              </w:rPr>
            </w:pPr>
            <w:r>
              <w:rPr>
                <w:rFonts w:ascii="宋体" w:hAnsi="宋体" w:cs="Arial"/>
                <w:szCs w:val="21"/>
                <w:lang w:eastAsia="zh-CN"/>
              </w:rPr>
              <w:t>2. 仪表出厂合格证、校验合格证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val="none" w:color="333333"/>
                <w:lang w:val="zh-TW" w:eastAsia="zh-TW"/>
              </w:rPr>
              <w:t>设备操作手册（</w:t>
            </w:r>
            <w:r>
              <w:rPr>
                <w:szCs w:val="21"/>
                <w:u w:val="none" w:color="333333"/>
                <w:lang w:eastAsia="zh-CN"/>
              </w:rPr>
              <w:t>SOP</w:t>
            </w:r>
            <w:r>
              <w:rPr>
                <w:rFonts w:hint="eastAsia" w:hAnsi="宋体"/>
                <w:szCs w:val="21"/>
                <w:u w:val="none" w:color="333333"/>
                <w:lang w:val="zh-TW" w:eastAsia="zh-TW"/>
              </w:rPr>
              <w:t>）：语言为中文，应说明设备维护内容、校准周期，并能提供校准服务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val="zh-TW" w:eastAsia="zh-CN"/>
              </w:rPr>
            </w:pPr>
            <w:r>
              <w:rPr>
                <w:rFonts w:hint="eastAsia" w:hAnsi="宋体"/>
                <w:szCs w:val="21"/>
                <w:u w:val="none" w:color="333333"/>
                <w:lang w:eastAsia="zh-TW"/>
              </w:rPr>
              <w:t>有资质的第三方检测机构出具的</w:t>
            </w:r>
            <w:r>
              <w:rPr>
                <w:rFonts w:hint="eastAsia" w:hAnsi="宋体"/>
                <w:szCs w:val="21"/>
                <w:u w:val="none" w:color="333333"/>
                <w:lang w:val="zh-TW" w:eastAsia="zh-TW"/>
              </w:rPr>
              <w:t>首次校验报告及计量证书</w:t>
            </w:r>
            <w:r>
              <w:rPr>
                <w:rFonts w:hint="eastAsia" w:hAnsi="宋体"/>
                <w:szCs w:val="21"/>
                <w:u w:val="none" w:color="333333"/>
                <w:lang w:eastAsia="zh-TW"/>
              </w:rPr>
              <w:t>，设备到厂验收时有效期不得少于</w:t>
            </w:r>
            <w:r>
              <w:rPr>
                <w:rFonts w:hAnsi="宋体"/>
                <w:szCs w:val="21"/>
                <w:u w:val="none" w:color="333333"/>
                <w:lang w:eastAsia="zh-TW"/>
              </w:rPr>
              <w:t>6</w:t>
            </w:r>
            <w:r>
              <w:rPr>
                <w:rFonts w:hint="eastAsia" w:hAnsi="宋体"/>
                <w:szCs w:val="21"/>
                <w:u w:val="none" w:color="333333"/>
                <w:lang w:eastAsia="zh-TW"/>
              </w:rPr>
              <w:t>个月</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eastAsia="zh-TW"/>
              </w:rPr>
            </w:pPr>
            <w:r>
              <w:rPr>
                <w:rFonts w:hint="eastAsia" w:ascii="宋体" w:hAnsi="宋体"/>
                <w:szCs w:val="21"/>
                <w:lang w:eastAsia="zh-CN"/>
              </w:rPr>
              <w:t>设备厂家文件：</w:t>
            </w:r>
            <w:r>
              <w:rPr>
                <w:rFonts w:hint="eastAsia" w:ascii="宋体" w:hAnsi="宋体" w:cs="宋体"/>
                <w:szCs w:val="21"/>
                <w:lang w:eastAsia="zh-CN"/>
              </w:rPr>
              <w:t>出厂测试合格证、说明书、</w:t>
            </w:r>
            <w:r>
              <w:rPr>
                <w:rFonts w:hint="eastAsia" w:ascii="宋体" w:hAnsi="宋体"/>
                <w:szCs w:val="21"/>
                <w:lang w:eastAsia="zh-CN"/>
              </w:rPr>
              <w:t>相关检测报告、各种标示。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rPr>
                <w:szCs w:val="21"/>
                <w:u w:val="none" w:color="333333"/>
                <w:lang w:eastAsia="zh-CN"/>
              </w:rPr>
            </w:pPr>
            <w:r>
              <w:rPr>
                <w:rFonts w:hint="eastAsia" w:hAnsi="宋体"/>
                <w:szCs w:val="21"/>
                <w:u w:val="none" w:color="333333"/>
                <w:lang w:val="zh-TW" w:eastAsia="zh-TW"/>
              </w:rPr>
              <w:t>文件具体要求：</w:t>
            </w:r>
          </w:p>
          <w:p>
            <w:pPr>
              <w:rPr>
                <w:rFonts w:hAnsi="宋体"/>
                <w:szCs w:val="21"/>
                <w:u w:val="none" w:color="333333"/>
                <w:lang w:val="zh-TW" w:eastAsia="zh-TW"/>
              </w:rPr>
            </w:pPr>
            <w:r>
              <w:rPr>
                <w:rFonts w:hint="eastAsia" w:hAnsi="宋体"/>
                <w:szCs w:val="21"/>
                <w:u w:val="none" w:color="333333"/>
                <w:lang w:val="zh-TW" w:eastAsia="zh-TW"/>
              </w:rPr>
              <w:t>（</w:t>
            </w:r>
            <w:r>
              <w:rPr>
                <w:rFonts w:hint="eastAsia"/>
                <w:szCs w:val="21"/>
                <w:u w:val="none" w:color="333333"/>
                <w:lang w:eastAsia="zh-CN"/>
              </w:rPr>
              <w:t>1</w:t>
            </w:r>
            <w:r>
              <w:rPr>
                <w:rFonts w:hint="eastAsia" w:hAnsi="宋体"/>
                <w:szCs w:val="21"/>
                <w:u w:val="none" w:color="333333"/>
                <w:lang w:val="zh-TW" w:eastAsia="zh-TW"/>
              </w:rPr>
              <w:t>）标书中明确系统所有组件的品牌、材质、型号，并且注明每一个组件的保修期；</w:t>
            </w:r>
          </w:p>
          <w:p>
            <w:pPr>
              <w:rPr>
                <w:rFonts w:hAnsi="宋体"/>
                <w:szCs w:val="21"/>
                <w:u w:val="none" w:color="333333"/>
                <w:lang w:eastAsia="zh-CN"/>
              </w:rPr>
            </w:pPr>
            <w:r>
              <w:rPr>
                <w:rFonts w:hint="eastAsia" w:hAnsi="宋体"/>
                <w:szCs w:val="21"/>
                <w:u w:val="none" w:color="333333"/>
                <w:lang w:eastAsia="zh-TW"/>
              </w:rPr>
              <w:t>（</w:t>
            </w:r>
            <w:r>
              <w:rPr>
                <w:rFonts w:hint="eastAsia" w:hAnsi="宋体"/>
                <w:szCs w:val="21"/>
                <w:u w:val="none" w:color="333333"/>
                <w:lang w:eastAsia="zh-CN"/>
              </w:rPr>
              <w:t>2</w:t>
            </w:r>
            <w:r>
              <w:rPr>
                <w:rFonts w:hint="eastAsia" w:hAnsi="宋体"/>
                <w:szCs w:val="21"/>
                <w:u w:val="none" w:color="333333"/>
                <w:lang w:eastAsia="zh-TW"/>
              </w:rPr>
              <w:t>）除另有约定外，上述文件中方案或计划类文件应在合同签订后设备发运前交付审核</w:t>
            </w:r>
          </w:p>
          <w:p>
            <w:pPr>
              <w:rPr>
                <w:rFonts w:hAnsi="宋体"/>
                <w:szCs w:val="21"/>
                <w:u w:val="none" w:color="333333"/>
                <w:lang w:eastAsia="zh-CN"/>
              </w:rPr>
            </w:pPr>
          </w:p>
        </w:tc>
        <w:tc>
          <w:tcPr>
            <w:tcW w:w="2125" w:type="dxa"/>
            <w:vAlign w:val="center"/>
          </w:tcPr>
          <w:p>
            <w:pPr>
              <w:jc w:val="both"/>
              <w:rPr>
                <w:szCs w:val="21"/>
                <w:lang w:eastAsia="zh-CN"/>
              </w:rPr>
            </w:pPr>
            <w:r>
              <w:rPr>
                <w:rFonts w:hint="eastAsia"/>
                <w:szCs w:val="21"/>
                <w:lang w:eastAsia="zh-CN"/>
              </w:rPr>
              <w:t>关键</w:t>
            </w:r>
          </w:p>
        </w:tc>
      </w:tr>
    </w:tbl>
    <w:p>
      <w:pPr>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p>
      <w:pPr>
        <w:spacing w:afterLines="50"/>
        <w:outlineLvl w:val="0"/>
        <w:rPr>
          <w:i/>
          <w:color w:val="4472C4"/>
          <w:szCs w:val="21"/>
          <w:lang w:eastAsia="zh-CN"/>
        </w:rPr>
      </w:pPr>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ascii="Arial" w:hAnsi="Arial" w:cs="Arial"/>
                <w:bCs/>
                <w:color w:val="000000"/>
                <w:szCs w:val="21"/>
                <w:lang w:eastAsia="zh-CN"/>
              </w:rPr>
              <w:t>提供专门的培训材料，包括工作原理、设备结构、操作方法、注意事项、维护内容、维修内容等。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ascii="Arial" w:hAnsi="Arial" w:cs="Arial"/>
                <w:bCs/>
                <w:color w:val="000000"/>
                <w:szCs w:val="21"/>
                <w:lang w:eastAsia="zh-CN"/>
              </w:rPr>
              <w:t>在设备安装调试之后，安排我公司操作人员到供应商负责现场进行一次正式的工作人员培训，包括工作原理、结构、操作、安装调试过程的注意事项、设备日常维护保养、易损件更换、规格件更换以及维修等内容。</w:t>
            </w:r>
          </w:p>
        </w:tc>
        <w:tc>
          <w:tcPr>
            <w:tcW w:w="2125" w:type="dxa"/>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ascii="Arial" w:hAnsi="Arial" w:cs="Arial"/>
                <w:bCs/>
                <w:color w:val="000000"/>
                <w:szCs w:val="21"/>
                <w:lang w:eastAsia="zh-CN"/>
              </w:rPr>
              <w:t>负责对技术管理人员、操作人员、维修人员进行工作原理、结构、操作、安装调试过程的注意事项、设备日常维护保养、易损件更换以及维修等内容的培训，使需方人员能熟练操作并经双方人员认可。</w:t>
            </w:r>
          </w:p>
        </w:tc>
        <w:tc>
          <w:tcPr>
            <w:tcW w:w="2125" w:type="dxa"/>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360" w:lineRule="auto"/>
              <w:rPr>
                <w:rFonts w:ascii="Arial" w:hAnsi="Arial" w:cs="Arial"/>
                <w:color w:val="000000"/>
                <w:szCs w:val="21"/>
                <w:lang w:eastAsia="zh-CN"/>
              </w:rPr>
            </w:pPr>
            <w:r>
              <w:rPr>
                <w:rFonts w:ascii="Arial" w:hAnsi="Arial" w:cs="Arial"/>
                <w:color w:val="000000"/>
                <w:szCs w:val="21"/>
                <w:lang w:eastAsia="zh-CN"/>
              </w:rPr>
              <w:t>通过培训应能达到如下效果：</w:t>
            </w:r>
          </w:p>
          <w:p>
            <w:pPr>
              <w:numPr>
                <w:ilvl w:val="0"/>
                <w:numId w:val="15"/>
              </w:numPr>
              <w:spacing w:line="360" w:lineRule="auto"/>
              <w:rPr>
                <w:rFonts w:ascii="Arial" w:hAnsi="Arial" w:cs="Arial"/>
                <w:color w:val="000000"/>
                <w:szCs w:val="21"/>
                <w:lang w:eastAsia="zh-CN"/>
              </w:rPr>
            </w:pPr>
            <w:r>
              <w:rPr>
                <w:rFonts w:ascii="Arial" w:hAnsi="Arial" w:cs="Arial"/>
                <w:color w:val="000000"/>
                <w:szCs w:val="21"/>
                <w:lang w:eastAsia="zh-CN"/>
              </w:rPr>
              <w:t>操作人员能独立操作设备，并能顺利完成验证。</w:t>
            </w:r>
          </w:p>
          <w:p>
            <w:pPr>
              <w:numPr>
                <w:ilvl w:val="0"/>
                <w:numId w:val="15"/>
              </w:numPr>
              <w:spacing w:line="360" w:lineRule="auto"/>
              <w:rPr>
                <w:rFonts w:ascii="Arial" w:hAnsi="Arial" w:cs="Arial"/>
                <w:color w:val="000000"/>
                <w:szCs w:val="21"/>
                <w:lang w:eastAsia="zh-CN"/>
              </w:rPr>
            </w:pPr>
            <w:r>
              <w:rPr>
                <w:rFonts w:ascii="Arial" w:hAnsi="Arial" w:cs="Arial"/>
                <w:color w:val="000000"/>
                <w:szCs w:val="21"/>
                <w:lang w:eastAsia="zh-CN"/>
              </w:rPr>
              <w:t>设备</w:t>
            </w:r>
            <w:r>
              <w:rPr>
                <w:rFonts w:hint="eastAsia" w:ascii="Arial" w:hAnsi="Arial" w:cs="Arial"/>
                <w:color w:val="000000"/>
                <w:szCs w:val="21"/>
                <w:lang w:eastAsia="zh-CN"/>
              </w:rPr>
              <w:t>维护</w:t>
            </w:r>
            <w:r>
              <w:rPr>
                <w:rFonts w:ascii="Arial" w:hAnsi="Arial" w:cs="Arial"/>
                <w:color w:val="000000"/>
                <w:szCs w:val="21"/>
                <w:lang w:eastAsia="zh-CN"/>
              </w:rPr>
              <w:t>人员经过培训，能对设备常见故障进行</w:t>
            </w:r>
            <w:r>
              <w:rPr>
                <w:rFonts w:hint="eastAsia" w:ascii="Arial" w:hAnsi="Arial" w:cs="Arial"/>
                <w:color w:val="000000"/>
                <w:szCs w:val="21"/>
                <w:lang w:eastAsia="zh-CN"/>
              </w:rPr>
              <w:t>排查</w:t>
            </w:r>
            <w:r>
              <w:rPr>
                <w:rFonts w:ascii="Arial" w:hAnsi="Arial" w:cs="Arial"/>
                <w:color w:val="000000"/>
                <w:szCs w:val="21"/>
                <w:lang w:eastAsia="zh-CN"/>
              </w:rPr>
              <w:t>，并能按照要求的设备维护方法对设备进行维护。</w:t>
            </w:r>
          </w:p>
          <w:p>
            <w:pPr>
              <w:numPr>
                <w:ilvl w:val="0"/>
                <w:numId w:val="15"/>
              </w:numPr>
              <w:spacing w:line="360" w:lineRule="auto"/>
              <w:rPr>
                <w:rFonts w:ascii="Arial" w:hAnsi="Arial" w:cs="Arial"/>
                <w:color w:val="000000"/>
                <w:szCs w:val="21"/>
                <w:lang w:eastAsia="zh-CN"/>
              </w:rPr>
            </w:pPr>
            <w:r>
              <w:rPr>
                <w:rFonts w:ascii="Arial" w:hAnsi="Arial" w:cs="Arial"/>
                <w:color w:val="000000"/>
                <w:szCs w:val="21"/>
                <w:lang w:eastAsia="zh-CN"/>
              </w:rPr>
              <w:t>验证人员应熟悉设备所需验证部分的验证方法，并能独立进行验证。</w:t>
            </w:r>
          </w:p>
          <w:p>
            <w:pPr>
              <w:spacing w:line="276" w:lineRule="auto"/>
              <w:jc w:val="both"/>
              <w:rPr>
                <w:rFonts w:ascii="Arial" w:hAnsi="Arial" w:cs="Arial"/>
                <w:bCs/>
                <w:color w:val="000000"/>
                <w:szCs w:val="21"/>
                <w:lang w:eastAsia="zh-CN"/>
              </w:rPr>
            </w:pPr>
            <w:r>
              <w:rPr>
                <w:rFonts w:ascii="Arial" w:hAnsi="Arial" w:cs="Arial"/>
                <w:color w:val="000000"/>
                <w:szCs w:val="21"/>
                <w:lang w:eastAsia="zh-CN"/>
              </w:rPr>
              <w:t>培训通过考核评估培训效果，只有培训效果评价合格培训方可结束。</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ascii="宋体" w:hAnsi="宋体" w:cs="Arial"/>
                <w:color w:val="000000"/>
                <w:szCs w:val="21"/>
                <w:lang w:eastAsia="zh-CN"/>
              </w:rPr>
              <w:t>供应商应使用可靠的包装形式以保证相关部件的运输安全，包装满足运输和装卸要求，防潮湿、防磕碰、防振动，</w:t>
            </w:r>
            <w:r>
              <w:rPr>
                <w:rFonts w:hint="eastAsia" w:ascii="宋体" w:hAnsi="宋体" w:cs="Arial"/>
                <w:color w:val="000000"/>
                <w:szCs w:val="21"/>
                <w:lang w:eastAsia="zh-CN"/>
              </w:rPr>
              <w:t>每台设备应配备独立的防震箱，</w:t>
            </w:r>
            <w:r>
              <w:rPr>
                <w:rFonts w:ascii="宋体" w:hAnsi="宋体" w:cs="Arial"/>
                <w:color w:val="000000"/>
                <w:szCs w:val="21"/>
                <w:lang w:eastAsia="zh-CN"/>
              </w:rPr>
              <w:t>由于包装不良而导致无法达到用户验收标准，则供应商应承担全部损失和费用。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color w:val="000000"/>
                <w:szCs w:val="21"/>
                <w:lang w:eastAsia="zh-CN"/>
              </w:rPr>
            </w:pPr>
            <w:r>
              <w:rPr>
                <w:rFonts w:ascii="宋体" w:hAnsi="宋体" w:cs="Arial"/>
                <w:color w:val="000000"/>
                <w:szCs w:val="21"/>
                <w:lang w:eastAsia="zh-CN"/>
              </w:rPr>
              <w:t>供应商应负责将设备及材料运送到指定交货地点。</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color w:val="000000"/>
                <w:szCs w:val="21"/>
                <w:lang w:eastAsia="zh-CN"/>
              </w:rPr>
            </w:pPr>
            <w:r>
              <w:rPr>
                <w:rFonts w:ascii="宋体" w:hAnsi="宋体" w:cs="Arial"/>
                <w:color w:val="000000"/>
                <w:szCs w:val="21"/>
                <w:lang w:eastAsia="zh-CN"/>
              </w:rPr>
              <w:t>设备到货清单必须详列每装箱内容物</w:t>
            </w:r>
            <w:r>
              <w:rPr>
                <w:rFonts w:hint="eastAsia" w:ascii="宋体" w:hAnsi="宋体" w:cs="Arial"/>
                <w:color w:val="000000"/>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i/>
                <w:szCs w:val="21"/>
                <w:lang w:eastAsia="zh-CN"/>
              </w:rPr>
            </w:pPr>
            <w:r>
              <w:rPr>
                <w:rFonts w:hint="eastAsia" w:ascii="Arial Narrow" w:hAnsi="宋体" w:cs="Arial"/>
                <w:szCs w:val="21"/>
                <w:lang w:eastAsia="zh-CN"/>
              </w:rPr>
              <w:t>第三方计量证书应包括对设备温控范围和温度波动的测试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ascii="Arial" w:hAnsi="Arial" w:cs="Arial"/>
                <w:bCs/>
                <w:color w:val="000000"/>
                <w:szCs w:val="21"/>
                <w:lang w:eastAsia="zh-CN"/>
              </w:rPr>
              <w:t>质保期为项目验收合格，由买卖双方签署验收合格证书并办理项目移交之日算起，</w:t>
            </w:r>
            <w:r>
              <w:rPr>
                <w:rFonts w:hint="eastAsia" w:ascii="Arial" w:hAnsi="Arial" w:cs="Arial"/>
                <w:bCs/>
                <w:color w:val="000000"/>
                <w:szCs w:val="21"/>
                <w:lang w:eastAsia="zh-CN"/>
              </w:rPr>
              <w:t>供应</w:t>
            </w:r>
            <w:r>
              <w:rPr>
                <w:rFonts w:ascii="Arial" w:hAnsi="Arial" w:cs="Arial"/>
                <w:bCs/>
                <w:color w:val="000000"/>
                <w:szCs w:val="21"/>
                <w:lang w:eastAsia="zh-CN"/>
              </w:rPr>
              <w:t>商的质保期为需方现场验收合格后</w:t>
            </w:r>
            <w:r>
              <w:rPr>
                <w:rFonts w:hint="eastAsia" w:ascii="Arial" w:hAnsi="Arial" w:cs="Arial"/>
                <w:bCs/>
                <w:color w:val="000000"/>
                <w:szCs w:val="21"/>
                <w:lang w:eastAsia="zh-CN"/>
              </w:rPr>
              <w:t>12</w:t>
            </w:r>
            <w:r>
              <w:rPr>
                <w:rFonts w:ascii="Arial" w:hAnsi="Arial" w:cs="Arial"/>
                <w:bCs/>
                <w:color w:val="000000"/>
                <w:szCs w:val="21"/>
                <w:lang w:eastAsia="zh-CN"/>
              </w:rPr>
              <w:t>个月。</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ascii="Arial" w:hAnsi="Arial" w:cs="Arial"/>
                <w:bCs/>
                <w:color w:val="000000"/>
                <w:szCs w:val="21"/>
                <w:lang w:eastAsia="zh-CN"/>
              </w:rPr>
              <w:t>在质保期限内，合同中所供货物和工作内容在操作规程内出现任何问题，制造方负责无偿维修或更换。</w:t>
            </w:r>
            <w:r>
              <w:rPr>
                <w:rFonts w:hint="eastAsia" w:ascii="Arial" w:hAnsi="Arial" w:cs="Arial"/>
                <w:bCs/>
                <w:color w:val="000000"/>
                <w:szCs w:val="21"/>
                <w:lang w:eastAsia="zh-CN"/>
              </w:rPr>
              <w:t>关键零部件如发生更换，质保期自更换日期起顺延12个月。</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Cs w:val="21"/>
                <w:u w:val="none" w:color="333333"/>
                <w:lang w:eastAsia="zh-CN"/>
              </w:rPr>
            </w:pPr>
            <w:r>
              <w:rPr>
                <w:rFonts w:hint="eastAsia" w:ascii="Arial" w:hAnsi="Arial" w:cs="Arial"/>
                <w:bCs/>
                <w:color w:val="000000"/>
                <w:szCs w:val="21"/>
                <w:lang w:eastAsia="zh-CN"/>
              </w:rPr>
              <w:t>货</w:t>
            </w:r>
            <w:r>
              <w:rPr>
                <w:rFonts w:ascii="Arial" w:hAnsi="Arial" w:cs="Arial"/>
                <w:bCs/>
                <w:color w:val="000000"/>
                <w:szCs w:val="21"/>
                <w:lang w:eastAsia="zh-CN"/>
              </w:rPr>
              <w:t>方要详细说明售后服务和培训的相关内容。售后服务必须及时、详尽，且问题解决完全</w:t>
            </w:r>
            <w:r>
              <w:rPr>
                <w:rFonts w:hint="eastAsia" w:ascii="Arial" w:hAnsi="Arial" w:cs="Arial"/>
                <w:bCs/>
                <w:color w:val="000000"/>
                <w:szCs w:val="21"/>
                <w:lang w:eastAsia="zh-CN"/>
              </w:rPr>
              <w:t>，</w:t>
            </w:r>
            <w:r>
              <w:rPr>
                <w:rFonts w:hint="eastAsia" w:ascii="Arial" w:hAnsi="Arial" w:cs="Arial"/>
                <w:bCs/>
                <w:color w:val="000000"/>
                <w:szCs w:val="21"/>
                <w:lang w:val="en-US" w:eastAsia="zh-CN"/>
              </w:rPr>
              <w:t>4</w:t>
            </w:r>
            <w:r>
              <w:rPr>
                <w:rFonts w:hint="eastAsia" w:ascii="Arial" w:hAnsi="Arial" w:cs="Arial"/>
                <w:bCs/>
                <w:color w:val="000000"/>
                <w:szCs w:val="21"/>
                <w:lang w:eastAsia="zh-CN"/>
              </w:rPr>
              <w:t>小时内电话响应，</w:t>
            </w:r>
            <w:r>
              <w:rPr>
                <w:rFonts w:hint="eastAsia" w:ascii="Arial" w:hAnsi="Arial" w:cs="Arial"/>
                <w:bCs/>
                <w:color w:val="000000"/>
                <w:szCs w:val="21"/>
                <w:lang w:val="en-US" w:eastAsia="zh-CN"/>
              </w:rPr>
              <w:t>48</w:t>
            </w:r>
            <w:r>
              <w:rPr>
                <w:rFonts w:hint="eastAsia" w:ascii="Arial" w:hAnsi="Arial" w:cs="Arial"/>
                <w:bCs/>
                <w:color w:val="000000"/>
                <w:szCs w:val="21"/>
                <w:lang w:eastAsia="zh-CN"/>
              </w:rPr>
              <w:t>小时内到达现场。</w:t>
            </w:r>
          </w:p>
        </w:tc>
        <w:tc>
          <w:tcPr>
            <w:tcW w:w="2125" w:type="dxa"/>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u w:val="none" w:color="333333"/>
                <w:lang w:val="zh-TW" w:eastAsia="zh-CN"/>
              </w:rPr>
            </w:pPr>
            <w:r>
              <w:rPr>
                <w:rFonts w:hint="eastAsia" w:ascii="Arial" w:hAnsi="Arial" w:cs="Arial"/>
                <w:bCs/>
                <w:color w:val="000000"/>
                <w:szCs w:val="21"/>
                <w:lang w:eastAsia="zh-CN"/>
              </w:rPr>
              <w:t>供货</w:t>
            </w:r>
            <w:r>
              <w:rPr>
                <w:rFonts w:ascii="Arial" w:hAnsi="Arial" w:cs="Arial"/>
                <w:bCs/>
                <w:color w:val="000000"/>
                <w:szCs w:val="21"/>
                <w:lang w:eastAsia="zh-CN"/>
              </w:rPr>
              <w:t>方应定期进行回访，解决设备运行当中可能出现的隐患，排除潜在的故障，使机组保持良好的工作状态。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440" w:lineRule="exact"/>
              <w:rPr>
                <w:szCs w:val="21"/>
                <w:u w:val="none" w:color="333333"/>
                <w:lang w:eastAsia="zh-CN"/>
              </w:rPr>
            </w:pPr>
            <w:r>
              <w:rPr>
                <w:rFonts w:hint="eastAsia" w:hAnsi="宋体"/>
                <w:szCs w:val="21"/>
                <w:u w:val="none" w:color="333333"/>
                <w:lang w:eastAsia="zh-TW"/>
              </w:rPr>
              <w:t>供应商</w:t>
            </w:r>
            <w:r>
              <w:rPr>
                <w:rFonts w:hint="eastAsia" w:hAnsi="宋体"/>
                <w:szCs w:val="21"/>
                <w:u w:val="none" w:color="333333"/>
                <w:lang w:val="zh-TW" w:eastAsia="zh-TW"/>
              </w:rPr>
              <w:t>应提供合格的备件，用于设备相应部件的维修、更换。</w:t>
            </w:r>
          </w:p>
        </w:tc>
        <w:tc>
          <w:tcPr>
            <w:tcW w:w="2125" w:type="dxa"/>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440" w:lineRule="exact"/>
              <w:rPr>
                <w:rFonts w:hAnsi="宋体"/>
                <w:szCs w:val="21"/>
                <w:u w:val="none" w:color="333333"/>
                <w:lang w:eastAsia="zh-CN"/>
              </w:rPr>
            </w:pPr>
            <w:r>
              <w:rPr>
                <w:rFonts w:ascii="Arial" w:hAnsi="Arial" w:cs="Arial"/>
                <w:bCs/>
                <w:color w:val="000000"/>
                <w:szCs w:val="21"/>
                <w:lang w:eastAsia="zh-CN"/>
              </w:rPr>
              <w:t>技术文件中应有按功能部件区分、针对每一部件所做的简明图册，以便于维护迅速辨识，且能与厂家沟通无障碍。</w:t>
            </w:r>
          </w:p>
        </w:tc>
        <w:tc>
          <w:tcPr>
            <w:tcW w:w="2125" w:type="dxa"/>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440" w:lineRule="exact"/>
              <w:rPr>
                <w:rFonts w:ascii="Arial" w:hAnsi="Arial" w:cs="Arial"/>
                <w:bCs/>
                <w:color w:val="000000"/>
                <w:szCs w:val="21"/>
                <w:lang w:eastAsia="zh-CN"/>
              </w:rPr>
            </w:pPr>
            <w:r>
              <w:rPr>
                <w:rFonts w:ascii="Arial" w:hAnsi="Arial" w:cs="Arial"/>
                <w:bCs/>
                <w:color w:val="000000"/>
                <w:szCs w:val="21"/>
                <w:lang w:eastAsia="zh-CN"/>
              </w:rPr>
              <w:t>供应商应该提供建议性预防维护位置、时间表、设备状态和指南。</w:t>
            </w:r>
          </w:p>
        </w:tc>
        <w:tc>
          <w:tcPr>
            <w:tcW w:w="2125" w:type="dxa"/>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440" w:lineRule="exact"/>
              <w:rPr>
                <w:rFonts w:ascii="Arial" w:hAnsi="Arial" w:cs="Arial"/>
                <w:bCs/>
                <w:color w:val="000000"/>
                <w:szCs w:val="21"/>
                <w:lang w:eastAsia="zh-CN"/>
              </w:rPr>
            </w:pPr>
            <w:r>
              <w:rPr>
                <w:rFonts w:ascii="Arial" w:hAnsi="Arial" w:cs="Arial"/>
                <w:bCs/>
                <w:color w:val="000000"/>
                <w:szCs w:val="21"/>
                <w:lang w:eastAsia="zh-CN"/>
              </w:rPr>
              <w:t>如供货期内任何配件标准变化，供应商应该通知客户，走变更程序，变更的风险评估文件需提供给我方审批，如因更换配置导致合同内金额的变化，需和我方达成一致后方可执行。</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440" w:lineRule="exact"/>
              <w:rPr>
                <w:rFonts w:ascii="Arial" w:hAnsi="Arial" w:cs="Arial"/>
                <w:bCs/>
                <w:color w:val="000000"/>
                <w:szCs w:val="21"/>
                <w:lang w:eastAsia="zh-CN"/>
              </w:rPr>
            </w:pPr>
            <w:r>
              <w:rPr>
                <w:rFonts w:hint="eastAsia" w:ascii="Arial" w:hAnsi="Arial" w:cs="Arial"/>
                <w:bCs/>
                <w:color w:val="000000"/>
                <w:szCs w:val="21"/>
                <w:lang w:eastAsia="zh-CN"/>
              </w:rPr>
              <w:t>供货</w:t>
            </w:r>
            <w:r>
              <w:rPr>
                <w:rFonts w:ascii="Arial" w:hAnsi="Arial" w:cs="Arial"/>
                <w:bCs/>
                <w:color w:val="000000"/>
                <w:szCs w:val="21"/>
                <w:lang w:eastAsia="zh-CN"/>
              </w:rPr>
              <w:t>方应提供主要备品备件的清单和价格表。在设备使用寿命内，</w:t>
            </w:r>
            <w:r>
              <w:rPr>
                <w:rFonts w:hint="eastAsia" w:ascii="Arial" w:hAnsi="Arial" w:cs="Arial"/>
                <w:bCs/>
                <w:color w:val="000000"/>
                <w:szCs w:val="21"/>
                <w:lang w:eastAsia="zh-CN"/>
              </w:rPr>
              <w:t>供货</w:t>
            </w:r>
            <w:r>
              <w:rPr>
                <w:rFonts w:ascii="Arial" w:hAnsi="Arial" w:cs="Arial"/>
                <w:bCs/>
                <w:color w:val="000000"/>
                <w:szCs w:val="21"/>
                <w:lang w:eastAsia="zh-CN"/>
              </w:rPr>
              <w:t>方应保证设备零配件的供应，并提供优惠供应的承诺。</w:t>
            </w:r>
          </w:p>
        </w:tc>
        <w:tc>
          <w:tcPr>
            <w:tcW w:w="2125" w:type="dxa"/>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hAnsi="宋体"/>
                <w:szCs w:val="21"/>
                <w:u w:val="none" w:color="333333"/>
                <w:lang w:val="zh-TW" w:eastAsia="zh-TW"/>
              </w:rPr>
              <w:t>货物到达买方使用现场后，由买卖双方共同验收，卖方工程师免费为买方提供调试。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hAnsi="宋体"/>
                <w:szCs w:val="21"/>
                <w:u w:val="none" w:color="333333"/>
                <w:lang w:val="zh-TW" w:eastAsia="zh-TW"/>
              </w:rPr>
              <w:t>供应商进厂施工需遵守安全和施工规定。确认试车验收合格后，买卖双方签订验收报告</w:t>
            </w:r>
          </w:p>
        </w:tc>
        <w:tc>
          <w:tcPr>
            <w:tcW w:w="2125" w:type="dxa"/>
            <w:vAlign w:val="center"/>
          </w:tcPr>
          <w:p>
            <w:pPr>
              <w:jc w:val="both"/>
              <w:rPr>
                <w:szCs w:val="21"/>
                <w:lang w:eastAsia="zh-CN"/>
              </w:rPr>
            </w:pPr>
            <w:r>
              <w:rPr>
                <w:rFonts w:hint="eastAsia"/>
                <w:szCs w:val="21"/>
                <w:lang w:eastAsia="zh-CN"/>
              </w:rPr>
              <w:t>关键</w:t>
            </w:r>
          </w:p>
        </w:tc>
      </w:tr>
    </w:tbl>
    <w:p/>
    <w:p>
      <w:pPr>
        <w:pStyle w:val="30"/>
        <w:numPr>
          <w:ilvl w:val="0"/>
          <w:numId w:val="3"/>
        </w:numPr>
        <w:spacing w:afterLines="50"/>
        <w:ind w:left="426" w:hanging="426" w:hangingChars="202"/>
        <w:outlineLvl w:val="0"/>
        <w:rPr>
          <w:rFonts w:ascii="Times New Roman" w:hAnsi="Times New Roman"/>
          <w:b/>
        </w:rPr>
      </w:pPr>
      <w:bookmarkStart w:id="45" w:name="_Toc522107746"/>
      <w:bookmarkStart w:id="46" w:name="_Toc52271612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34"/>
        <w:spacing w:before="0" w:line="360" w:lineRule="auto"/>
        <w:ind w:left="357"/>
        <w:jc w:val="left"/>
        <w:rPr>
          <w:szCs w:val="21"/>
          <w:lang w:eastAsia="zh-CN"/>
        </w:rPr>
      </w:pPr>
      <w:r>
        <w:rPr>
          <w:rFonts w:hint="eastAsia"/>
          <w:szCs w:val="21"/>
          <w:lang w:eastAsia="zh-CN"/>
        </w:rPr>
        <w:t>N</w:t>
      </w:r>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Arial Narrow">
    <w:panose1 w:val="020B0606020202030204"/>
    <w:charset w:val="00"/>
    <w:family w:val="auto"/>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888719784">
    <w:nsid w:val="E7C927A8"/>
    <w:multiLevelType w:val="singleLevel"/>
    <w:tmpl w:val="E7C927A8"/>
    <w:lvl w:ilvl="0" w:tentative="1">
      <w:start w:val="1"/>
      <w:numFmt w:val="bullet"/>
      <w:lvlText w:val=""/>
      <w:lvlJc w:val="left"/>
      <w:pPr>
        <w:ind w:left="420" w:hanging="420"/>
      </w:pPr>
      <w:rPr>
        <w:rFonts w:hint="default" w:ascii="Wingdings" w:hAnsi="Wingdings"/>
      </w:r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68769676">
    <w:nsid w:val="3FB4218C"/>
    <w:multiLevelType w:val="multilevel"/>
    <w:tmpl w:val="3FB4218C"/>
    <w:lvl w:ilvl="0" w:tentative="1">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rPr>
        <w:lang/>
      </w:r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79783070">
    <w:nsid w:val="700B369E"/>
    <w:multiLevelType w:val="multilevel"/>
    <w:tmpl w:val="700B369E"/>
    <w:lvl w:ilvl="0" w:tentative="1">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92550235">
    <w:nsid w:val="70CE065B"/>
    <w:multiLevelType w:val="singleLevel"/>
    <w:tmpl w:val="70CE065B"/>
    <w:lvl w:ilvl="0" w:tentative="1">
      <w:start w:val="1"/>
      <w:numFmt w:val="bullet"/>
      <w:lvlText w:val=""/>
      <w:lvlJc w:val="left"/>
      <w:pPr>
        <w:ind w:left="420" w:hanging="420"/>
      </w:pPr>
      <w:rPr>
        <w:rFonts w:hint="default" w:ascii="Wingdings" w:hAnsi="Wingdings"/>
      </w:r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3888719784"/>
  </w:num>
  <w:num w:numId="7">
    <w:abstractNumId w:val="143812762"/>
  </w:num>
  <w:num w:numId="8">
    <w:abstractNumId w:val="382943692"/>
  </w:num>
  <w:num w:numId="9">
    <w:abstractNumId w:val="287781897"/>
  </w:num>
  <w:num w:numId="10">
    <w:abstractNumId w:val="839589741"/>
  </w:num>
  <w:num w:numId="11">
    <w:abstractNumId w:val="196115971"/>
  </w:num>
  <w:num w:numId="12">
    <w:abstractNumId w:val="1892550235"/>
  </w:num>
  <w:num w:numId="13">
    <w:abstractNumId w:val="1879783070"/>
  </w:num>
  <w:num w:numId="14">
    <w:abstractNumId w:val="1419404300"/>
  </w:num>
  <w:num w:numId="15">
    <w:abstractNumId w:val="10687696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trackedChanges"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17033"/>
    <w:rsid w:val="00020FEA"/>
    <w:rsid w:val="00022818"/>
    <w:rsid w:val="000233DE"/>
    <w:rsid w:val="00023B07"/>
    <w:rsid w:val="00023CAD"/>
    <w:rsid w:val="0002457E"/>
    <w:rsid w:val="000275E7"/>
    <w:rsid w:val="000303D0"/>
    <w:rsid w:val="00031243"/>
    <w:rsid w:val="00031580"/>
    <w:rsid w:val="00031900"/>
    <w:rsid w:val="000355F3"/>
    <w:rsid w:val="00035E78"/>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5EE2"/>
    <w:rsid w:val="00056478"/>
    <w:rsid w:val="00056AE2"/>
    <w:rsid w:val="00056E9E"/>
    <w:rsid w:val="00057046"/>
    <w:rsid w:val="000576C2"/>
    <w:rsid w:val="0006022F"/>
    <w:rsid w:val="00063572"/>
    <w:rsid w:val="00063B90"/>
    <w:rsid w:val="00063EC5"/>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674D"/>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4CA3"/>
    <w:rsid w:val="000C7137"/>
    <w:rsid w:val="000C7433"/>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6D8"/>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0B1"/>
    <w:rsid w:val="00193D66"/>
    <w:rsid w:val="00194BB7"/>
    <w:rsid w:val="00195C2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202"/>
    <w:rsid w:val="001E0376"/>
    <w:rsid w:val="001E13E0"/>
    <w:rsid w:val="001E1F22"/>
    <w:rsid w:val="001E2B2B"/>
    <w:rsid w:val="001E353E"/>
    <w:rsid w:val="001E3CBE"/>
    <w:rsid w:val="001E5657"/>
    <w:rsid w:val="001E5F94"/>
    <w:rsid w:val="001E744F"/>
    <w:rsid w:val="001F065A"/>
    <w:rsid w:val="001F1FE7"/>
    <w:rsid w:val="001F25DD"/>
    <w:rsid w:val="001F3552"/>
    <w:rsid w:val="001F3639"/>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4381"/>
    <w:rsid w:val="0026571F"/>
    <w:rsid w:val="0027137F"/>
    <w:rsid w:val="002723D2"/>
    <w:rsid w:val="002732E5"/>
    <w:rsid w:val="002745D9"/>
    <w:rsid w:val="00274823"/>
    <w:rsid w:val="0027577D"/>
    <w:rsid w:val="00275F43"/>
    <w:rsid w:val="002810E3"/>
    <w:rsid w:val="00282EAA"/>
    <w:rsid w:val="0028384D"/>
    <w:rsid w:val="00284CCA"/>
    <w:rsid w:val="0028525D"/>
    <w:rsid w:val="002860DB"/>
    <w:rsid w:val="00286CE5"/>
    <w:rsid w:val="0029023F"/>
    <w:rsid w:val="002913B7"/>
    <w:rsid w:val="00291541"/>
    <w:rsid w:val="00291C5E"/>
    <w:rsid w:val="002924C2"/>
    <w:rsid w:val="00293E83"/>
    <w:rsid w:val="0029741F"/>
    <w:rsid w:val="00297DDC"/>
    <w:rsid w:val="002A18C8"/>
    <w:rsid w:val="002A42F8"/>
    <w:rsid w:val="002A4C74"/>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4D5F"/>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076E"/>
    <w:rsid w:val="00302176"/>
    <w:rsid w:val="00302AF8"/>
    <w:rsid w:val="00304F96"/>
    <w:rsid w:val="00306131"/>
    <w:rsid w:val="00311B2C"/>
    <w:rsid w:val="00311EE4"/>
    <w:rsid w:val="0031318B"/>
    <w:rsid w:val="003137B7"/>
    <w:rsid w:val="003148D1"/>
    <w:rsid w:val="00314CFF"/>
    <w:rsid w:val="00315038"/>
    <w:rsid w:val="00315B87"/>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2A3A"/>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2E08"/>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0D67"/>
    <w:rsid w:val="003C2F22"/>
    <w:rsid w:val="003C373E"/>
    <w:rsid w:val="003C558E"/>
    <w:rsid w:val="003C6ECF"/>
    <w:rsid w:val="003C73BC"/>
    <w:rsid w:val="003D2243"/>
    <w:rsid w:val="003D3C09"/>
    <w:rsid w:val="003D464A"/>
    <w:rsid w:val="003D4EFF"/>
    <w:rsid w:val="003D5F4A"/>
    <w:rsid w:val="003D662C"/>
    <w:rsid w:val="003D77E5"/>
    <w:rsid w:val="003E2602"/>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A23"/>
    <w:rsid w:val="00427D22"/>
    <w:rsid w:val="00427E2D"/>
    <w:rsid w:val="00432568"/>
    <w:rsid w:val="00436C7C"/>
    <w:rsid w:val="00437440"/>
    <w:rsid w:val="00437906"/>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2D21"/>
    <w:rsid w:val="00494F07"/>
    <w:rsid w:val="00496116"/>
    <w:rsid w:val="004965A0"/>
    <w:rsid w:val="00497335"/>
    <w:rsid w:val="004A05A7"/>
    <w:rsid w:val="004A3F98"/>
    <w:rsid w:val="004A5532"/>
    <w:rsid w:val="004A5958"/>
    <w:rsid w:val="004A6251"/>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5E"/>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0261"/>
    <w:rsid w:val="00544652"/>
    <w:rsid w:val="0054625B"/>
    <w:rsid w:val="00551539"/>
    <w:rsid w:val="00552EFE"/>
    <w:rsid w:val="00554ABB"/>
    <w:rsid w:val="0055533F"/>
    <w:rsid w:val="0055552D"/>
    <w:rsid w:val="00555668"/>
    <w:rsid w:val="0055679E"/>
    <w:rsid w:val="00560039"/>
    <w:rsid w:val="0056090D"/>
    <w:rsid w:val="00561E9C"/>
    <w:rsid w:val="00565C7A"/>
    <w:rsid w:val="00567E14"/>
    <w:rsid w:val="005705A7"/>
    <w:rsid w:val="00571E16"/>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45D2"/>
    <w:rsid w:val="005B750A"/>
    <w:rsid w:val="005C2B89"/>
    <w:rsid w:val="005C2FA7"/>
    <w:rsid w:val="005C386F"/>
    <w:rsid w:val="005C42AC"/>
    <w:rsid w:val="005C4307"/>
    <w:rsid w:val="005C4D05"/>
    <w:rsid w:val="005C506B"/>
    <w:rsid w:val="005C71BF"/>
    <w:rsid w:val="005C723D"/>
    <w:rsid w:val="005C7601"/>
    <w:rsid w:val="005D1094"/>
    <w:rsid w:val="005D3394"/>
    <w:rsid w:val="005D3989"/>
    <w:rsid w:val="005D42FF"/>
    <w:rsid w:val="005E2725"/>
    <w:rsid w:val="005E65FA"/>
    <w:rsid w:val="005E6C61"/>
    <w:rsid w:val="005E786B"/>
    <w:rsid w:val="005F19CE"/>
    <w:rsid w:val="005F28F4"/>
    <w:rsid w:val="005F43B9"/>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1262"/>
    <w:rsid w:val="00693018"/>
    <w:rsid w:val="0069437F"/>
    <w:rsid w:val="006A0059"/>
    <w:rsid w:val="006A5A76"/>
    <w:rsid w:val="006A7425"/>
    <w:rsid w:val="006B058A"/>
    <w:rsid w:val="006B1299"/>
    <w:rsid w:val="006B25AE"/>
    <w:rsid w:val="006B26D9"/>
    <w:rsid w:val="006B310C"/>
    <w:rsid w:val="006B664C"/>
    <w:rsid w:val="006C1125"/>
    <w:rsid w:val="006C1C83"/>
    <w:rsid w:val="006C3E78"/>
    <w:rsid w:val="006C54E6"/>
    <w:rsid w:val="006C5762"/>
    <w:rsid w:val="006C690D"/>
    <w:rsid w:val="006D149F"/>
    <w:rsid w:val="006D3396"/>
    <w:rsid w:val="006D4B2A"/>
    <w:rsid w:val="006D546D"/>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4351"/>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45F73"/>
    <w:rsid w:val="007504DC"/>
    <w:rsid w:val="0075142F"/>
    <w:rsid w:val="00751965"/>
    <w:rsid w:val="007524EF"/>
    <w:rsid w:val="00752689"/>
    <w:rsid w:val="0075672B"/>
    <w:rsid w:val="00756D1D"/>
    <w:rsid w:val="00760886"/>
    <w:rsid w:val="007615CA"/>
    <w:rsid w:val="00761ADD"/>
    <w:rsid w:val="00762B3A"/>
    <w:rsid w:val="007650EA"/>
    <w:rsid w:val="00765D6E"/>
    <w:rsid w:val="00765D7E"/>
    <w:rsid w:val="007674B6"/>
    <w:rsid w:val="00770E90"/>
    <w:rsid w:val="00772C42"/>
    <w:rsid w:val="0077302F"/>
    <w:rsid w:val="00773661"/>
    <w:rsid w:val="0077405E"/>
    <w:rsid w:val="00774A61"/>
    <w:rsid w:val="00774E08"/>
    <w:rsid w:val="00774E72"/>
    <w:rsid w:val="0077746F"/>
    <w:rsid w:val="007775FE"/>
    <w:rsid w:val="00780A5F"/>
    <w:rsid w:val="007822F7"/>
    <w:rsid w:val="00784913"/>
    <w:rsid w:val="00785B90"/>
    <w:rsid w:val="0078639C"/>
    <w:rsid w:val="007913D3"/>
    <w:rsid w:val="0079790C"/>
    <w:rsid w:val="007A102A"/>
    <w:rsid w:val="007A15E6"/>
    <w:rsid w:val="007A194B"/>
    <w:rsid w:val="007A4BCD"/>
    <w:rsid w:val="007A5714"/>
    <w:rsid w:val="007A5EFA"/>
    <w:rsid w:val="007A6821"/>
    <w:rsid w:val="007A724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675F"/>
    <w:rsid w:val="007C723F"/>
    <w:rsid w:val="007C778D"/>
    <w:rsid w:val="007D07D6"/>
    <w:rsid w:val="007D0A27"/>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0095"/>
    <w:rsid w:val="007F2464"/>
    <w:rsid w:val="007F3753"/>
    <w:rsid w:val="007F4A64"/>
    <w:rsid w:val="007F4ADE"/>
    <w:rsid w:val="007F5A5A"/>
    <w:rsid w:val="007F5EDC"/>
    <w:rsid w:val="00800AFD"/>
    <w:rsid w:val="00800C1B"/>
    <w:rsid w:val="00802209"/>
    <w:rsid w:val="0080239D"/>
    <w:rsid w:val="00803CF3"/>
    <w:rsid w:val="00806EAB"/>
    <w:rsid w:val="00810E52"/>
    <w:rsid w:val="00811CA7"/>
    <w:rsid w:val="0081636E"/>
    <w:rsid w:val="0082112E"/>
    <w:rsid w:val="00822F2B"/>
    <w:rsid w:val="00823200"/>
    <w:rsid w:val="00823D9A"/>
    <w:rsid w:val="00827EA4"/>
    <w:rsid w:val="008301D6"/>
    <w:rsid w:val="008305B7"/>
    <w:rsid w:val="00830C78"/>
    <w:rsid w:val="00830FB9"/>
    <w:rsid w:val="00834968"/>
    <w:rsid w:val="00834B53"/>
    <w:rsid w:val="00836682"/>
    <w:rsid w:val="00837970"/>
    <w:rsid w:val="00840298"/>
    <w:rsid w:val="00841BE4"/>
    <w:rsid w:val="008447EC"/>
    <w:rsid w:val="00845A53"/>
    <w:rsid w:val="00847E8C"/>
    <w:rsid w:val="008505E1"/>
    <w:rsid w:val="00850B19"/>
    <w:rsid w:val="00852488"/>
    <w:rsid w:val="0085405E"/>
    <w:rsid w:val="008571DD"/>
    <w:rsid w:val="0085772E"/>
    <w:rsid w:val="00860344"/>
    <w:rsid w:val="00860E2C"/>
    <w:rsid w:val="008628E6"/>
    <w:rsid w:val="00864BC6"/>
    <w:rsid w:val="00865399"/>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6CA"/>
    <w:rsid w:val="008B6CD2"/>
    <w:rsid w:val="008B72DD"/>
    <w:rsid w:val="008C050B"/>
    <w:rsid w:val="008C1132"/>
    <w:rsid w:val="008C302A"/>
    <w:rsid w:val="008C3E42"/>
    <w:rsid w:val="008C4B72"/>
    <w:rsid w:val="008C5279"/>
    <w:rsid w:val="008C527D"/>
    <w:rsid w:val="008C5C9F"/>
    <w:rsid w:val="008C6773"/>
    <w:rsid w:val="008C72BB"/>
    <w:rsid w:val="008D0DE6"/>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31D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466C3"/>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0AA3"/>
    <w:rsid w:val="0099128D"/>
    <w:rsid w:val="009917F1"/>
    <w:rsid w:val="00991E37"/>
    <w:rsid w:val="00991E74"/>
    <w:rsid w:val="009926A6"/>
    <w:rsid w:val="0099415E"/>
    <w:rsid w:val="009948BF"/>
    <w:rsid w:val="00997844"/>
    <w:rsid w:val="009978C2"/>
    <w:rsid w:val="009A1452"/>
    <w:rsid w:val="009A345F"/>
    <w:rsid w:val="009A4AE5"/>
    <w:rsid w:val="009A5218"/>
    <w:rsid w:val="009A6806"/>
    <w:rsid w:val="009B1717"/>
    <w:rsid w:val="009B22D2"/>
    <w:rsid w:val="009B2839"/>
    <w:rsid w:val="009B4038"/>
    <w:rsid w:val="009B4C17"/>
    <w:rsid w:val="009B5BF6"/>
    <w:rsid w:val="009C1138"/>
    <w:rsid w:val="009C1C79"/>
    <w:rsid w:val="009C339C"/>
    <w:rsid w:val="009C33B8"/>
    <w:rsid w:val="009D07A0"/>
    <w:rsid w:val="009D107D"/>
    <w:rsid w:val="009D1871"/>
    <w:rsid w:val="009D2985"/>
    <w:rsid w:val="009D3033"/>
    <w:rsid w:val="009D53C8"/>
    <w:rsid w:val="009D5770"/>
    <w:rsid w:val="009D66FE"/>
    <w:rsid w:val="009D6AF5"/>
    <w:rsid w:val="009D6CF1"/>
    <w:rsid w:val="009D74BA"/>
    <w:rsid w:val="009E0874"/>
    <w:rsid w:val="009E1773"/>
    <w:rsid w:val="009E1A16"/>
    <w:rsid w:val="009E2045"/>
    <w:rsid w:val="009E4A84"/>
    <w:rsid w:val="009E6973"/>
    <w:rsid w:val="009F0466"/>
    <w:rsid w:val="009F4200"/>
    <w:rsid w:val="009F4933"/>
    <w:rsid w:val="009F5FD0"/>
    <w:rsid w:val="009F6DD5"/>
    <w:rsid w:val="009F7B12"/>
    <w:rsid w:val="00A00CF1"/>
    <w:rsid w:val="00A020A2"/>
    <w:rsid w:val="00A0297B"/>
    <w:rsid w:val="00A0358E"/>
    <w:rsid w:val="00A049F9"/>
    <w:rsid w:val="00A0529B"/>
    <w:rsid w:val="00A0766F"/>
    <w:rsid w:val="00A10713"/>
    <w:rsid w:val="00A1252C"/>
    <w:rsid w:val="00A12F56"/>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49E5"/>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3E54"/>
    <w:rsid w:val="00A94CC0"/>
    <w:rsid w:val="00A9534A"/>
    <w:rsid w:val="00A957FA"/>
    <w:rsid w:val="00A968DC"/>
    <w:rsid w:val="00A977BA"/>
    <w:rsid w:val="00AA1A89"/>
    <w:rsid w:val="00AA346E"/>
    <w:rsid w:val="00AA3770"/>
    <w:rsid w:val="00AA3B6F"/>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28E4"/>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05D"/>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CD0"/>
    <w:rsid w:val="00B82D30"/>
    <w:rsid w:val="00B841E2"/>
    <w:rsid w:val="00B87F62"/>
    <w:rsid w:val="00B914A4"/>
    <w:rsid w:val="00B92497"/>
    <w:rsid w:val="00B92C97"/>
    <w:rsid w:val="00B92D41"/>
    <w:rsid w:val="00B93679"/>
    <w:rsid w:val="00B93B10"/>
    <w:rsid w:val="00B9422D"/>
    <w:rsid w:val="00B95A1D"/>
    <w:rsid w:val="00B9634B"/>
    <w:rsid w:val="00BA266C"/>
    <w:rsid w:val="00BA5072"/>
    <w:rsid w:val="00BA5B65"/>
    <w:rsid w:val="00BA7BFE"/>
    <w:rsid w:val="00BB0ECA"/>
    <w:rsid w:val="00BB21A0"/>
    <w:rsid w:val="00BB246B"/>
    <w:rsid w:val="00BB4F49"/>
    <w:rsid w:val="00BB60F7"/>
    <w:rsid w:val="00BB6B2D"/>
    <w:rsid w:val="00BB7375"/>
    <w:rsid w:val="00BC0500"/>
    <w:rsid w:val="00BC0A4B"/>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677F"/>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0199"/>
    <w:rsid w:val="00C216DF"/>
    <w:rsid w:val="00C2204B"/>
    <w:rsid w:val="00C22382"/>
    <w:rsid w:val="00C2355B"/>
    <w:rsid w:val="00C270FC"/>
    <w:rsid w:val="00C274A6"/>
    <w:rsid w:val="00C3024D"/>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B50"/>
    <w:rsid w:val="00C56F88"/>
    <w:rsid w:val="00C57B7E"/>
    <w:rsid w:val="00C57EFF"/>
    <w:rsid w:val="00C60217"/>
    <w:rsid w:val="00C6384B"/>
    <w:rsid w:val="00C66D15"/>
    <w:rsid w:val="00C671D0"/>
    <w:rsid w:val="00C70449"/>
    <w:rsid w:val="00C7071B"/>
    <w:rsid w:val="00C70B66"/>
    <w:rsid w:val="00C73904"/>
    <w:rsid w:val="00C73BAE"/>
    <w:rsid w:val="00C73F7B"/>
    <w:rsid w:val="00C74055"/>
    <w:rsid w:val="00C7421D"/>
    <w:rsid w:val="00C76481"/>
    <w:rsid w:val="00C76812"/>
    <w:rsid w:val="00C76B92"/>
    <w:rsid w:val="00C83D88"/>
    <w:rsid w:val="00C84961"/>
    <w:rsid w:val="00C84B06"/>
    <w:rsid w:val="00C87100"/>
    <w:rsid w:val="00C87CAC"/>
    <w:rsid w:val="00C913A1"/>
    <w:rsid w:val="00C950D6"/>
    <w:rsid w:val="00C959BE"/>
    <w:rsid w:val="00C97646"/>
    <w:rsid w:val="00C97672"/>
    <w:rsid w:val="00CA55BD"/>
    <w:rsid w:val="00CB0837"/>
    <w:rsid w:val="00CB2BFA"/>
    <w:rsid w:val="00CB3888"/>
    <w:rsid w:val="00CB400E"/>
    <w:rsid w:val="00CB48F6"/>
    <w:rsid w:val="00CB5F04"/>
    <w:rsid w:val="00CB67F1"/>
    <w:rsid w:val="00CB7DC8"/>
    <w:rsid w:val="00CC0EC0"/>
    <w:rsid w:val="00CC186C"/>
    <w:rsid w:val="00CC1BC6"/>
    <w:rsid w:val="00CC2E70"/>
    <w:rsid w:val="00CC34DB"/>
    <w:rsid w:val="00CC51AC"/>
    <w:rsid w:val="00CC609D"/>
    <w:rsid w:val="00CC7044"/>
    <w:rsid w:val="00CD11FF"/>
    <w:rsid w:val="00CD15E7"/>
    <w:rsid w:val="00CD2B20"/>
    <w:rsid w:val="00CE07A9"/>
    <w:rsid w:val="00CE1012"/>
    <w:rsid w:val="00CE419E"/>
    <w:rsid w:val="00CE5011"/>
    <w:rsid w:val="00CE574A"/>
    <w:rsid w:val="00CE5DC5"/>
    <w:rsid w:val="00CE629E"/>
    <w:rsid w:val="00CE66CE"/>
    <w:rsid w:val="00CE6922"/>
    <w:rsid w:val="00CE77AA"/>
    <w:rsid w:val="00CE7B59"/>
    <w:rsid w:val="00CF352C"/>
    <w:rsid w:val="00CF4570"/>
    <w:rsid w:val="00CF58EE"/>
    <w:rsid w:val="00D00811"/>
    <w:rsid w:val="00D017D8"/>
    <w:rsid w:val="00D01AF7"/>
    <w:rsid w:val="00D02A43"/>
    <w:rsid w:val="00D04518"/>
    <w:rsid w:val="00D04FF0"/>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1D33"/>
    <w:rsid w:val="00D32C1F"/>
    <w:rsid w:val="00D33FC2"/>
    <w:rsid w:val="00D37394"/>
    <w:rsid w:val="00D37EAF"/>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77E7B"/>
    <w:rsid w:val="00D80448"/>
    <w:rsid w:val="00D80C4F"/>
    <w:rsid w:val="00D8149F"/>
    <w:rsid w:val="00D814FB"/>
    <w:rsid w:val="00D83D95"/>
    <w:rsid w:val="00D90293"/>
    <w:rsid w:val="00D90496"/>
    <w:rsid w:val="00D917BC"/>
    <w:rsid w:val="00D942DE"/>
    <w:rsid w:val="00D9491E"/>
    <w:rsid w:val="00DA070D"/>
    <w:rsid w:val="00DA1668"/>
    <w:rsid w:val="00DA3B2F"/>
    <w:rsid w:val="00DA4731"/>
    <w:rsid w:val="00DA5040"/>
    <w:rsid w:val="00DA7D5F"/>
    <w:rsid w:val="00DB053E"/>
    <w:rsid w:val="00DB11B2"/>
    <w:rsid w:val="00DB161E"/>
    <w:rsid w:val="00DB31B5"/>
    <w:rsid w:val="00DB5BBA"/>
    <w:rsid w:val="00DC03DB"/>
    <w:rsid w:val="00DC1206"/>
    <w:rsid w:val="00DC14E5"/>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29B3"/>
    <w:rsid w:val="00DF411E"/>
    <w:rsid w:val="00DF6C58"/>
    <w:rsid w:val="00E001C1"/>
    <w:rsid w:val="00E039F3"/>
    <w:rsid w:val="00E03C30"/>
    <w:rsid w:val="00E078BD"/>
    <w:rsid w:val="00E078F8"/>
    <w:rsid w:val="00E1142B"/>
    <w:rsid w:val="00E11F10"/>
    <w:rsid w:val="00E15118"/>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4734B"/>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1BB8"/>
    <w:rsid w:val="00E92425"/>
    <w:rsid w:val="00E92AD3"/>
    <w:rsid w:val="00E959EA"/>
    <w:rsid w:val="00E96237"/>
    <w:rsid w:val="00E965D7"/>
    <w:rsid w:val="00E96D30"/>
    <w:rsid w:val="00EA1327"/>
    <w:rsid w:val="00EA3967"/>
    <w:rsid w:val="00EA623C"/>
    <w:rsid w:val="00EA6395"/>
    <w:rsid w:val="00EB044B"/>
    <w:rsid w:val="00EB067C"/>
    <w:rsid w:val="00EB3C66"/>
    <w:rsid w:val="00EB4B03"/>
    <w:rsid w:val="00EB5DEE"/>
    <w:rsid w:val="00EB64CB"/>
    <w:rsid w:val="00EB6D46"/>
    <w:rsid w:val="00EC07F3"/>
    <w:rsid w:val="00EC3194"/>
    <w:rsid w:val="00EC374E"/>
    <w:rsid w:val="00EC518D"/>
    <w:rsid w:val="00EC71D3"/>
    <w:rsid w:val="00ED02FE"/>
    <w:rsid w:val="00ED058F"/>
    <w:rsid w:val="00ED1EC9"/>
    <w:rsid w:val="00ED3737"/>
    <w:rsid w:val="00ED3856"/>
    <w:rsid w:val="00ED3E2E"/>
    <w:rsid w:val="00ED4CC8"/>
    <w:rsid w:val="00ED53C7"/>
    <w:rsid w:val="00ED6A08"/>
    <w:rsid w:val="00ED790D"/>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461"/>
    <w:rsid w:val="00F13B2E"/>
    <w:rsid w:val="00F176A0"/>
    <w:rsid w:val="00F20174"/>
    <w:rsid w:val="00F22098"/>
    <w:rsid w:val="00F223BC"/>
    <w:rsid w:val="00F23780"/>
    <w:rsid w:val="00F26185"/>
    <w:rsid w:val="00F3178C"/>
    <w:rsid w:val="00F33DE5"/>
    <w:rsid w:val="00F34B8F"/>
    <w:rsid w:val="00F36B34"/>
    <w:rsid w:val="00F36D7F"/>
    <w:rsid w:val="00F37186"/>
    <w:rsid w:val="00F42FCF"/>
    <w:rsid w:val="00F44A83"/>
    <w:rsid w:val="00F51743"/>
    <w:rsid w:val="00F529D4"/>
    <w:rsid w:val="00F54F27"/>
    <w:rsid w:val="00F55FC8"/>
    <w:rsid w:val="00F604E3"/>
    <w:rsid w:val="00F610E6"/>
    <w:rsid w:val="00F61FCC"/>
    <w:rsid w:val="00F6304F"/>
    <w:rsid w:val="00F648C5"/>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5E14"/>
    <w:rsid w:val="00F9793B"/>
    <w:rsid w:val="00FA0EAA"/>
    <w:rsid w:val="00FA0F53"/>
    <w:rsid w:val="00FA1DA9"/>
    <w:rsid w:val="00FA3809"/>
    <w:rsid w:val="00FA3A95"/>
    <w:rsid w:val="00FA6D7E"/>
    <w:rsid w:val="00FB020D"/>
    <w:rsid w:val="00FB022B"/>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4E673B0"/>
    <w:rsid w:val="054C3B59"/>
    <w:rsid w:val="3C9A442E"/>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qFormat/>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38"/>
    <w:semiHidden/>
    <w:qFormat/>
    <w:uiPriority w:val="0"/>
  </w:style>
  <w:style w:type="paragraph" w:styleId="8">
    <w:name w:val="Body Text 3"/>
    <w:basedOn w:val="1"/>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9"/>
    <w:qFormat/>
    <w:uiPriority w:val="99"/>
    <w:pPr>
      <w:tabs>
        <w:tab w:val="center" w:pos="4320"/>
        <w:tab w:val="right" w:pos="8640"/>
      </w:tabs>
    </w:pPr>
  </w:style>
  <w:style w:type="paragraph" w:styleId="15">
    <w:name w:val="header"/>
    <w:basedOn w:val="1"/>
    <w:link w:val="37"/>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6"/>
    <w:qFormat/>
    <w:uiPriority w:val="0"/>
    <w:pPr>
      <w:spacing w:before="240" w:after="60"/>
      <w:jc w:val="center"/>
      <w:outlineLvl w:val="0"/>
    </w:pPr>
    <w:rPr>
      <w:rFonts w:ascii="Calibri Light" w:hAnsi="Calibri Light"/>
      <w:b/>
      <w:bCs/>
      <w:sz w:val="32"/>
      <w:szCs w:val="32"/>
    </w:rPr>
  </w:style>
  <w:style w:type="character" w:styleId="20">
    <w:name w:val="page number"/>
    <w:basedOn w:val="19"/>
    <w:qFormat/>
    <w:uiPriority w:val="0"/>
    <w:rPr/>
  </w:style>
  <w:style w:type="character" w:styleId="21">
    <w:name w:val="Hyperlink"/>
    <w:qFormat/>
    <w:uiPriority w:val="99"/>
    <w:rPr>
      <w:color w:val="0000FF"/>
      <w:u w:val="single"/>
    </w:rPr>
  </w:style>
  <w:style w:type="character" w:styleId="22">
    <w:name w:val="annotation reference"/>
    <w:semiHidden/>
    <w:uiPriority w:val="0"/>
    <w:rPr>
      <w:sz w:val="21"/>
      <w:szCs w:val="21"/>
    </w:rPr>
  </w:style>
  <w:style w:type="table" w:styleId="24">
    <w:name w:val="Table Grid"/>
    <w:basedOn w:val="23"/>
    <w:qFormat/>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5">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qFormat/>
    <w:uiPriority w:val="0"/>
    <w:pPr>
      <w:textAlignment w:val="auto"/>
    </w:pPr>
    <w:rPr>
      <w:rFonts w:ascii="Arial" w:hAnsi="Arial"/>
      <w:szCs w:val="24"/>
      <w:lang w:val="en-US"/>
    </w:rPr>
  </w:style>
  <w:style w:type="paragraph" w:customStyle="1" w:styleId="27">
    <w:name w:val="Style"/>
    <w:basedOn w:val="1"/>
    <w:qFormat/>
    <w:uiPriority w:val="0"/>
    <w:pPr>
      <w:textAlignment w:val="auto"/>
    </w:pPr>
    <w:rPr>
      <w:rFonts w:ascii="Arial" w:hAnsi="Arial"/>
      <w:szCs w:val="24"/>
      <w:lang w:val="en-US"/>
    </w:rPr>
  </w:style>
  <w:style w:type="paragraph" w:customStyle="1" w:styleId="28">
    <w:name w:val="正文1"/>
    <w:basedOn w:val="1"/>
    <w:qFormat/>
    <w:uiPriority w:val="0"/>
    <w:pPr>
      <w:textAlignment w:val="auto"/>
    </w:pPr>
    <w:rPr>
      <w:rFonts w:ascii="Arial" w:hAnsi="Arial"/>
      <w:sz w:val="20"/>
      <w:lang w:val="en-US"/>
    </w:rPr>
  </w:style>
  <w:style w:type="paragraph" w:customStyle="1" w:styleId="29">
    <w:name w:val="Revision"/>
    <w:hidden/>
    <w:semiHidden/>
    <w:qFormat/>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Heading"/>
    <w:basedOn w:val="2"/>
    <w:next w:val="1"/>
    <w:qFormat/>
    <w:uiPriority w:val="39"/>
    <w:pPr>
      <w:numPr>
        <w:ilvl w:val="0"/>
        <w:numId w:val="0"/>
      </w:numPr>
      <w:outlineLvl w:val="9"/>
    </w:pPr>
  </w:style>
  <w:style w:type="paragraph" w:customStyle="1" w:styleId="32">
    <w:name w:val="numbering blue"/>
    <w:basedOn w:val="1"/>
    <w:link w:val="42"/>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3"/>
    <w:qFormat/>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paragraph" w:customStyle="1" w:styleId="36">
    <w:name w:val="msolistparagraph"/>
    <w:basedOn w:val="1"/>
    <w:qFormat/>
    <w:uiPriority w:val="0"/>
    <w:pPr>
      <w:widowControl w:val="0"/>
      <w:ind w:firstLine="420" w:firstLineChars="200"/>
      <w:jc w:val="both"/>
    </w:pPr>
    <w:rPr>
      <w:rFonts w:ascii="Calibri" w:hAnsi="Calibri"/>
      <w:kern w:val="2"/>
      <w:szCs w:val="24"/>
      <w:lang w:val="en-US" w:eastAsia="zh-CN"/>
    </w:rPr>
  </w:style>
  <w:style w:type="character" w:customStyle="1" w:styleId="37">
    <w:name w:val="页眉 Char2"/>
    <w:link w:val="15"/>
    <w:qFormat/>
    <w:uiPriority w:val="0"/>
    <w:rPr>
      <w:rFonts w:eastAsia="宋体"/>
      <w:sz w:val="24"/>
      <w:lang w:eastAsia="en-US" w:bidi="ar-SA"/>
    </w:rPr>
  </w:style>
  <w:style w:type="character" w:customStyle="1" w:styleId="38">
    <w:name w:val="批注文字 Char"/>
    <w:link w:val="7"/>
    <w:semiHidden/>
    <w:qFormat/>
    <w:uiPriority w:val="0"/>
    <w:rPr>
      <w:sz w:val="24"/>
      <w:lang w:eastAsia="en-US"/>
    </w:rPr>
  </w:style>
  <w:style w:type="character" w:customStyle="1" w:styleId="39">
    <w:name w:val="页脚 Char"/>
    <w:link w:val="14"/>
    <w:qFormat/>
    <w:uiPriority w:val="99"/>
    <w:rPr>
      <w:sz w:val="24"/>
      <w:lang w:eastAsia="en-US"/>
    </w:rPr>
  </w:style>
  <w:style w:type="character" w:customStyle="1" w:styleId="40">
    <w:name w:val="instruction standard blue"/>
    <w:qFormat/>
    <w:uiPriority w:val="1"/>
    <w:rPr>
      <w:rFonts w:cs="Arial"/>
      <w:i/>
      <w:color w:val="0070C0"/>
    </w:rPr>
  </w:style>
  <w:style w:type="character" w:customStyle="1" w:styleId="41">
    <w:name w:val="keyword"/>
    <w:basedOn w:val="19"/>
    <w:qFormat/>
    <w:uiPriority w:val="0"/>
    <w:rPr/>
  </w:style>
  <w:style w:type="character" w:customStyle="1" w:styleId="42">
    <w:name w:val="numbering blue Zchn"/>
    <w:link w:val="32"/>
    <w:qFormat/>
    <w:uiPriority w:val="0"/>
    <w:rPr>
      <w:rFonts w:ascii="Arial" w:hAnsi="Arial" w:eastAsia="PMingLiU"/>
      <w:color w:val="0070C0"/>
      <w:lang w:eastAsia="zh-TW"/>
    </w:rPr>
  </w:style>
  <w:style w:type="character" w:customStyle="1" w:styleId="43">
    <w:name w:val="Text Char"/>
    <w:link w:val="34"/>
    <w:qFormat/>
    <w:locked/>
    <w:uiPriority w:val="0"/>
    <w:rPr>
      <w:sz w:val="24"/>
      <w:lang w:eastAsia="en-US"/>
    </w:rPr>
  </w:style>
  <w:style w:type="character" w:customStyle="1" w:styleId="44">
    <w:name w:val="ordinary-span-edit2"/>
    <w:qFormat/>
    <w:uiPriority w:val="0"/>
  </w:style>
  <w:style w:type="character" w:customStyle="1" w:styleId="45">
    <w:name w:val="apple-converted-space"/>
    <w:basedOn w:val="19"/>
    <w:qFormat/>
    <w:uiPriority w:val="0"/>
    <w:rPr/>
  </w:style>
  <w:style w:type="character" w:customStyle="1" w:styleId="46">
    <w:name w:val="标题 Char"/>
    <w:link w:val="18"/>
    <w:qFormat/>
    <w:uiPriority w:val="0"/>
    <w:rPr>
      <w:rFonts w:ascii="Calibri Light" w:hAnsi="Calibri Light" w:cs="Times New Roman"/>
      <w:b/>
      <w:bCs/>
      <w:sz w:val="32"/>
      <w:szCs w:val="32"/>
      <w:lang w:eastAsia="en-US"/>
    </w:rPr>
  </w:style>
  <w:style w:type="character" w:customStyle="1" w:styleId="47">
    <w:name w:val="Footer Char"/>
    <w:basedOn w:val="19"/>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683</Words>
  <Characters>3899</Characters>
  <Lines>32</Lines>
  <Paragraphs>9</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2020-04-16T03:53:00Z</dcterms:created>
  <dc:creator>Lilly</dc:creator>
  <cp:lastModifiedBy>汪洋</cp:lastModifiedBy>
  <cp:lastPrinted>2020-05-06T05:12:00Z</cp:lastPrinted>
  <dcterms:modified xsi:type="dcterms:W3CDTF">2020-05-27T01:10:53Z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