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Lines="50"/>
        <w:jc w:val="center"/>
        <w:rPr>
          <w:b/>
          <w:szCs w:val="21"/>
          <w:lang w:eastAsia="zh-CN"/>
        </w:rPr>
      </w:pPr>
      <w:permStart w:id="0" w:edGrp="everyone"/>
      <w:r>
        <w:rPr>
          <w:rFonts w:hint="eastAsia"/>
          <w:b/>
          <w:sz w:val="28"/>
          <w:szCs w:val="28"/>
          <w:lang w:eastAsia="zh-CN"/>
        </w:rPr>
        <w:t>狂犬病疫苗反应器车间混匀系统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7"/>
        <w:rPr>
          <w:rFonts w:ascii="Calibri" w:hAnsi="Calibri" w:eastAsia="宋体" w:cs="黑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"_Toc36990771" </w:instrText>
      </w:r>
      <w:r>
        <w:fldChar w:fldCharType="separate"/>
      </w:r>
      <w:r>
        <w:rPr>
          <w:rStyle w:val="22"/>
          <w:rFonts w:hint="eastAsia"/>
        </w:rPr>
        <w:t>修订历史</w:t>
      </w:r>
      <w:r>
        <w:tab/>
      </w:r>
      <w:r>
        <w:fldChar w:fldCharType="begin"/>
      </w:r>
      <w:r>
        <w:instrText xml:space="preserve"> PAGEREF _Toc36990771 \h </w:instrText>
      </w:r>
      <w:r>
        <w:fldChar w:fldCharType="separate"/>
      </w:r>
      <w:r>
        <w:t>3</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"_Toc36990772" </w:instrText>
      </w:r>
      <w:r>
        <w:fldChar w:fldCharType="separate"/>
      </w:r>
      <w:r>
        <w:rPr>
          <w:rStyle w:val="22"/>
        </w:rPr>
        <w:t>1</w:t>
      </w:r>
      <w:r>
        <w:rPr>
          <w:rFonts w:ascii="Calibri" w:hAnsi="Calibri" w:eastAsia="宋体" w:cs="黑体"/>
          <w:b w:val="0"/>
          <w:bCs w:val="0"/>
          <w:caps w:val="0"/>
          <w:szCs w:val="22"/>
        </w:rPr>
        <w:tab/>
      </w:r>
      <w:r>
        <w:rPr>
          <w:rStyle w:val="22"/>
          <w:rFonts w:hint="eastAsia"/>
        </w:rPr>
        <w:t>目的</w:t>
      </w:r>
      <w:r>
        <w:tab/>
      </w:r>
      <w:r>
        <w:fldChar w:fldCharType="begin"/>
      </w:r>
      <w:r>
        <w:instrText xml:space="preserve"> PAGEREF _Toc36990772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"_Toc36990773" </w:instrText>
      </w:r>
      <w:r>
        <w:fldChar w:fldCharType="separate"/>
      </w:r>
      <w:r>
        <w:rPr>
          <w:rStyle w:val="22"/>
        </w:rPr>
        <w:t>2</w:t>
      </w:r>
      <w:r>
        <w:rPr>
          <w:rFonts w:ascii="Calibri" w:hAnsi="Calibri" w:eastAsia="宋体" w:cs="黑体"/>
          <w:b w:val="0"/>
          <w:bCs w:val="0"/>
          <w:caps w:val="0"/>
          <w:szCs w:val="22"/>
        </w:rPr>
        <w:tab/>
      </w:r>
      <w:r>
        <w:rPr>
          <w:rStyle w:val="22"/>
          <w:rFonts w:hint="eastAsia"/>
        </w:rPr>
        <w:t>范围</w:t>
      </w:r>
      <w:r>
        <w:tab/>
      </w:r>
      <w:r>
        <w:fldChar w:fldCharType="begin"/>
      </w:r>
      <w:r>
        <w:instrText xml:space="preserve"> PAGEREF _Toc36990773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"_Toc36990774" </w:instrText>
      </w:r>
      <w:r>
        <w:fldChar w:fldCharType="separate"/>
      </w:r>
      <w:r>
        <w:rPr>
          <w:rStyle w:val="22"/>
        </w:rPr>
        <w:t>3</w:t>
      </w:r>
      <w:r>
        <w:rPr>
          <w:rFonts w:ascii="Calibri" w:hAnsi="Calibri" w:eastAsia="宋体" w:cs="黑体"/>
          <w:b w:val="0"/>
          <w:bCs w:val="0"/>
          <w:caps w:val="0"/>
          <w:szCs w:val="22"/>
        </w:rPr>
        <w:tab/>
      </w:r>
      <w:r>
        <w:rPr>
          <w:rStyle w:val="22"/>
          <w:rFonts w:hint="eastAsia"/>
        </w:rPr>
        <w:t>参考文件</w:t>
      </w:r>
      <w:r>
        <w:tab/>
      </w:r>
      <w:r>
        <w:fldChar w:fldCharType="begin"/>
      </w:r>
      <w:r>
        <w:instrText xml:space="preserve"> PAGEREF _Toc36990774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"_Toc36990775" </w:instrText>
      </w:r>
      <w:r>
        <w:fldChar w:fldCharType="separate"/>
      </w:r>
      <w:r>
        <w:rPr>
          <w:rStyle w:val="22"/>
        </w:rPr>
        <w:t>4</w:t>
      </w:r>
      <w:r>
        <w:rPr>
          <w:rFonts w:ascii="Calibri" w:hAnsi="Calibri" w:eastAsia="宋体" w:cs="黑体"/>
          <w:b w:val="0"/>
          <w:bCs w:val="0"/>
          <w:caps w:val="0"/>
          <w:szCs w:val="22"/>
        </w:rPr>
        <w:tab/>
      </w:r>
      <w:r>
        <w:rPr>
          <w:rStyle w:val="22"/>
          <w:rFonts w:hint="eastAsia"/>
        </w:rPr>
        <w:t>职责</w:t>
      </w:r>
      <w:r>
        <w:tab/>
      </w:r>
      <w:r>
        <w:fldChar w:fldCharType="begin"/>
      </w:r>
      <w:r>
        <w:instrText xml:space="preserve"> PAGEREF _Toc36990775 \h </w:instrText>
      </w:r>
      <w:r>
        <w:fldChar w:fldCharType="separate"/>
      </w:r>
      <w:r>
        <w:t>4</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"_Toc36990776" </w:instrText>
      </w:r>
      <w:r>
        <w:fldChar w:fldCharType="separate"/>
      </w:r>
      <w:r>
        <w:rPr>
          <w:rStyle w:val="22"/>
        </w:rPr>
        <w:t>5</w:t>
      </w:r>
      <w:r>
        <w:rPr>
          <w:rFonts w:ascii="Calibri" w:hAnsi="Calibri" w:eastAsia="宋体" w:cs="黑体"/>
          <w:b w:val="0"/>
          <w:bCs w:val="0"/>
          <w:caps w:val="0"/>
          <w:szCs w:val="22"/>
        </w:rPr>
        <w:tab/>
      </w:r>
      <w:r>
        <w:rPr>
          <w:rStyle w:val="22"/>
          <w:rFonts w:hint="eastAsia"/>
        </w:rPr>
        <w:t>系统描述</w:t>
      </w:r>
      <w:r>
        <w:tab/>
      </w:r>
      <w:r>
        <w:fldChar w:fldCharType="begin"/>
      </w:r>
      <w:r>
        <w:instrText xml:space="preserve"> PAGEREF _Toc36990776 \h </w:instrText>
      </w:r>
      <w:r>
        <w:fldChar w:fldCharType="separate"/>
      </w:r>
      <w:r>
        <w:t>5</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"_Toc36990777" </w:instrText>
      </w:r>
      <w:r>
        <w:fldChar w:fldCharType="separate"/>
      </w:r>
      <w:r>
        <w:rPr>
          <w:rStyle w:val="22"/>
        </w:rPr>
        <w:t>6</w:t>
      </w:r>
      <w:r>
        <w:rPr>
          <w:rFonts w:ascii="Calibri" w:hAnsi="Calibri" w:eastAsia="宋体" w:cs="黑体"/>
          <w:b w:val="0"/>
          <w:bCs w:val="0"/>
          <w:caps w:val="0"/>
          <w:szCs w:val="22"/>
        </w:rPr>
        <w:tab/>
      </w:r>
      <w:r>
        <w:rPr>
          <w:rStyle w:val="22"/>
          <w:rFonts w:hint="eastAsia"/>
        </w:rPr>
        <w:t>安装要求</w:t>
      </w:r>
      <w:r>
        <w:tab/>
      </w:r>
      <w:r>
        <w:fldChar w:fldCharType="begin"/>
      </w:r>
      <w:r>
        <w:instrText xml:space="preserve"> PAGEREF _Toc36990777 \h </w:instrText>
      </w:r>
      <w:r>
        <w:fldChar w:fldCharType="separate"/>
      </w:r>
      <w:r>
        <w:t>5</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"_Toc36990778" </w:instrText>
      </w:r>
      <w:r>
        <w:fldChar w:fldCharType="separate"/>
      </w:r>
      <w:r>
        <w:rPr>
          <w:rStyle w:val="22"/>
        </w:rPr>
        <w:t>7</w:t>
      </w:r>
      <w:r>
        <w:rPr>
          <w:rFonts w:ascii="Calibri" w:hAnsi="Calibri" w:eastAsia="宋体" w:cs="黑体"/>
          <w:b w:val="0"/>
          <w:bCs w:val="0"/>
          <w:caps w:val="0"/>
          <w:szCs w:val="22"/>
        </w:rPr>
        <w:tab/>
      </w:r>
      <w:r>
        <w:rPr>
          <w:rStyle w:val="22"/>
          <w:rFonts w:hint="eastAsia"/>
        </w:rPr>
        <w:t>运行要求</w:t>
      </w:r>
      <w:r>
        <w:tab/>
      </w:r>
      <w:r>
        <w:fldChar w:fldCharType="begin"/>
      </w:r>
      <w:r>
        <w:instrText xml:space="preserve"> PAGEREF _Toc36990778 \h </w:instrText>
      </w:r>
      <w:r>
        <w:fldChar w:fldCharType="separate"/>
      </w:r>
      <w:r>
        <w:t>6</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"_Toc36990779" </w:instrText>
      </w:r>
      <w:r>
        <w:fldChar w:fldCharType="separate"/>
      </w:r>
      <w:r>
        <w:rPr>
          <w:rStyle w:val="22"/>
        </w:rPr>
        <w:t>8</w:t>
      </w:r>
      <w:r>
        <w:rPr>
          <w:rFonts w:ascii="Calibri" w:hAnsi="Calibri" w:eastAsia="宋体" w:cs="黑体"/>
          <w:b w:val="0"/>
          <w:bCs w:val="0"/>
          <w:caps w:val="0"/>
          <w:szCs w:val="22"/>
        </w:rPr>
        <w:tab/>
      </w:r>
      <w:r>
        <w:rPr>
          <w:rStyle w:val="22"/>
          <w:rFonts w:hint="eastAsia"/>
        </w:rPr>
        <w:t>电气、自动控制要求</w:t>
      </w:r>
      <w:r>
        <w:tab/>
      </w:r>
      <w:r>
        <w:fldChar w:fldCharType="begin"/>
      </w:r>
      <w:r>
        <w:instrText xml:space="preserve"> PAGEREF _Toc36990779 \h </w:instrText>
      </w:r>
      <w:r>
        <w:fldChar w:fldCharType="separate"/>
      </w:r>
      <w:r>
        <w:t>7</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"_Toc36990780" </w:instrText>
      </w:r>
      <w:r>
        <w:fldChar w:fldCharType="separate"/>
      </w:r>
      <w:r>
        <w:rPr>
          <w:rStyle w:val="22"/>
        </w:rPr>
        <w:t>9</w:t>
      </w:r>
      <w:r>
        <w:rPr>
          <w:rFonts w:ascii="Calibri" w:hAnsi="Calibri" w:eastAsia="宋体" w:cs="黑体"/>
          <w:b w:val="0"/>
          <w:bCs w:val="0"/>
          <w:caps w:val="0"/>
          <w:szCs w:val="22"/>
        </w:rPr>
        <w:tab/>
      </w:r>
      <w:r>
        <w:rPr>
          <w:rStyle w:val="22"/>
          <w:rFonts w:hint="eastAsia"/>
        </w:rPr>
        <w:t>安全要求</w:t>
      </w:r>
      <w:r>
        <w:tab/>
      </w:r>
      <w:r>
        <w:fldChar w:fldCharType="begin"/>
      </w:r>
      <w:r>
        <w:instrText xml:space="preserve"> PAGEREF _Toc36990780 \h </w:instrText>
      </w:r>
      <w:r>
        <w:fldChar w:fldCharType="separate"/>
      </w:r>
      <w:r>
        <w:t>8</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"_Toc36990781" </w:instrText>
      </w:r>
      <w:r>
        <w:fldChar w:fldCharType="separate"/>
      </w:r>
      <w:r>
        <w:rPr>
          <w:rStyle w:val="22"/>
        </w:rPr>
        <w:t>10</w:t>
      </w:r>
      <w:r>
        <w:rPr>
          <w:rFonts w:ascii="Calibri" w:hAnsi="Calibri" w:eastAsia="宋体" w:cs="黑体"/>
          <w:b w:val="0"/>
          <w:bCs w:val="0"/>
          <w:caps w:val="0"/>
          <w:szCs w:val="22"/>
        </w:rPr>
        <w:tab/>
      </w:r>
      <w:r>
        <w:rPr>
          <w:rStyle w:val="22"/>
          <w:rFonts w:hint="eastAsia"/>
        </w:rPr>
        <w:t>文件要求</w:t>
      </w:r>
      <w:r>
        <w:tab/>
      </w:r>
      <w:r>
        <w:fldChar w:fldCharType="begin"/>
      </w:r>
      <w:r>
        <w:instrText xml:space="preserve"> PAGEREF _Toc36990781 \h </w:instrText>
      </w:r>
      <w:r>
        <w:fldChar w:fldCharType="separate"/>
      </w:r>
      <w:r>
        <w:t>8</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"_Toc36990782" </w:instrText>
      </w:r>
      <w:r>
        <w:fldChar w:fldCharType="separate"/>
      </w:r>
      <w:r>
        <w:rPr>
          <w:rStyle w:val="22"/>
        </w:rPr>
        <w:t>11</w:t>
      </w:r>
      <w:r>
        <w:rPr>
          <w:rFonts w:ascii="Calibri" w:hAnsi="Calibri" w:eastAsia="宋体" w:cs="黑体"/>
          <w:b w:val="0"/>
          <w:bCs w:val="0"/>
          <w:caps w:val="0"/>
          <w:szCs w:val="22"/>
        </w:rPr>
        <w:tab/>
      </w:r>
      <w:r>
        <w:rPr>
          <w:rStyle w:val="22"/>
          <w:rFonts w:hint="eastAsia"/>
        </w:rPr>
        <w:t>服务要求</w:t>
      </w:r>
      <w:r>
        <w:tab/>
      </w:r>
      <w:r>
        <w:fldChar w:fldCharType="begin"/>
      </w:r>
      <w:r>
        <w:instrText xml:space="preserve"> PAGEREF _Toc36990782 \h </w:instrText>
      </w:r>
      <w:r>
        <w:fldChar w:fldCharType="separate"/>
      </w:r>
      <w:r>
        <w:t>10</w:t>
      </w:r>
      <w:r>
        <w:fldChar w:fldCharType="end"/>
      </w:r>
      <w:r>
        <w:fldChar w:fldCharType="end"/>
      </w:r>
    </w:p>
    <w:p>
      <w:pPr>
        <w:pStyle w:val="17"/>
        <w:rPr>
          <w:rFonts w:ascii="Calibri" w:hAnsi="Calibri" w:eastAsia="宋体" w:cs="黑体"/>
          <w:b w:val="0"/>
          <w:bCs w:val="0"/>
          <w:caps w:val="0"/>
          <w:szCs w:val="22"/>
        </w:rPr>
      </w:pPr>
      <w:r>
        <w:fldChar w:fldCharType="begin"/>
      </w:r>
      <w:r>
        <w:instrText xml:space="preserve">HYPERLINK  \l "_Toc36990783" </w:instrText>
      </w:r>
      <w:r>
        <w:fldChar w:fldCharType="separate"/>
      </w:r>
      <w:r>
        <w:rPr>
          <w:rStyle w:val="22"/>
        </w:rPr>
        <w:t>12</w:t>
      </w:r>
      <w:r>
        <w:rPr>
          <w:rFonts w:ascii="Calibri" w:hAnsi="Calibri" w:eastAsia="宋体" w:cs="黑体"/>
          <w:b w:val="0"/>
          <w:bCs w:val="0"/>
          <w:caps w:val="0"/>
          <w:szCs w:val="22"/>
        </w:rPr>
        <w:tab/>
      </w:r>
      <w:r>
        <w:rPr>
          <w:rStyle w:val="22"/>
          <w:rFonts w:hint="eastAsia"/>
        </w:rPr>
        <w:t>附件</w:t>
      </w:r>
      <w:r>
        <w:tab/>
      </w:r>
      <w:r>
        <w:fldChar w:fldCharType="begin"/>
      </w:r>
      <w:r>
        <w:instrText xml:space="preserve"> PAGEREF _Toc36990783 \h </w:instrText>
      </w:r>
      <w:r>
        <w:fldChar w:fldCharType="separate"/>
      </w:r>
      <w:r>
        <w:t>11</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1"/>
        <w:numPr>
          <w:ilvl w:val="0"/>
          <w:numId w:val="3"/>
        </w:numPr>
        <w:spacing w:afterLines="50"/>
        <w:ind w:left="426" w:hanging="426" w:hangingChars="202"/>
        <w:outlineLvl w:val="0"/>
        <w:rPr>
          <w:rFonts w:ascii="Times New Roman" w:hAnsi="Times New Roman"/>
          <w:b/>
        </w:rPr>
      </w:pPr>
      <w:bookmarkStart w:id="6" w:name="_Toc522107735"/>
      <w:bookmarkStart w:id="7" w:name="_Toc36990772"/>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103大楼狂犬病疫苗反应器车间混匀系统</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7" w:name="_Toc522107736"/>
      <w:bookmarkStart w:id="18" w:name="_Toc36990773"/>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狂犬病疫苗反应器车间混匀系统</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9" w:name="_Toc522107737"/>
      <w:bookmarkStart w:id="20" w:name="_Toc36990774"/>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《药品生产质量管理规范》（现行版）及其附录</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《药品GMP指南》无菌药品（现行版）</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TJ36-79 工业企业设计卫生标准</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GB-52261-2002 机械安全机械电气设备第一部分：通用技术条件</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GB-12265-90 机械防护安全要求</w:t>
      </w:r>
    </w:p>
    <w:permEnd w:id="6"/>
    <w:p>
      <w:pPr>
        <w:pStyle w:val="35"/>
        <w:spacing w:before="0" w:line="360" w:lineRule="auto"/>
        <w:ind w:left="357"/>
        <w:jc w:val="left"/>
        <w:rPr>
          <w:i/>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21" w:name="_Toc522107739"/>
      <w:bookmarkStart w:id="22" w:name="_Toc36990776"/>
      <w:permStart w:id="7" w:edGrp="everyone"/>
      <w:permEnd w:id="7"/>
      <w:r>
        <w:rPr>
          <w:rFonts w:ascii="Times New Roman" w:hAnsi="Times New Roman"/>
          <w:b/>
        </w:rPr>
        <w:t>系统描述</w:t>
      </w:r>
      <w:bookmarkEnd w:id="21"/>
      <w:bookmarkEnd w:id="22"/>
    </w:p>
    <w:p>
      <w:pPr>
        <w:pStyle w:val="35"/>
        <w:spacing w:before="0" w:line="360" w:lineRule="auto"/>
        <w:ind w:left="357"/>
        <w:jc w:val="left"/>
        <w:rPr>
          <w:szCs w:val="21"/>
          <w:lang w:eastAsia="zh-CN"/>
        </w:rPr>
      </w:pPr>
      <w:permStart w:id="8" w:edGrp="everyone"/>
      <w:r>
        <w:rPr>
          <w:rFonts w:hint="eastAsia"/>
          <w:szCs w:val="21"/>
          <w:lang w:eastAsia="zh-CN"/>
        </w:rPr>
        <w:t>狂犬病疫苗反应器课题组需要一台混匀系统。</w:t>
      </w:r>
    </w:p>
    <w:p>
      <w:pPr>
        <w:pStyle w:val="35"/>
        <w:spacing w:before="0" w:line="360" w:lineRule="auto"/>
        <w:ind w:left="357"/>
        <w:jc w:val="left"/>
        <w:rPr>
          <w:szCs w:val="21"/>
          <w:lang w:eastAsia="zh-CN"/>
        </w:rPr>
      </w:pPr>
      <w:r>
        <w:rPr>
          <w:rFonts w:hint="eastAsia"/>
          <w:szCs w:val="21"/>
          <w:lang w:eastAsia="zh-CN"/>
        </w:rPr>
        <w:t>该混匀系统用于对一次性储液袋内料液的混匀。混匀过程要保持储液袋能够固定于混匀系统。需要混匀的料液包括半成品液体、超滤病毒液添加灭火剂后的液体。混匀系统可移动。</w:t>
      </w:r>
    </w:p>
    <w:permEnd w:id="8"/>
    <w:p>
      <w:pPr>
        <w:pStyle w:val="35"/>
        <w:spacing w:before="0" w:line="360" w:lineRule="auto"/>
        <w:ind w:left="357"/>
        <w:jc w:val="left"/>
        <w:rPr>
          <w:i/>
          <w:color w:val="4472C4"/>
          <w:szCs w:val="21"/>
          <w:lang w:eastAsia="zh-CN"/>
        </w:rPr>
      </w:pPr>
      <w:bookmarkStart w:id="48" w:name="_GoBack"/>
      <w:bookmarkEnd w:id="48"/>
    </w:p>
    <w:p>
      <w:pPr>
        <w:pStyle w:val="31"/>
        <w:numPr>
          <w:ilvl w:val="0"/>
          <w:numId w:val="3"/>
        </w:numPr>
        <w:spacing w:afterLines="50"/>
        <w:ind w:left="426" w:hanging="426" w:hangingChars="202"/>
        <w:outlineLvl w:val="0"/>
        <w:rPr>
          <w:rFonts w:ascii="Times New Roman" w:hAnsi="Times New Roman"/>
          <w:b/>
          <w:szCs w:val="21"/>
        </w:rPr>
      </w:pPr>
      <w:bookmarkStart w:id="23" w:name="_Toc36990777"/>
      <w:r>
        <w:rPr>
          <w:rFonts w:ascii="Times New Roman" w:hAnsi="Times New Roman"/>
          <w:b/>
          <w:szCs w:val="21"/>
        </w:rPr>
        <w:t>安装要求</w:t>
      </w:r>
      <w:bookmarkEnd w:id="23"/>
    </w:p>
    <w:p>
      <w:pPr>
        <w:pStyle w:val="31"/>
        <w:spacing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09"/>
        <w:gridCol w:w="712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09" w:type="dxa"/>
            <w:shd w:val="clear" w:color="auto" w:fill="D9D9D9"/>
            <w:vAlign w:val="center"/>
          </w:tcPr>
          <w:p>
            <w:pPr>
              <w:jc w:val="center"/>
              <w:rPr>
                <w:b/>
                <w:szCs w:val="21"/>
              </w:rPr>
            </w:pPr>
            <w:bookmarkStart w:id="24" w:name="OLE_LINK1"/>
            <w:bookmarkStart w:id="25" w:name="OLE_LINK2"/>
            <w:r>
              <w:rPr>
                <w:b/>
                <w:szCs w:val="21"/>
              </w:rPr>
              <w:t>编号</w:t>
            </w:r>
          </w:p>
        </w:tc>
        <w:tc>
          <w:tcPr>
            <w:tcW w:w="7123" w:type="dxa"/>
            <w:shd w:val="clear" w:color="auto" w:fill="D9D9D9"/>
            <w:vAlign w:val="center"/>
          </w:tcPr>
          <w:p>
            <w:pPr>
              <w:jc w:val="center"/>
              <w:rPr>
                <w:b/>
                <w:szCs w:val="21"/>
                <w:lang w:eastAsia="zh-CN"/>
              </w:rPr>
            </w:pPr>
            <w:r>
              <w:rPr>
                <w:b/>
                <w:szCs w:val="21"/>
                <w:lang w:eastAsia="zh-CN"/>
              </w:rPr>
              <w:t>需求</w:t>
            </w:r>
          </w:p>
        </w:tc>
        <w:tc>
          <w:tcPr>
            <w:tcW w:w="213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kern w:val="0"/>
                <w:szCs w:val="21"/>
                <w:lang/>
              </w:rPr>
            </w:pPr>
            <w:permStart w:id="10" w:edGrp="everyone"/>
          </w:p>
        </w:tc>
        <w:tc>
          <w:tcPr>
            <w:tcW w:w="7123" w:type="dxa"/>
            <w:vAlign w:val="center"/>
          </w:tcPr>
          <w:p>
            <w:pPr>
              <w:spacing w:line="276" w:lineRule="auto"/>
              <w:jc w:val="both"/>
              <w:rPr>
                <w:szCs w:val="21"/>
                <w:lang w:eastAsia="zh-CN"/>
              </w:rPr>
            </w:pPr>
            <w:r>
              <w:rPr>
                <w:rFonts w:hint="eastAsia"/>
                <w:szCs w:val="21"/>
                <w:lang w:eastAsia="zh-CN"/>
              </w:rPr>
              <w:t>此设备可移动，使用位置为狂犬病疫苗反应</w:t>
            </w:r>
            <w:r>
              <w:rPr>
                <w:rFonts w:hint="eastAsia"/>
                <w:szCs w:val="21"/>
                <w:highlight w:val="yellow"/>
                <w:lang w:eastAsia="zh-CN"/>
              </w:rPr>
              <w:t>器车间</w:t>
            </w:r>
            <w:r>
              <w:rPr>
                <w:rFonts w:hint="eastAsia"/>
                <w:szCs w:val="21"/>
                <w:lang w:eastAsia="zh-CN"/>
              </w:rPr>
              <w:t>C级区。</w:t>
            </w:r>
          </w:p>
        </w:tc>
        <w:tc>
          <w:tcPr>
            <w:tcW w:w="2131"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kern w:val="0"/>
                <w:szCs w:val="21"/>
                <w:lang/>
              </w:rPr>
            </w:pPr>
            <w:permStart w:id="11" w:edGrp="everyone"/>
          </w:p>
        </w:tc>
        <w:tc>
          <w:tcPr>
            <w:tcW w:w="7123" w:type="dxa"/>
            <w:vAlign w:val="center"/>
          </w:tcPr>
          <w:p>
            <w:pPr>
              <w:spacing w:line="276" w:lineRule="auto"/>
              <w:jc w:val="both"/>
              <w:rPr>
                <w:szCs w:val="21"/>
                <w:lang w:eastAsia="zh-CN"/>
              </w:rPr>
            </w:pPr>
            <w:r>
              <w:rPr>
                <w:szCs w:val="21"/>
                <w:lang w:eastAsia="zh-CN"/>
              </w:rPr>
              <w:t>设备的形式尺寸应符合制造商说明书及技术文件规定的要求。</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kern w:val="0"/>
                <w:szCs w:val="21"/>
                <w:lang/>
              </w:rPr>
            </w:pPr>
          </w:p>
        </w:tc>
        <w:tc>
          <w:tcPr>
            <w:tcW w:w="7123"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kern w:val="0"/>
                <w:szCs w:val="21"/>
                <w:lang/>
              </w:rPr>
            </w:pPr>
          </w:p>
        </w:tc>
        <w:tc>
          <w:tcPr>
            <w:tcW w:w="7123" w:type="dxa"/>
            <w:vAlign w:val="center"/>
          </w:tcPr>
          <w:p>
            <w:pPr>
              <w:spacing w:line="276" w:lineRule="auto"/>
              <w:jc w:val="both"/>
              <w:rPr>
                <w:rFonts w:hint="eastAsia"/>
                <w:szCs w:val="21"/>
                <w:lang w:eastAsia="zh-CN"/>
              </w:rPr>
            </w:pPr>
            <w:r>
              <w:rPr>
                <w:rFonts w:hint="eastAsia"/>
                <w:szCs w:val="21"/>
                <w:lang w:eastAsia="zh-CN"/>
              </w:rPr>
              <w:t>设备宽度和高度要求适配50L储液袋的尺寸，托盘可以方便放置一个50L储液袋。</w:t>
            </w:r>
          </w:p>
          <w:p>
            <w:pPr>
              <w:spacing w:line="276" w:lineRule="auto"/>
              <w:jc w:val="both"/>
              <w:rPr>
                <w:szCs w:val="21"/>
                <w:lang w:eastAsia="zh-CN"/>
              </w:rPr>
            </w:pPr>
            <w:r>
              <w:rPr>
                <w:rFonts w:hint="eastAsia"/>
                <w:szCs w:val="21"/>
                <w:lang w:eastAsia="zh-CN"/>
              </w:rPr>
              <w:t>50L储液袋（2D）：长*宽=800mm*600mm</w:t>
            </w:r>
          </w:p>
          <w:p>
            <w:pPr>
              <w:spacing w:line="276" w:lineRule="auto"/>
              <w:jc w:val="both"/>
              <w:rPr>
                <w:szCs w:val="21"/>
                <w:lang w:eastAsia="zh-CN"/>
              </w:rPr>
            </w:pPr>
            <w:r>
              <w:rPr>
                <w:rFonts w:hint="eastAsia"/>
                <w:szCs w:val="21"/>
                <w:lang w:eastAsia="zh-CN"/>
              </w:rPr>
              <w:t>高度适宜应方便人员操作，高度包含托盘高度和底座高度。</w:t>
            </w:r>
          </w:p>
        </w:tc>
        <w:tc>
          <w:tcPr>
            <w:tcW w:w="2131"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jc w:val="center"/>
              <w:rPr>
                <w:szCs w:val="21"/>
                <w:shd w:val="pct10" w:color="auto" w:fill="FFFFFF"/>
                <w:lang w:eastAsia="zh-CN"/>
              </w:rPr>
            </w:pPr>
            <w:permStart w:id="12" w:edGrp="everyone"/>
          </w:p>
        </w:tc>
        <w:tc>
          <w:tcPr>
            <w:tcW w:w="9254" w:type="dxa"/>
            <w:gridSpan w:val="2"/>
            <w:shd w:val="clear" w:color="auto" w:fill="D9D9D9"/>
            <w:vAlign w:val="center"/>
          </w:tcPr>
          <w:p>
            <w:pPr>
              <w:jc w:val="center"/>
              <w:rPr>
                <w:szCs w:val="21"/>
                <w:shd w:val="pct10" w:color="auto" w:fill="FFFFFF"/>
                <w:lang w:eastAsia="zh-CN"/>
              </w:rPr>
            </w:pPr>
            <w:r>
              <w:rPr>
                <w:rFonts w:hint="eastAsia"/>
                <w:szCs w:val="21"/>
                <w:shd w:val="pct10" w:color="auto" w:fill="FFFFFF"/>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kern w:val="0"/>
                <w:szCs w:val="21"/>
                <w:lang/>
              </w:rPr>
            </w:pPr>
            <w:permStart w:id="13" w:edGrp="everyone"/>
          </w:p>
        </w:tc>
        <w:tc>
          <w:tcPr>
            <w:tcW w:w="7123" w:type="dxa"/>
            <w:vAlign w:val="center"/>
          </w:tcPr>
          <w:p>
            <w:pPr>
              <w:spacing w:line="276" w:lineRule="auto"/>
              <w:jc w:val="both"/>
              <w:rPr>
                <w:szCs w:val="21"/>
                <w:lang w:eastAsia="zh-CN"/>
              </w:rPr>
            </w:pPr>
            <w:r>
              <w:rPr>
                <w:rFonts w:hint="eastAsia"/>
                <w:szCs w:val="21"/>
                <w:lang w:eastAsia="zh-CN"/>
              </w:rPr>
              <w:t>压缩空气，0.6MPa。</w:t>
            </w:r>
          </w:p>
        </w:tc>
        <w:tc>
          <w:tcPr>
            <w:tcW w:w="2131"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color w:val="000000"/>
                <w:kern w:val="0"/>
                <w:szCs w:val="20"/>
                <w:lang/>
              </w:rPr>
            </w:pPr>
            <w:permStart w:id="14" w:edGrp="everyone"/>
          </w:p>
        </w:tc>
        <w:tc>
          <w:tcPr>
            <w:tcW w:w="7123" w:type="dxa"/>
            <w:vAlign w:val="center"/>
          </w:tcPr>
          <w:p>
            <w:pPr>
              <w:spacing w:line="276" w:lineRule="auto"/>
              <w:jc w:val="both"/>
              <w:rPr>
                <w:color w:val="000000"/>
                <w:lang w:eastAsia="zh-CN"/>
              </w:rPr>
            </w:pPr>
            <w:r>
              <w:rPr>
                <w:rFonts w:hint="eastAsia"/>
                <w:color w:val="000000"/>
                <w:lang w:eastAsia="zh-CN"/>
              </w:rPr>
              <w:t>适用我公司</w:t>
            </w:r>
            <w:r>
              <w:rPr>
                <w:color w:val="000000"/>
                <w:lang w:eastAsia="zh-CN"/>
              </w:rPr>
              <w:t>工作环境温度：能适应</w:t>
            </w:r>
            <w:r>
              <w:rPr>
                <w:rFonts w:hint="eastAsia"/>
                <w:color w:val="000000"/>
                <w:lang w:eastAsia="zh-CN"/>
              </w:rPr>
              <w:t>2℃</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31" w:type="dxa"/>
            <w:vAlign w:val="center"/>
          </w:tcPr>
          <w:p>
            <w:pPr>
              <w:jc w:val="both"/>
              <w:rPr>
                <w:color w:val="000000"/>
                <w:lang w:eastAsia="zh-CN"/>
              </w:rPr>
            </w:pPr>
            <w:r>
              <w:rPr>
                <w:rFonts w:hint="eastAsia"/>
                <w:color w:val="000000"/>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color w:val="000000"/>
                <w:kern w:val="0"/>
                <w:szCs w:val="20"/>
                <w:lang/>
              </w:rPr>
            </w:pPr>
            <w:permStart w:id="15" w:edGrp="everyone"/>
          </w:p>
        </w:tc>
        <w:tc>
          <w:tcPr>
            <w:tcW w:w="7123" w:type="dxa"/>
            <w:vAlign w:val="center"/>
          </w:tcPr>
          <w:p>
            <w:pPr>
              <w:spacing w:line="276" w:lineRule="auto"/>
              <w:jc w:val="both"/>
              <w:rPr>
                <w:color w:val="000000"/>
                <w:lang w:eastAsia="zh-CN"/>
              </w:rPr>
            </w:pPr>
            <w:r>
              <w:rPr>
                <w:rFonts w:hint="eastAsia"/>
                <w:color w:val="000000"/>
                <w:lang w:eastAsia="zh-CN"/>
              </w:rPr>
              <w:t>适用我公司</w:t>
            </w:r>
            <w:r>
              <w:rPr>
                <w:color w:val="000000"/>
                <w:lang w:eastAsia="zh-CN"/>
              </w:rPr>
              <w:t>工作环境湿度：至少包括45%～65%</w:t>
            </w:r>
            <w:r>
              <w:rPr>
                <w:rFonts w:hint="eastAsia"/>
                <w:color w:val="000000"/>
                <w:lang w:eastAsia="zh-CN"/>
              </w:rPr>
              <w:t>。极端环境湿度99.9%</w:t>
            </w:r>
          </w:p>
        </w:tc>
        <w:tc>
          <w:tcPr>
            <w:tcW w:w="2131" w:type="dxa"/>
            <w:vAlign w:val="center"/>
          </w:tcPr>
          <w:p>
            <w:pPr>
              <w:jc w:val="both"/>
              <w:rPr>
                <w:color w:val="000000"/>
                <w:lang w:eastAsia="zh-CN"/>
              </w:rPr>
            </w:pPr>
            <w:r>
              <w:rPr>
                <w:rFonts w:hint="eastAsia"/>
                <w:color w:val="000000"/>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color w:val="000000"/>
                <w:kern w:val="0"/>
                <w:szCs w:val="20"/>
                <w:lang/>
              </w:rPr>
            </w:pPr>
            <w:permStart w:id="16" w:edGrp="everyone"/>
          </w:p>
        </w:tc>
        <w:tc>
          <w:tcPr>
            <w:tcW w:w="7123" w:type="dxa"/>
            <w:vAlign w:val="center"/>
          </w:tcPr>
          <w:p>
            <w:pPr>
              <w:spacing w:line="276" w:lineRule="auto"/>
              <w:jc w:val="both"/>
              <w:rPr>
                <w:color w:val="000000"/>
                <w:lang w:eastAsia="zh-CN"/>
              </w:rPr>
            </w:pPr>
            <w:r>
              <w:rPr>
                <w:rFonts w:hint="eastAsia"/>
                <w:color w:val="000000"/>
                <w:lang w:eastAsia="zh-CN"/>
              </w:rPr>
              <w:t>适用我公司</w:t>
            </w:r>
            <w:r>
              <w:rPr>
                <w:color w:val="000000"/>
                <w:lang w:eastAsia="zh-CN"/>
              </w:rPr>
              <w:t>工作环境洁净级别：</w:t>
            </w:r>
            <w:r>
              <w:rPr>
                <w:rFonts w:hint="eastAsia"/>
                <w:color w:val="000000"/>
                <w:lang w:eastAsia="zh-CN"/>
              </w:rPr>
              <w:t>C级洁净区，B+A洁净区。</w:t>
            </w:r>
          </w:p>
        </w:tc>
        <w:tc>
          <w:tcPr>
            <w:tcW w:w="2131" w:type="dxa"/>
            <w:vAlign w:val="center"/>
          </w:tcPr>
          <w:p>
            <w:pPr>
              <w:jc w:val="both"/>
              <w:rPr>
                <w:color w:val="000000"/>
                <w:lang w:eastAsia="zh-CN"/>
              </w:rPr>
            </w:pPr>
            <w:r>
              <w:rPr>
                <w:rFonts w:hint="eastAsia"/>
                <w:color w:val="000000"/>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szCs w:val="21"/>
              </w:rPr>
            </w:pPr>
            <w:permStart w:id="17" w:edGrp="everyone"/>
          </w:p>
        </w:tc>
        <w:tc>
          <w:tcPr>
            <w:tcW w:w="7123" w:type="dxa"/>
            <w:vAlign w:val="center"/>
          </w:tcPr>
          <w:p>
            <w:pPr>
              <w:spacing w:line="276" w:lineRule="auto"/>
              <w:jc w:val="both"/>
              <w:rPr>
                <w:color w:val="000000"/>
                <w:lang w:eastAsia="zh-CN"/>
              </w:rPr>
            </w:pPr>
            <w:r>
              <w:rPr>
                <w:color w:val="000000"/>
                <w:lang w:eastAsia="zh-CN"/>
              </w:rPr>
              <w:t>交流电电源：～220±10%V，50±1Hz</w:t>
            </w:r>
            <w:r>
              <w:rPr>
                <w:rFonts w:hint="eastAsia"/>
                <w:color w:val="000000"/>
                <w:lang w:eastAsia="zh-CN"/>
              </w:rPr>
              <w:t>。</w:t>
            </w:r>
          </w:p>
        </w:tc>
        <w:tc>
          <w:tcPr>
            <w:tcW w:w="2131"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szCs w:val="21"/>
              </w:rPr>
            </w:pPr>
            <w:permStart w:id="18" w:edGrp="everyone"/>
          </w:p>
        </w:tc>
        <w:tc>
          <w:tcPr>
            <w:tcW w:w="7123" w:type="dxa"/>
            <w:vAlign w:val="center"/>
          </w:tcPr>
          <w:p>
            <w:pPr>
              <w:spacing w:line="276" w:lineRule="auto"/>
              <w:jc w:val="both"/>
              <w:rPr>
                <w:color w:val="000000"/>
                <w:lang w:eastAsia="zh-CN"/>
              </w:rPr>
            </w:pPr>
            <w:r>
              <w:rPr>
                <w:rFonts w:hint="eastAsia"/>
                <w:color w:val="000000"/>
                <w:lang w:eastAsia="zh-CN"/>
              </w:rPr>
              <w:t>设备内部表面和外部表面不得有凹陷、毛刺、锈蚀、锈迹等缺陷，耐酸和耐碱腐蚀，端面要端正、光滑、平整，易于清洁。</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szCs w:val="21"/>
              </w:rPr>
            </w:pPr>
          </w:p>
        </w:tc>
        <w:tc>
          <w:tcPr>
            <w:tcW w:w="7123" w:type="dxa"/>
            <w:vAlign w:val="center"/>
          </w:tcPr>
          <w:p>
            <w:pPr>
              <w:spacing w:line="276" w:lineRule="auto"/>
              <w:jc w:val="both"/>
              <w:rPr>
                <w:color w:val="000000"/>
                <w:lang w:eastAsia="zh-CN"/>
              </w:rPr>
            </w:pPr>
            <w:r>
              <w:rPr>
                <w:rFonts w:hint="eastAsia"/>
                <w:color w:val="000000"/>
                <w:lang w:eastAsia="zh-CN"/>
              </w:rPr>
              <w:t>混匀过程中设备不可抖动。</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szCs w:val="21"/>
              </w:rPr>
            </w:pPr>
          </w:p>
        </w:tc>
        <w:tc>
          <w:tcPr>
            <w:tcW w:w="7123" w:type="dxa"/>
            <w:vAlign w:val="center"/>
          </w:tcPr>
          <w:p>
            <w:pPr>
              <w:spacing w:line="276" w:lineRule="auto"/>
              <w:jc w:val="both"/>
              <w:rPr>
                <w:color w:val="000000"/>
                <w:lang w:eastAsia="zh-CN"/>
              </w:rPr>
            </w:pPr>
            <w:r>
              <w:rPr>
                <w:rFonts w:hint="eastAsia"/>
                <w:color w:val="000000"/>
                <w:lang w:eastAsia="zh-CN"/>
              </w:rPr>
              <w:t>设备可与储液袋接触部分无锋利棱角，不得划破储液袋。</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9" w:type="dxa"/>
            <w:vAlign w:val="center"/>
          </w:tcPr>
          <w:p>
            <w:pPr>
              <w:pStyle w:val="31"/>
              <w:numPr>
                <w:ilvl w:val="0"/>
                <w:numId w:val="7"/>
              </w:numPr>
              <w:ind w:left="470" w:hanging="120" w:firstLineChars="0"/>
              <w:rPr>
                <w:rFonts w:ascii="Times New Roman" w:hAnsi="Times New Roman"/>
                <w:szCs w:val="21"/>
              </w:rPr>
            </w:pPr>
          </w:p>
        </w:tc>
        <w:tc>
          <w:tcPr>
            <w:tcW w:w="7123" w:type="dxa"/>
            <w:vAlign w:val="center"/>
          </w:tcPr>
          <w:p>
            <w:pPr>
              <w:spacing w:line="276" w:lineRule="auto"/>
              <w:jc w:val="both"/>
              <w:rPr>
                <w:color w:val="000000"/>
                <w:lang w:eastAsia="zh-CN"/>
              </w:rPr>
            </w:pPr>
            <w:r>
              <w:rPr>
                <w:color w:val="000000"/>
                <w:lang w:eastAsia="zh-CN"/>
              </w:rPr>
              <w:t xml:space="preserve">标识：至少应有以下永久贴牢和清楚易认的标识： </w:t>
            </w:r>
          </w:p>
          <w:p>
            <w:pPr>
              <w:spacing w:line="276" w:lineRule="auto"/>
              <w:jc w:val="both"/>
              <w:rPr>
                <w:color w:val="000000"/>
                <w:lang w:eastAsia="zh-CN"/>
              </w:rPr>
            </w:pPr>
            <w:r>
              <w:rPr>
                <w:color w:val="000000"/>
                <w:lang w:eastAsia="zh-CN"/>
              </w:rPr>
              <w:t>（1）制造/供应单位；</w:t>
            </w:r>
          </w:p>
          <w:p>
            <w:pPr>
              <w:spacing w:line="276" w:lineRule="auto"/>
              <w:jc w:val="both"/>
              <w:rPr>
                <w:color w:val="000000"/>
                <w:lang w:eastAsia="zh-CN"/>
              </w:rPr>
            </w:pPr>
            <w:r>
              <w:rPr>
                <w:color w:val="000000"/>
                <w:lang w:eastAsia="zh-CN"/>
              </w:rPr>
              <w:t>（2）产品注册号；</w:t>
            </w:r>
          </w:p>
          <w:p>
            <w:pPr>
              <w:spacing w:line="276" w:lineRule="auto"/>
              <w:jc w:val="both"/>
              <w:rPr>
                <w:color w:val="000000"/>
                <w:lang w:eastAsia="zh-CN"/>
              </w:rPr>
            </w:pPr>
            <w:r>
              <w:rPr>
                <w:color w:val="000000"/>
                <w:lang w:eastAsia="zh-CN"/>
              </w:rPr>
              <w:t>（3）型号；</w:t>
            </w:r>
          </w:p>
          <w:p>
            <w:pPr>
              <w:spacing w:line="276" w:lineRule="auto"/>
              <w:jc w:val="both"/>
              <w:rPr>
                <w:color w:val="000000"/>
                <w:lang w:eastAsia="zh-CN"/>
              </w:rPr>
            </w:pPr>
            <w:r>
              <w:rPr>
                <w:color w:val="000000"/>
                <w:lang w:eastAsia="zh-CN"/>
              </w:rPr>
              <w:t>（4）生产日期或编号；</w:t>
            </w:r>
          </w:p>
          <w:p>
            <w:pPr>
              <w:spacing w:line="276" w:lineRule="auto"/>
              <w:jc w:val="both"/>
              <w:rPr>
                <w:color w:val="000000"/>
                <w:lang w:eastAsia="zh-CN"/>
              </w:rPr>
            </w:pPr>
            <w:r>
              <w:rPr>
                <w:color w:val="000000"/>
                <w:lang w:eastAsia="zh-CN"/>
              </w:rPr>
              <w:t>（5）对设备必要的说明；</w:t>
            </w:r>
          </w:p>
          <w:p>
            <w:pPr>
              <w:pStyle w:val="9"/>
              <w:spacing w:line="276" w:lineRule="auto"/>
              <w:rPr>
                <w:color w:val="000000"/>
                <w:sz w:val="21"/>
                <w:szCs w:val="20"/>
                <w:lang w:eastAsia="zh-CN"/>
              </w:rPr>
            </w:pPr>
            <w:r>
              <w:rPr>
                <w:color w:val="000000"/>
                <w:sz w:val="21"/>
                <w:szCs w:val="20"/>
                <w:lang w:eastAsia="zh-CN"/>
              </w:rPr>
              <w:t>（6）安全标识。</w:t>
            </w:r>
          </w:p>
        </w:tc>
        <w:tc>
          <w:tcPr>
            <w:tcW w:w="2131" w:type="dxa"/>
            <w:vAlign w:val="center"/>
          </w:tcPr>
          <w:p>
            <w:pPr>
              <w:jc w:val="both"/>
              <w:rPr>
                <w:szCs w:val="21"/>
                <w:lang w:eastAsia="zh-CN"/>
              </w:rPr>
            </w:pPr>
            <w:r>
              <w:rPr>
                <w:rFonts w:hint="eastAsia"/>
                <w:szCs w:val="21"/>
                <w:lang w:eastAsia="zh-CN"/>
              </w:rPr>
              <w:t>关键</w:t>
            </w:r>
          </w:p>
        </w:tc>
      </w:tr>
      <w:bookmarkEnd w:id="24"/>
      <w:bookmarkEnd w:id="25"/>
      <w:permEnd w:id="18"/>
    </w:tbl>
    <w:p>
      <w:pPr>
        <w:pStyle w:val="31"/>
        <w:spacing w:afterLines="50"/>
        <w:ind w:left="425" w:firstLine="0" w:firstLineChars="0"/>
        <w:rPr>
          <w:rFonts w:ascii="Times New Roman" w:hAnsi="Times New Roman"/>
          <w:szCs w:val="21"/>
        </w:rPr>
      </w:pPr>
    </w:p>
    <w:p>
      <w:pPr>
        <w:pStyle w:val="31"/>
        <w:numPr>
          <w:ilvl w:val="0"/>
          <w:numId w:val="3"/>
        </w:numPr>
        <w:spacing w:afterLines="50"/>
        <w:ind w:left="426" w:hanging="426" w:hangingChars="202"/>
        <w:outlineLvl w:val="0"/>
        <w:rPr>
          <w:rFonts w:ascii="Times New Roman" w:hAnsi="Times New Roman"/>
          <w:b/>
        </w:rPr>
      </w:pPr>
      <w:bookmarkStart w:id="26" w:name="_Toc522107740"/>
      <w:bookmarkStart w:id="27" w:name="_Toc36990778"/>
      <w:r>
        <w:rPr>
          <w:rFonts w:ascii="Times New Roman" w:hAnsi="Times New Roman"/>
          <w:b/>
        </w:rPr>
        <w:t>运行要求</w:t>
      </w:r>
      <w:bookmarkEnd w:id="26"/>
      <w:bookmarkEnd w:id="27"/>
    </w:p>
    <w:p>
      <w:pPr>
        <w:pStyle w:val="35"/>
        <w:spacing w:before="0" w:line="360" w:lineRule="auto"/>
        <w:ind w:left="357"/>
        <w:jc w:val="left"/>
        <w:rPr>
          <w:bCs/>
          <w:i/>
          <w:color w:val="4472C4"/>
          <w:kern w:val="44"/>
          <w:szCs w:val="21"/>
          <w:lang w:eastAsia="zh-CN"/>
        </w:rPr>
      </w:pPr>
      <w:permStart w:id="19"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000000"/>
                <w:kern w:val="0"/>
                <w:szCs w:val="21"/>
                <w:lang/>
              </w:rPr>
            </w:pPr>
            <w:permStart w:id="20" w:edGrp="everyone"/>
          </w:p>
        </w:tc>
        <w:tc>
          <w:tcPr>
            <w:tcW w:w="7125" w:type="dxa"/>
            <w:vAlign w:val="center"/>
          </w:tcPr>
          <w:p>
            <w:pPr>
              <w:spacing w:line="276" w:lineRule="auto"/>
              <w:jc w:val="both"/>
              <w:rPr>
                <w:color w:val="000000"/>
                <w:szCs w:val="21"/>
                <w:lang w:eastAsia="zh-CN"/>
              </w:rPr>
            </w:pPr>
            <w:r>
              <w:rPr>
                <w:rFonts w:hint="eastAsia"/>
                <w:color w:val="000000"/>
                <w:szCs w:val="21"/>
                <w:lang w:eastAsia="zh-CN"/>
              </w:rPr>
              <w:t>整机采用不锈钢材质(304)，结构牢固，外形美观。</w:t>
            </w:r>
          </w:p>
        </w:tc>
        <w:tc>
          <w:tcPr>
            <w:tcW w:w="2128" w:type="dxa"/>
            <w:vAlign w:val="center"/>
          </w:tcPr>
          <w:p>
            <w:pPr>
              <w:jc w:val="both"/>
              <w:rPr>
                <w:color w:val="000000"/>
                <w:szCs w:val="21"/>
                <w:lang w:eastAsia="zh-CN"/>
              </w:rPr>
            </w:pPr>
            <w:r>
              <w:rPr>
                <w:rFonts w:hint="eastAsia"/>
                <w:color w:val="000000"/>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permStart w:id="21" w:edGrp="everyone"/>
          </w:p>
        </w:tc>
        <w:tc>
          <w:tcPr>
            <w:tcW w:w="9253" w:type="dxa"/>
            <w:gridSpan w:val="2"/>
            <w:shd w:val="clear" w:color="auto" w:fill="FFFFFF"/>
            <w:vAlign w:val="center"/>
          </w:tcPr>
          <w:p>
            <w:pPr>
              <w:jc w:val="center"/>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5" w:type="dxa"/>
            <w:vAlign w:val="center"/>
          </w:tcPr>
          <w:p>
            <w:pPr>
              <w:spacing w:line="276" w:lineRule="auto"/>
              <w:jc w:val="both"/>
              <w:rPr>
                <w:color w:val="000000"/>
                <w:szCs w:val="21"/>
                <w:lang w:eastAsia="zh-CN"/>
              </w:rPr>
            </w:pPr>
            <w:r>
              <w:rPr>
                <w:rFonts w:hint="eastAsia"/>
                <w:color w:val="000000"/>
                <w:szCs w:val="21"/>
                <w:lang w:eastAsia="zh-CN"/>
              </w:rPr>
              <w:t>适配50L 一次性使用无菌储液袋的料液混匀过程。</w:t>
            </w:r>
          </w:p>
          <w:p>
            <w:pPr>
              <w:spacing w:line="276" w:lineRule="auto"/>
              <w:jc w:val="both"/>
              <w:rPr>
                <w:color w:val="000000"/>
                <w:szCs w:val="21"/>
                <w:lang w:eastAsia="zh-CN"/>
              </w:rPr>
            </w:pPr>
            <w:r>
              <w:rPr>
                <w:rFonts w:hint="eastAsia"/>
                <w:color w:val="000000"/>
                <w:szCs w:val="21"/>
                <w:lang w:eastAsia="zh-CN"/>
              </w:rPr>
              <w:t>储液袋的规格尺寸如下</w:t>
            </w:r>
          </w:p>
          <w:p>
            <w:pPr>
              <w:spacing w:line="276" w:lineRule="auto"/>
              <w:jc w:val="both"/>
              <w:rPr>
                <w:rFonts w:hint="eastAsia"/>
                <w:color w:val="000000"/>
                <w:szCs w:val="21"/>
                <w:lang w:eastAsia="zh-CN"/>
              </w:rPr>
            </w:pPr>
            <w:r>
              <w:rPr>
                <w:rFonts w:hint="eastAsia"/>
                <w:color w:val="000000"/>
                <w:szCs w:val="21"/>
                <w:lang w:eastAsia="zh-CN"/>
              </w:rPr>
              <w:t xml:space="preserve"> 50L储液袋（2D）  长*宽=800mm*600mm</w:t>
            </w:r>
          </w:p>
          <w:p>
            <w:pPr>
              <w:spacing w:line="276" w:lineRule="auto"/>
              <w:jc w:val="both"/>
              <w:rPr>
                <w:color w:val="000000"/>
                <w:szCs w:val="21"/>
                <w:lang w:eastAsia="zh-CN"/>
              </w:rPr>
            </w:pP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0000"/>
                <w:szCs w:val="21"/>
                <w:lang w:eastAsia="zh-CN"/>
              </w:rPr>
            </w:pPr>
            <w:r>
              <w:rPr>
                <w:rFonts w:hint="eastAsia"/>
                <w:color w:val="000000"/>
                <w:szCs w:val="21"/>
                <w:lang w:eastAsia="zh-CN"/>
              </w:rPr>
              <w:t>设备托盘的承重：≥50kg。</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0000"/>
                <w:szCs w:val="21"/>
                <w:lang w:eastAsia="zh-CN"/>
              </w:rPr>
            </w:pPr>
            <w:r>
              <w:rPr>
                <w:rFonts w:hint="eastAsia"/>
                <w:color w:val="000000"/>
                <w:szCs w:val="21"/>
                <w:lang w:eastAsia="zh-CN"/>
              </w:rPr>
              <w:t>摇摆角度范围：-23°~23°。</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0000"/>
                <w:szCs w:val="21"/>
                <w:lang w:eastAsia="zh-CN"/>
              </w:rPr>
            </w:pPr>
            <w:r>
              <w:rPr>
                <w:rFonts w:hint="eastAsia"/>
                <w:color w:val="000000"/>
                <w:szCs w:val="21"/>
                <w:lang w:eastAsia="zh-CN"/>
              </w:rPr>
              <w:t>可以设定、调整及显示摇摆速度，最快摇摆速度30次/分钟。</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0000"/>
                <w:szCs w:val="21"/>
                <w:lang w:eastAsia="zh-CN"/>
              </w:rPr>
            </w:pPr>
            <w:r>
              <w:rPr>
                <w:rFonts w:hint="eastAsia"/>
                <w:color w:val="000000"/>
                <w:szCs w:val="21"/>
                <w:lang w:eastAsia="zh-CN"/>
              </w:rPr>
              <w:t>可以设定和显示摇摆时间，时间达到时摇摆可平缓地停止。</w:t>
            </w:r>
          </w:p>
          <w:p>
            <w:pPr>
              <w:spacing w:line="276" w:lineRule="auto"/>
              <w:jc w:val="both"/>
              <w:rPr>
                <w:color w:val="000000"/>
                <w:szCs w:val="21"/>
                <w:lang w:eastAsia="zh-CN"/>
              </w:rPr>
            </w:pPr>
            <w:r>
              <w:rPr>
                <w:rFonts w:hint="eastAsia"/>
                <w:color w:val="000000"/>
                <w:szCs w:val="21"/>
                <w:lang w:eastAsia="zh-CN"/>
              </w:rPr>
              <w:t>设置时间格式：</w:t>
            </w:r>
            <w:r>
              <w:rPr>
                <w:color w:val="000000"/>
                <w:szCs w:val="21"/>
                <w:lang w:eastAsia="zh-CN"/>
              </w:rPr>
              <w:t>0-XXXmin</w:t>
            </w:r>
            <w:r>
              <w:rPr>
                <w:rFonts w:hint="eastAsia"/>
                <w:color w:val="000000"/>
                <w:szCs w:val="21"/>
                <w:lang w:eastAsia="zh-CN"/>
              </w:rPr>
              <w:t>。</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0000"/>
                <w:szCs w:val="21"/>
                <w:lang w:eastAsia="zh-CN"/>
              </w:rPr>
            </w:pPr>
            <w:r>
              <w:rPr>
                <w:rFonts w:hint="eastAsia"/>
                <w:color w:val="000000"/>
                <w:szCs w:val="21"/>
                <w:lang w:eastAsia="zh-CN"/>
              </w:rPr>
              <w:t>工作制式：定时/连续，定时范围0-XXXmin，单位精确到分钟。</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0000"/>
                <w:szCs w:val="21"/>
                <w:lang w:eastAsia="zh-CN"/>
              </w:rPr>
            </w:pPr>
            <w:r>
              <w:rPr>
                <w:rFonts w:hint="eastAsia"/>
                <w:color w:val="000000"/>
                <w:szCs w:val="21"/>
                <w:lang w:eastAsia="zh-CN"/>
              </w:rPr>
              <w:t>混匀时间终止发出声光报警。</w:t>
            </w:r>
          </w:p>
        </w:tc>
        <w:tc>
          <w:tcPr>
            <w:tcW w:w="2128"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5" w:type="dxa"/>
            <w:vAlign w:val="center"/>
          </w:tcPr>
          <w:p>
            <w:pPr>
              <w:rPr>
                <w:lang w:eastAsia="zh-CN"/>
              </w:rPr>
            </w:pPr>
            <w:r>
              <w:rPr>
                <w:rFonts w:hint="eastAsia"/>
                <w:lang w:eastAsia="zh-CN"/>
              </w:rPr>
              <w:t>设备可移动，有四个万向滚轮，可锁定位置。</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rPr>
                <w:lang w:eastAsia="zh-CN"/>
              </w:rPr>
            </w:pPr>
            <w:r>
              <w:rPr>
                <w:rFonts w:hint="eastAsia"/>
                <w:lang w:eastAsia="zh-CN"/>
              </w:rPr>
              <w:t>所提供的设备、附件的材质和结构设计，须确保易拆装、无死角、易清洁。</w:t>
            </w:r>
          </w:p>
        </w:tc>
        <w:tc>
          <w:tcPr>
            <w:tcW w:w="2128" w:type="dxa"/>
            <w:vAlign w:val="center"/>
          </w:tcPr>
          <w:p>
            <w:pPr>
              <w:jc w:val="both"/>
              <w:rPr>
                <w:szCs w:val="21"/>
                <w:lang w:eastAsia="zh-CN"/>
              </w:rPr>
            </w:pPr>
            <w:r>
              <w:rPr>
                <w:rFonts w:hint="eastAsia"/>
                <w:szCs w:val="21"/>
                <w:lang w:eastAsia="zh-CN"/>
              </w:rPr>
              <w:t>关键</w:t>
            </w:r>
          </w:p>
        </w:tc>
      </w:tr>
      <w:permEnd w:id="23"/>
    </w:tbl>
    <w:p>
      <w:pPr>
        <w:pStyle w:val="31"/>
        <w:numPr>
          <w:ilvl w:val="0"/>
          <w:numId w:val="3"/>
        </w:numPr>
        <w:spacing w:afterLines="50"/>
        <w:ind w:left="426" w:hanging="426" w:hangingChars="202"/>
        <w:outlineLvl w:val="0"/>
        <w:rPr>
          <w:rFonts w:ascii="Times New Roman" w:hAnsi="Times New Roman"/>
          <w:b/>
        </w:rPr>
      </w:pPr>
      <w:bookmarkStart w:id="28" w:name="_Toc36990779"/>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5"/>
        <w:spacing w:before="0" w:line="360" w:lineRule="auto"/>
        <w:ind w:left="425"/>
        <w:jc w:val="left"/>
        <w:rPr>
          <w:i/>
          <w:color w:val="4472C4"/>
          <w:szCs w:val="21"/>
          <w:lang w:eastAsia="zh-CN"/>
        </w:rPr>
      </w:pPr>
      <w:permStart w:id="2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vAlign w:val="center"/>
          </w:tcPr>
          <w:p>
            <w:pPr>
              <w:rPr>
                <w:lang w:eastAsia="zh-CN"/>
              </w:rPr>
            </w:pPr>
            <w:r>
              <w:rPr>
                <w:rFonts w:hint="eastAsia"/>
                <w:lang w:eastAsia="zh-CN"/>
              </w:rPr>
              <w:t>自动化简单操作，安装后按启动即可完成工艺，安全可靠。</w:t>
            </w:r>
          </w:p>
        </w:tc>
        <w:tc>
          <w:tcPr>
            <w:tcW w:w="2125"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rFonts w:hint="eastAsia"/>
                <w:szCs w:val="21"/>
                <w:lang w:eastAsia="zh-CN"/>
              </w:rPr>
              <w:t>采用电力驱动形式，免维护的伺服电机或无刷直流静音电机，带过载保护功能。</w:t>
            </w:r>
          </w:p>
        </w:tc>
        <w:tc>
          <w:tcPr>
            <w:tcW w:w="2125"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7" w:edGrp="everyone"/>
          </w:p>
        </w:tc>
        <w:tc>
          <w:tcPr>
            <w:tcW w:w="9253" w:type="dxa"/>
            <w:gridSpan w:val="2"/>
            <w:vAlign w:val="center"/>
          </w:tcPr>
          <w:p>
            <w:pPr>
              <w:jc w:val="center"/>
              <w:rPr>
                <w:szCs w:val="21"/>
                <w:lang w:eastAsia="zh-CN"/>
              </w:rPr>
            </w:pPr>
            <w:r>
              <w:rPr>
                <w:rFonts w:hint="eastAsia"/>
                <w:lang w:eastAsia="zh-CN"/>
              </w:rPr>
              <w:t>NA</w:t>
            </w:r>
          </w:p>
        </w:tc>
      </w:tr>
      <w:permEnd w:id="27"/>
    </w:tbl>
    <w:p>
      <w:pPr>
        <w:spacing w:afterLines="50"/>
        <w:rPr>
          <w:b/>
          <w:lang w:eastAsia="zh-CN"/>
        </w:rPr>
      </w:pPr>
    </w:p>
    <w:p>
      <w:pPr>
        <w:pStyle w:val="31"/>
        <w:numPr>
          <w:ilvl w:val="0"/>
          <w:numId w:val="3"/>
        </w:numPr>
        <w:spacing w:afterLines="50"/>
        <w:ind w:left="426" w:hanging="426" w:hangingChars="202"/>
        <w:outlineLvl w:val="0"/>
        <w:rPr>
          <w:rFonts w:ascii="Times New Roman" w:hAnsi="Times New Roman"/>
          <w:b/>
        </w:rPr>
      </w:pPr>
      <w:bookmarkStart w:id="42" w:name="_Toc36990780"/>
      <w:r>
        <w:rPr>
          <w:rFonts w:ascii="Times New Roman" w:hAnsi="Times New Roman"/>
          <w:b/>
        </w:rPr>
        <w:t>安全要求</w:t>
      </w:r>
      <w:bookmarkEnd w:id="29"/>
      <w:bookmarkEnd w:id="42"/>
    </w:p>
    <w:p>
      <w:pPr>
        <w:pStyle w:val="35"/>
        <w:spacing w:before="0" w:line="360" w:lineRule="auto"/>
        <w:ind w:left="357"/>
        <w:jc w:val="left"/>
        <w:rPr>
          <w:i/>
          <w:color w:val="4472C4"/>
          <w:szCs w:val="21"/>
          <w:lang w:eastAsia="zh-CN"/>
        </w:rPr>
      </w:pPr>
      <w:permStart w:id="2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left="470" w:hanging="120" w:firstLineChars="0"/>
              <w:rPr>
                <w:szCs w:val="21"/>
              </w:rPr>
            </w:pPr>
            <w:permStart w:id="29" w:edGrp="everyone"/>
          </w:p>
        </w:tc>
        <w:tc>
          <w:tcPr>
            <w:tcW w:w="7125" w:type="dxa"/>
            <w:shd w:val="clear" w:color="auto" w:fill="FFFFFF"/>
            <w:vAlign w:val="center"/>
          </w:tcPr>
          <w:p>
            <w:pPr>
              <w:rPr>
                <w:szCs w:val="21"/>
                <w:lang w:eastAsia="zh-CN"/>
              </w:rPr>
            </w:pPr>
            <w:r>
              <w:rPr>
                <w:rFonts w:hint="eastAsia"/>
                <w:szCs w:val="21"/>
                <w:highlight w:val="yellow"/>
                <w:lang w:eastAsia="zh-CN"/>
              </w:rPr>
              <w:t>防护等级IP54</w:t>
            </w:r>
            <w:r>
              <w:rPr>
                <w:rFonts w:hint="eastAsia"/>
                <w:szCs w:val="21"/>
                <w:lang w:eastAsia="zh-CN"/>
              </w:rPr>
              <w:t>。</w:t>
            </w:r>
          </w:p>
        </w:tc>
        <w:tc>
          <w:tcPr>
            <w:tcW w:w="2128" w:type="dxa"/>
            <w:shd w:val="clear" w:color="auto" w:fill="FFFFFF"/>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left="470" w:hanging="120" w:firstLineChars="0"/>
              <w:rPr>
                <w:szCs w:val="21"/>
              </w:rPr>
            </w:pPr>
          </w:p>
        </w:tc>
        <w:tc>
          <w:tcPr>
            <w:tcW w:w="7125" w:type="dxa"/>
            <w:shd w:val="clear" w:color="auto" w:fill="FFFFFF"/>
            <w:vAlign w:val="center"/>
          </w:tcPr>
          <w:p>
            <w:pPr>
              <w:rPr>
                <w:szCs w:val="21"/>
                <w:lang w:eastAsia="zh-CN"/>
              </w:rPr>
            </w:pPr>
            <w:r>
              <w:rPr>
                <w:rFonts w:hint="eastAsia"/>
                <w:szCs w:val="21"/>
                <w:lang w:eastAsia="zh-CN"/>
              </w:rPr>
              <w:t>凡对人身有伤害的所有暴露的运动、带电部件必须加防护罩，并配备明显的中文警示标志和标牌，防止造成人员和机器损坏；固定的机械保护装置必须被设计成需使用工具才能拆除的形式，安装牢固、安全。</w:t>
            </w:r>
          </w:p>
        </w:tc>
        <w:tc>
          <w:tcPr>
            <w:tcW w:w="2128" w:type="dxa"/>
            <w:shd w:val="clear" w:color="auto" w:fill="FFFFFF"/>
            <w:vAlign w:val="center"/>
          </w:tcPr>
          <w:p>
            <w:pP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5"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5" w:type="dxa"/>
            <w:vAlign w:val="center"/>
          </w:tcPr>
          <w:p>
            <w:pPr>
              <w:jc w:val="both"/>
              <w:rPr>
                <w:szCs w:val="21"/>
                <w:lang w:eastAsia="zh-CN"/>
              </w:rPr>
            </w:pPr>
            <w:r>
              <w:rPr>
                <w:rFonts w:hint="eastAsia"/>
                <w:szCs w:val="21"/>
                <w:lang w:eastAsia="zh-CN"/>
              </w:rPr>
              <w:t>设备有漏电保护功能。</w:t>
            </w:r>
          </w:p>
        </w:tc>
        <w:tc>
          <w:tcPr>
            <w:tcW w:w="2128"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5" w:type="dxa"/>
            <w:vAlign w:val="center"/>
          </w:tcPr>
          <w:p>
            <w:pPr>
              <w:jc w:val="both"/>
              <w:rPr>
                <w:rFonts w:hint="eastAsia"/>
                <w:szCs w:val="21"/>
                <w:lang w:eastAsia="zh-CN"/>
              </w:rPr>
            </w:pPr>
            <w:r>
              <w:rPr>
                <w:rFonts w:hint="eastAsia"/>
                <w:szCs w:val="21"/>
                <w:lang w:eastAsia="zh-CN"/>
              </w:rPr>
              <w:t>保证2-8℃温度、70%~99.9%相对湿度环境中的用电安全。</w:t>
            </w:r>
          </w:p>
          <w:p>
            <w:pPr>
              <w:jc w:val="both"/>
              <w:rPr>
                <w:szCs w:val="21"/>
                <w:lang w:eastAsia="zh-CN"/>
              </w:rPr>
            </w:pPr>
            <w:r>
              <w:rPr>
                <w:rFonts w:hint="eastAsia"/>
                <w:szCs w:val="21"/>
                <w:lang w:eastAsia="zh-CN"/>
              </w:rPr>
              <w:t>电路板有防潮措施，内防冷凝水凝结，外防水汽侵入。</w:t>
            </w:r>
          </w:p>
        </w:tc>
        <w:tc>
          <w:tcPr>
            <w:tcW w:w="2128"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3" w:name="_Toc522107743"/>
      <w:bookmarkStart w:id="44" w:name="_Toc36990781"/>
      <w:r>
        <w:rPr>
          <w:rFonts w:ascii="Times New Roman" w:hAnsi="Times New Roman"/>
          <w:b/>
        </w:rPr>
        <w:t>文件要求</w:t>
      </w:r>
      <w:bookmarkEnd w:id="43"/>
      <w:bookmarkEnd w:id="44"/>
    </w:p>
    <w:p>
      <w:pPr>
        <w:pStyle w:val="35"/>
        <w:spacing w:before="0" w:line="360" w:lineRule="auto"/>
        <w:ind w:left="357"/>
        <w:jc w:val="left"/>
        <w:rPr>
          <w:i/>
          <w:szCs w:val="21"/>
          <w:lang w:eastAsia="zh-CN"/>
        </w:rPr>
      </w:pPr>
      <w:permStart w:id="32"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附带设备文件及相应的设备操作系统使用说明书。</w:t>
            </w:r>
          </w:p>
          <w:p>
            <w:pPr>
              <w:jc w:val="both"/>
              <w:rPr>
                <w:szCs w:val="21"/>
                <w:lang w:eastAsia="zh-CN"/>
              </w:rPr>
            </w:pPr>
            <w:r>
              <w:rPr>
                <w:rFonts w:hint="eastAsia"/>
                <w:szCs w:val="21"/>
                <w:lang w:eastAsia="zh-CN"/>
              </w:rPr>
              <w:t>文件提交时间：设备开箱时。</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pPr>
              <w:rPr>
                <w:lang w:eastAsia="zh-CN"/>
              </w:rPr>
            </w:pPr>
            <w:r>
              <w:rPr>
                <w:rFonts w:hint="eastAsia"/>
                <w:lang w:eastAsia="zh-CN"/>
              </w:rPr>
              <w:t>投标文件、合同及订单。</w:t>
            </w:r>
          </w:p>
          <w:p>
            <w:pPr>
              <w:rPr>
                <w:lang w:eastAsia="zh-CN"/>
              </w:rPr>
            </w:pPr>
            <w:r>
              <w:rPr>
                <w:rFonts w:hint="eastAsia"/>
                <w:szCs w:val="21"/>
                <w:lang w:eastAsia="zh-CN"/>
              </w:rPr>
              <w:t>文件提交时间：设备开箱验收。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卖方发运清单及相关检验报告。</w:t>
            </w:r>
          </w:p>
          <w:p>
            <w:pPr>
              <w:jc w:val="both"/>
              <w:rPr>
                <w:szCs w:val="21"/>
                <w:lang w:eastAsia="zh-CN"/>
              </w:rPr>
            </w:pPr>
            <w:r>
              <w:rPr>
                <w:rFonts w:hint="eastAsia"/>
                <w:szCs w:val="21"/>
                <w:lang w:eastAsia="zh-CN"/>
              </w:rPr>
              <w:t>文件提交时间：设备开箱验收。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系统功能配置清单</w:t>
            </w:r>
            <w:r>
              <w:rPr>
                <w:szCs w:val="21"/>
                <w:lang w:eastAsia="zh-CN"/>
              </w:rPr>
              <w:t>&amp;</w:t>
            </w:r>
            <w:r>
              <w:rPr>
                <w:rFonts w:hint="eastAsia"/>
                <w:szCs w:val="21"/>
                <w:lang w:eastAsia="zh-CN"/>
              </w:rPr>
              <w:t>说明，包含各组件名称、编号、型号、规格、品牌、材质等。</w:t>
            </w:r>
          </w:p>
          <w:p>
            <w:pPr>
              <w:jc w:val="both"/>
              <w:rPr>
                <w:szCs w:val="21"/>
                <w:lang w:eastAsia="zh-CN"/>
              </w:rPr>
            </w:pPr>
            <w:r>
              <w:rPr>
                <w:rFonts w:hint="eastAsia"/>
                <w:szCs w:val="21"/>
                <w:lang w:eastAsia="zh-CN"/>
              </w:rPr>
              <w:t>文件提交时间：设备开箱验收。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设备标准技术文件。</w:t>
            </w:r>
          </w:p>
          <w:p>
            <w:pPr>
              <w:jc w:val="both"/>
              <w:rPr>
                <w:szCs w:val="21"/>
                <w:lang w:eastAsia="zh-CN"/>
              </w:rPr>
            </w:pPr>
            <w:r>
              <w:rPr>
                <w:rFonts w:hint="eastAsia"/>
                <w:szCs w:val="21"/>
                <w:lang w:eastAsia="zh-CN"/>
              </w:rPr>
              <w:t>文件提交时间：DQ开始前完成审批。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图纸：实物图；各种确认、维修等活动所需的电子版及打印版图纸（尺寸图、电气图、布局图、安装连接图、细节图、PLC图等）、P&amp;ID图（至少是控制原理图）、构架图等；图纸说明及清单。</w:t>
            </w:r>
          </w:p>
          <w:p>
            <w:pPr>
              <w:rPr>
                <w:lang w:eastAsia="zh-CN"/>
              </w:rPr>
            </w:pPr>
            <w:r>
              <w:rPr>
                <w:rFonts w:hint="eastAsia"/>
                <w:szCs w:val="21"/>
                <w:lang w:eastAsia="zh-CN"/>
              </w:rPr>
              <w:t>文件提交时间：不晚于IQ开始前。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组件清单、易损件清单、备用零件、消耗品清单：包括名称、编号、对应厂家名称、生产地、规格及必要说明。</w:t>
            </w:r>
          </w:p>
          <w:p>
            <w:pPr>
              <w:rPr>
                <w:lang w:eastAsia="zh-CN"/>
              </w:rPr>
            </w:pPr>
            <w:r>
              <w:rPr>
                <w:rFonts w:hint="eastAsia"/>
                <w:szCs w:val="21"/>
                <w:lang w:eastAsia="zh-CN"/>
              </w:rPr>
              <w:t>文件提交时间：不晚于IQ开始前。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设备厂家文件：工厂相关检测报告、材质清单材质证书（写明材料有效期）、各种标示、出厂合格证、各组件相关报告及合格证。</w:t>
            </w:r>
          </w:p>
          <w:p>
            <w:pPr>
              <w:rPr>
                <w:lang w:eastAsia="zh-CN"/>
              </w:rPr>
            </w:pPr>
            <w:r>
              <w:rPr>
                <w:rFonts w:hint="eastAsia"/>
                <w:szCs w:val="21"/>
                <w:lang w:eastAsia="zh-CN"/>
              </w:rPr>
              <w:t>文件提交时间：不晚于IQ开始前。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设备操作手册（SOP）：语言为中文，应说明校准周期，并能提供校准服务。</w:t>
            </w:r>
          </w:p>
          <w:p>
            <w:pPr>
              <w:rPr>
                <w:lang w:eastAsia="zh-CN"/>
              </w:rPr>
            </w:pPr>
            <w:r>
              <w:rPr>
                <w:rFonts w:hint="eastAsia"/>
                <w:szCs w:val="21"/>
                <w:lang w:eastAsia="zh-CN"/>
              </w:rPr>
              <w:t>文件提交时间：设备开箱验收。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现场验收报告FAT。</w:t>
            </w:r>
          </w:p>
          <w:p>
            <w:pPr>
              <w:rPr>
                <w:lang w:eastAsia="zh-CN"/>
              </w:rPr>
            </w:pPr>
            <w:r>
              <w:rPr>
                <w:rFonts w:hint="eastAsia"/>
                <w:lang w:eastAsia="zh-CN"/>
              </w:rPr>
              <w:t>文件提交时间：不晚于IQ开始前。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验证文件：</w:t>
            </w:r>
          </w:p>
          <w:p>
            <w:pPr>
              <w:rPr>
                <w:lang w:eastAsia="zh-CN"/>
              </w:rPr>
            </w:pPr>
            <w:r>
              <w:rPr>
                <w:rFonts w:hint="eastAsia"/>
                <w:lang w:eastAsia="zh-CN"/>
              </w:rPr>
              <w:t>（1）设计确认及文件（DQ），包括系统评估、风险评估等；（2）安装确认及文件（IQ）；（3）运行确认及文件（OQ）；（4）设备生产商负责制定设备DQ/IQ/OQ验证方案并负责DQ/IQ/OQ验证方案的实施，该验证方案作为设备必备文件。</w:t>
            </w:r>
          </w:p>
          <w:p>
            <w:pPr>
              <w:rPr>
                <w:lang w:eastAsia="zh-CN"/>
              </w:rPr>
            </w:pPr>
            <w:r>
              <w:rPr>
                <w:rFonts w:hint="eastAsia"/>
                <w:lang w:eastAsia="zh-CN"/>
              </w:rPr>
              <w:t>供应商协助完成PQ。</w:t>
            </w:r>
          </w:p>
          <w:p>
            <w:pPr>
              <w:rPr>
                <w:lang w:eastAsia="zh-CN"/>
              </w:rPr>
            </w:pPr>
            <w:r>
              <w:rPr>
                <w:rFonts w:hint="eastAsia"/>
                <w:lang w:eastAsia="zh-CN"/>
              </w:rPr>
              <w:t>（DQ文件提交时间：设计完成后，制造及安装开始前完成审批并提交）</w:t>
            </w:r>
          </w:p>
          <w:p>
            <w:pPr>
              <w:rPr>
                <w:lang w:eastAsia="zh-CN"/>
              </w:rPr>
            </w:pPr>
            <w:r>
              <w:rPr>
                <w:rFonts w:hint="eastAsia"/>
                <w:lang w:eastAsia="zh-CN"/>
              </w:rPr>
              <w:t>（IQ文件提交时间：OQ开始前完成审批并提交。）</w:t>
            </w:r>
          </w:p>
          <w:p>
            <w:pPr>
              <w:rPr>
                <w:lang w:eastAsia="zh-CN"/>
              </w:rPr>
            </w:pPr>
            <w:r>
              <w:rPr>
                <w:rFonts w:hint="eastAsia"/>
                <w:lang w:eastAsia="zh-CN"/>
              </w:rPr>
              <w:t>（OQ文件提交时间：IQ批准后开始执行，PQ开始前完成审批并提交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使用操作说明书及维护保养说明（即运行及维护手册）3份。</w:t>
            </w:r>
          </w:p>
          <w:p>
            <w:pPr>
              <w:rPr>
                <w:lang w:eastAsia="zh-CN"/>
              </w:rPr>
            </w:pPr>
            <w:r>
              <w:rPr>
                <w:rFonts w:hint="eastAsia"/>
                <w:szCs w:val="21"/>
                <w:lang w:eastAsia="zh-CN"/>
              </w:rPr>
              <w:t>文件提交时间：设备开箱验收。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提供设备及其零部件使用寿命清单。</w:t>
            </w:r>
          </w:p>
          <w:p>
            <w:pPr>
              <w:rPr>
                <w:lang w:eastAsia="zh-CN"/>
              </w:rPr>
            </w:pPr>
            <w:r>
              <w:rPr>
                <w:rFonts w:hint="eastAsia"/>
                <w:szCs w:val="21"/>
                <w:lang w:eastAsia="zh-CN"/>
              </w:rPr>
              <w:t>文件提交时间：设备开箱验收。</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上述条款规定的文件需提供电子版，并在设备开箱验收时将最终批准的电子版及纸质版全套资料交工程技术部存档。</w:t>
            </w:r>
          </w:p>
          <w:p>
            <w:pPr>
              <w:rPr>
                <w:lang w:eastAsia="zh-CN"/>
              </w:rPr>
            </w:pPr>
            <w:r>
              <w:rPr>
                <w:rFonts w:hint="eastAsia"/>
                <w:lang w:eastAsia="zh-CN"/>
              </w:rPr>
              <w:t>文件提交时间：设备开箱验收。</w:t>
            </w:r>
          </w:p>
        </w:tc>
        <w:tc>
          <w:tcPr>
            <w:tcW w:w="2125" w:type="dxa"/>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5" w:name="_Toc36990782"/>
      <w:r>
        <w:rPr>
          <w:rFonts w:ascii="Times New Roman" w:hAnsi="Times New Roman"/>
          <w:b/>
          <w:szCs w:val="21"/>
        </w:rPr>
        <w:t>服务要求</w:t>
      </w:r>
      <w:bookmarkEnd w:id="45"/>
    </w:p>
    <w:p>
      <w:pPr>
        <w:pStyle w:val="35"/>
        <w:spacing w:before="0" w:line="360" w:lineRule="auto"/>
        <w:ind w:left="357"/>
        <w:jc w:val="left"/>
        <w:rPr>
          <w:i/>
          <w:color w:val="4472C4"/>
          <w:szCs w:val="21"/>
          <w:lang w:eastAsia="zh-CN"/>
        </w:rPr>
      </w:pPr>
      <w:permStart w:id="35"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szCs w:val="21"/>
                <w:lang w:eastAsia="zh-CN"/>
              </w:rPr>
              <w:t>验证包括DQ、IQ、OQ。</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售后服务必须响应及时，要求设备出现须厂家维修的故障后，应在4小时内明确答复，当电话沟通无法解决时，48小时内须及时派人至现场解决。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要求设备在签订合同后3个月内到货。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供应商可以提供所有合格的备件，用于设备相应部件的维修、更换。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 xml:space="preserve">确认验收合格后，买卖双方签订验收报告。 </w:t>
            </w:r>
          </w:p>
        </w:tc>
        <w:tc>
          <w:tcPr>
            <w:tcW w:w="2125" w:type="dxa"/>
            <w:vAlign w:val="center"/>
          </w:tcPr>
          <w:p>
            <w:pPr>
              <w:jc w:val="both"/>
              <w:rPr>
                <w:szCs w:val="21"/>
                <w:lang w:eastAsia="zh-CN"/>
              </w:rPr>
            </w:pPr>
            <w:r>
              <w:rPr>
                <w:rFonts w:hint="eastAsia"/>
                <w:szCs w:val="21"/>
                <w:lang w:eastAsia="zh-CN"/>
              </w:rPr>
              <w:t>关键</w:t>
            </w:r>
          </w:p>
        </w:tc>
      </w:tr>
      <w:permEnd w:id="44"/>
    </w:tbl>
    <w:p/>
    <w:p>
      <w:pPr>
        <w:pStyle w:val="31"/>
        <w:numPr>
          <w:ilvl w:val="0"/>
          <w:numId w:val="3"/>
        </w:numPr>
        <w:spacing w:afterLines="50"/>
        <w:ind w:left="426" w:hanging="426" w:hangingChars="202"/>
        <w:outlineLvl w:val="0"/>
        <w:rPr>
          <w:rFonts w:ascii="Times New Roman" w:hAnsi="Times New Roman"/>
          <w:b/>
        </w:rPr>
      </w:pPr>
      <w:bookmarkStart w:id="46" w:name="_Toc36990783"/>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rPr>
          <w:lang w:eastAsia="zh-CN"/>
        </w:rPr>
      </w:pPr>
      <w:permStart w:id="45" w:edGrp="everyone"/>
      <w:r>
        <w:rPr>
          <w:rFonts w:hint="eastAsia"/>
          <w:lang w:eastAsia="zh-CN"/>
        </w:rPr>
        <w:t>不适用</w:t>
      </w:r>
      <w:permEnd w:id="45"/>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1A4"/>
    <w:rsid w:val="000169DD"/>
    <w:rsid w:val="00020FEA"/>
    <w:rsid w:val="00022818"/>
    <w:rsid w:val="000233DE"/>
    <w:rsid w:val="00023B07"/>
    <w:rsid w:val="00023CAD"/>
    <w:rsid w:val="0002457E"/>
    <w:rsid w:val="000275E7"/>
    <w:rsid w:val="000303D0"/>
    <w:rsid w:val="00031243"/>
    <w:rsid w:val="00031900"/>
    <w:rsid w:val="00032DF4"/>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6E9F"/>
    <w:rsid w:val="00057046"/>
    <w:rsid w:val="000576C2"/>
    <w:rsid w:val="00062916"/>
    <w:rsid w:val="00063572"/>
    <w:rsid w:val="00063B90"/>
    <w:rsid w:val="00064A43"/>
    <w:rsid w:val="000662D2"/>
    <w:rsid w:val="00071DD4"/>
    <w:rsid w:val="00072340"/>
    <w:rsid w:val="00072945"/>
    <w:rsid w:val="00073B81"/>
    <w:rsid w:val="0007673E"/>
    <w:rsid w:val="00077AE1"/>
    <w:rsid w:val="000818AC"/>
    <w:rsid w:val="0008190E"/>
    <w:rsid w:val="00082C13"/>
    <w:rsid w:val="00083D58"/>
    <w:rsid w:val="000844A8"/>
    <w:rsid w:val="00084F90"/>
    <w:rsid w:val="00086CA0"/>
    <w:rsid w:val="00087002"/>
    <w:rsid w:val="00090209"/>
    <w:rsid w:val="00092C03"/>
    <w:rsid w:val="00096510"/>
    <w:rsid w:val="00097A7D"/>
    <w:rsid w:val="00097CA2"/>
    <w:rsid w:val="000A133E"/>
    <w:rsid w:val="000A1D9E"/>
    <w:rsid w:val="000A2664"/>
    <w:rsid w:val="000A2C3C"/>
    <w:rsid w:val="000A41DA"/>
    <w:rsid w:val="000A55CC"/>
    <w:rsid w:val="000A5CEE"/>
    <w:rsid w:val="000A6423"/>
    <w:rsid w:val="000A6661"/>
    <w:rsid w:val="000B02ED"/>
    <w:rsid w:val="000B02FD"/>
    <w:rsid w:val="000B068C"/>
    <w:rsid w:val="000B0CA5"/>
    <w:rsid w:val="000B14DE"/>
    <w:rsid w:val="000B417D"/>
    <w:rsid w:val="000B44A5"/>
    <w:rsid w:val="000B45E0"/>
    <w:rsid w:val="000B4EC4"/>
    <w:rsid w:val="000B5888"/>
    <w:rsid w:val="000C0A41"/>
    <w:rsid w:val="000C0DD3"/>
    <w:rsid w:val="000C0FA5"/>
    <w:rsid w:val="000C3C81"/>
    <w:rsid w:val="000C41B6"/>
    <w:rsid w:val="000C7137"/>
    <w:rsid w:val="000D112B"/>
    <w:rsid w:val="000D1A79"/>
    <w:rsid w:val="000D1C68"/>
    <w:rsid w:val="000D2DCA"/>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7F3"/>
    <w:rsid w:val="00110CF0"/>
    <w:rsid w:val="001120B7"/>
    <w:rsid w:val="0011231F"/>
    <w:rsid w:val="00112670"/>
    <w:rsid w:val="001127E7"/>
    <w:rsid w:val="00112DD4"/>
    <w:rsid w:val="00112F30"/>
    <w:rsid w:val="00114353"/>
    <w:rsid w:val="001144F0"/>
    <w:rsid w:val="00115728"/>
    <w:rsid w:val="001163FC"/>
    <w:rsid w:val="00116F39"/>
    <w:rsid w:val="00117A01"/>
    <w:rsid w:val="00121B6E"/>
    <w:rsid w:val="00122051"/>
    <w:rsid w:val="001234F3"/>
    <w:rsid w:val="00124244"/>
    <w:rsid w:val="00124E69"/>
    <w:rsid w:val="00125CC1"/>
    <w:rsid w:val="001273B0"/>
    <w:rsid w:val="001273C2"/>
    <w:rsid w:val="00127CB8"/>
    <w:rsid w:val="001313C3"/>
    <w:rsid w:val="00132F4C"/>
    <w:rsid w:val="00134C68"/>
    <w:rsid w:val="00134FB2"/>
    <w:rsid w:val="00135FD6"/>
    <w:rsid w:val="001374CF"/>
    <w:rsid w:val="0014358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4786"/>
    <w:rsid w:val="00174D8A"/>
    <w:rsid w:val="001757AB"/>
    <w:rsid w:val="00175D44"/>
    <w:rsid w:val="001769A8"/>
    <w:rsid w:val="001814FA"/>
    <w:rsid w:val="001815A9"/>
    <w:rsid w:val="00182A27"/>
    <w:rsid w:val="00184DDD"/>
    <w:rsid w:val="00184FFD"/>
    <w:rsid w:val="00185449"/>
    <w:rsid w:val="00186314"/>
    <w:rsid w:val="00187B04"/>
    <w:rsid w:val="00190000"/>
    <w:rsid w:val="001929C2"/>
    <w:rsid w:val="00192B8F"/>
    <w:rsid w:val="00193D66"/>
    <w:rsid w:val="00194295"/>
    <w:rsid w:val="00194BB7"/>
    <w:rsid w:val="001A1DE7"/>
    <w:rsid w:val="001A3BB0"/>
    <w:rsid w:val="001A4947"/>
    <w:rsid w:val="001A64C0"/>
    <w:rsid w:val="001A685F"/>
    <w:rsid w:val="001A7EB6"/>
    <w:rsid w:val="001A7FE4"/>
    <w:rsid w:val="001B0278"/>
    <w:rsid w:val="001B282B"/>
    <w:rsid w:val="001B28C8"/>
    <w:rsid w:val="001B4654"/>
    <w:rsid w:val="001C017B"/>
    <w:rsid w:val="001C1292"/>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08FF"/>
    <w:rsid w:val="00201487"/>
    <w:rsid w:val="00203D68"/>
    <w:rsid w:val="0020539A"/>
    <w:rsid w:val="00205E00"/>
    <w:rsid w:val="00206107"/>
    <w:rsid w:val="002070B2"/>
    <w:rsid w:val="0020756B"/>
    <w:rsid w:val="00210177"/>
    <w:rsid w:val="002106E7"/>
    <w:rsid w:val="00212297"/>
    <w:rsid w:val="002129BC"/>
    <w:rsid w:val="00212BD9"/>
    <w:rsid w:val="00213AA9"/>
    <w:rsid w:val="002168FE"/>
    <w:rsid w:val="00217048"/>
    <w:rsid w:val="002176E8"/>
    <w:rsid w:val="002178C5"/>
    <w:rsid w:val="00220757"/>
    <w:rsid w:val="00222993"/>
    <w:rsid w:val="002233A8"/>
    <w:rsid w:val="00223661"/>
    <w:rsid w:val="00224129"/>
    <w:rsid w:val="00225DD2"/>
    <w:rsid w:val="00226F88"/>
    <w:rsid w:val="002279A2"/>
    <w:rsid w:val="00227A0D"/>
    <w:rsid w:val="002320D9"/>
    <w:rsid w:val="00234C07"/>
    <w:rsid w:val="002355FF"/>
    <w:rsid w:val="002367A6"/>
    <w:rsid w:val="00236BE9"/>
    <w:rsid w:val="00236E73"/>
    <w:rsid w:val="00237E6C"/>
    <w:rsid w:val="00240A09"/>
    <w:rsid w:val="00240A68"/>
    <w:rsid w:val="00240B1E"/>
    <w:rsid w:val="00241437"/>
    <w:rsid w:val="00245088"/>
    <w:rsid w:val="00246FCB"/>
    <w:rsid w:val="00253242"/>
    <w:rsid w:val="002547BF"/>
    <w:rsid w:val="002548CA"/>
    <w:rsid w:val="0025531B"/>
    <w:rsid w:val="002560F9"/>
    <w:rsid w:val="002573EB"/>
    <w:rsid w:val="00257517"/>
    <w:rsid w:val="00257FA9"/>
    <w:rsid w:val="002605F7"/>
    <w:rsid w:val="00261CD0"/>
    <w:rsid w:val="00261F30"/>
    <w:rsid w:val="002637FB"/>
    <w:rsid w:val="00263CB5"/>
    <w:rsid w:val="00265487"/>
    <w:rsid w:val="0026571F"/>
    <w:rsid w:val="0027137F"/>
    <w:rsid w:val="002723D2"/>
    <w:rsid w:val="002732E5"/>
    <w:rsid w:val="002745D9"/>
    <w:rsid w:val="00274823"/>
    <w:rsid w:val="0027577D"/>
    <w:rsid w:val="00275F43"/>
    <w:rsid w:val="002810E3"/>
    <w:rsid w:val="00281E8D"/>
    <w:rsid w:val="00282EAA"/>
    <w:rsid w:val="0028384D"/>
    <w:rsid w:val="0028525D"/>
    <w:rsid w:val="002860DB"/>
    <w:rsid w:val="00286CE5"/>
    <w:rsid w:val="0029023F"/>
    <w:rsid w:val="002913B7"/>
    <w:rsid w:val="00291541"/>
    <w:rsid w:val="00291C5E"/>
    <w:rsid w:val="002924C2"/>
    <w:rsid w:val="002934D4"/>
    <w:rsid w:val="00293522"/>
    <w:rsid w:val="00293E83"/>
    <w:rsid w:val="0029741F"/>
    <w:rsid w:val="00297DDC"/>
    <w:rsid w:val="002A18C8"/>
    <w:rsid w:val="002A42F8"/>
    <w:rsid w:val="002A547B"/>
    <w:rsid w:val="002A588E"/>
    <w:rsid w:val="002A7980"/>
    <w:rsid w:val="002B0A7C"/>
    <w:rsid w:val="002B12A9"/>
    <w:rsid w:val="002B14F3"/>
    <w:rsid w:val="002B480A"/>
    <w:rsid w:val="002B67A2"/>
    <w:rsid w:val="002B6854"/>
    <w:rsid w:val="002C0A92"/>
    <w:rsid w:val="002C1817"/>
    <w:rsid w:val="002C1DAB"/>
    <w:rsid w:val="002C4FCF"/>
    <w:rsid w:val="002C527C"/>
    <w:rsid w:val="002D0253"/>
    <w:rsid w:val="002D03CD"/>
    <w:rsid w:val="002D2477"/>
    <w:rsid w:val="002D2AAB"/>
    <w:rsid w:val="002D691F"/>
    <w:rsid w:val="002D6A50"/>
    <w:rsid w:val="002D6D1C"/>
    <w:rsid w:val="002E1D21"/>
    <w:rsid w:val="002E27C2"/>
    <w:rsid w:val="002E3B36"/>
    <w:rsid w:val="002E59BF"/>
    <w:rsid w:val="002E63F6"/>
    <w:rsid w:val="002E69A1"/>
    <w:rsid w:val="002E7D37"/>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EDF"/>
    <w:rsid w:val="00330D16"/>
    <w:rsid w:val="00330FFF"/>
    <w:rsid w:val="00333C91"/>
    <w:rsid w:val="0033695C"/>
    <w:rsid w:val="0034014A"/>
    <w:rsid w:val="00341B2F"/>
    <w:rsid w:val="00342915"/>
    <w:rsid w:val="0034484F"/>
    <w:rsid w:val="00344B04"/>
    <w:rsid w:val="00345847"/>
    <w:rsid w:val="00347576"/>
    <w:rsid w:val="00347772"/>
    <w:rsid w:val="0034796D"/>
    <w:rsid w:val="00347A51"/>
    <w:rsid w:val="00347B19"/>
    <w:rsid w:val="003531FA"/>
    <w:rsid w:val="0035416F"/>
    <w:rsid w:val="00354626"/>
    <w:rsid w:val="003549FE"/>
    <w:rsid w:val="00355AAC"/>
    <w:rsid w:val="00355D7D"/>
    <w:rsid w:val="003647CA"/>
    <w:rsid w:val="00370514"/>
    <w:rsid w:val="0037056A"/>
    <w:rsid w:val="003726DF"/>
    <w:rsid w:val="0037345A"/>
    <w:rsid w:val="00373FFA"/>
    <w:rsid w:val="0037455F"/>
    <w:rsid w:val="00376C31"/>
    <w:rsid w:val="003800D2"/>
    <w:rsid w:val="00380EB7"/>
    <w:rsid w:val="003810F5"/>
    <w:rsid w:val="00381C39"/>
    <w:rsid w:val="00381CF6"/>
    <w:rsid w:val="0038326A"/>
    <w:rsid w:val="0038367F"/>
    <w:rsid w:val="00383AEA"/>
    <w:rsid w:val="00387B81"/>
    <w:rsid w:val="00391016"/>
    <w:rsid w:val="00392456"/>
    <w:rsid w:val="00393529"/>
    <w:rsid w:val="00393B6A"/>
    <w:rsid w:val="003946C3"/>
    <w:rsid w:val="00395CE1"/>
    <w:rsid w:val="00395D47"/>
    <w:rsid w:val="00396425"/>
    <w:rsid w:val="003970BE"/>
    <w:rsid w:val="00397C18"/>
    <w:rsid w:val="003A04A8"/>
    <w:rsid w:val="003A1311"/>
    <w:rsid w:val="003A179C"/>
    <w:rsid w:val="003A2EC5"/>
    <w:rsid w:val="003A3AAC"/>
    <w:rsid w:val="003A4CAE"/>
    <w:rsid w:val="003A5805"/>
    <w:rsid w:val="003A5E5C"/>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17BEE"/>
    <w:rsid w:val="00420273"/>
    <w:rsid w:val="00420AA0"/>
    <w:rsid w:val="0042116C"/>
    <w:rsid w:val="00422D19"/>
    <w:rsid w:val="00422DFE"/>
    <w:rsid w:val="00424D83"/>
    <w:rsid w:val="00424E29"/>
    <w:rsid w:val="00427D22"/>
    <w:rsid w:val="00427E2D"/>
    <w:rsid w:val="00432568"/>
    <w:rsid w:val="00436C7C"/>
    <w:rsid w:val="00437440"/>
    <w:rsid w:val="0044025F"/>
    <w:rsid w:val="00440378"/>
    <w:rsid w:val="004420F4"/>
    <w:rsid w:val="00442B53"/>
    <w:rsid w:val="00443256"/>
    <w:rsid w:val="00444D2D"/>
    <w:rsid w:val="00447C2D"/>
    <w:rsid w:val="004510B1"/>
    <w:rsid w:val="00451C5D"/>
    <w:rsid w:val="00451D74"/>
    <w:rsid w:val="00452E73"/>
    <w:rsid w:val="004565EF"/>
    <w:rsid w:val="00457FF9"/>
    <w:rsid w:val="004601ED"/>
    <w:rsid w:val="004602BC"/>
    <w:rsid w:val="00460711"/>
    <w:rsid w:val="00460A94"/>
    <w:rsid w:val="0046108B"/>
    <w:rsid w:val="0046279F"/>
    <w:rsid w:val="00467AE6"/>
    <w:rsid w:val="00467EC9"/>
    <w:rsid w:val="00472865"/>
    <w:rsid w:val="00474AFD"/>
    <w:rsid w:val="00477791"/>
    <w:rsid w:val="00480286"/>
    <w:rsid w:val="00480C3B"/>
    <w:rsid w:val="00480FE3"/>
    <w:rsid w:val="00481C94"/>
    <w:rsid w:val="004846C9"/>
    <w:rsid w:val="00484A8D"/>
    <w:rsid w:val="00484CA6"/>
    <w:rsid w:val="00486A4E"/>
    <w:rsid w:val="00486B09"/>
    <w:rsid w:val="0049139F"/>
    <w:rsid w:val="00494F07"/>
    <w:rsid w:val="00496116"/>
    <w:rsid w:val="004965A0"/>
    <w:rsid w:val="00497335"/>
    <w:rsid w:val="004A05A7"/>
    <w:rsid w:val="004A3F98"/>
    <w:rsid w:val="004A5532"/>
    <w:rsid w:val="004A5958"/>
    <w:rsid w:val="004A76DF"/>
    <w:rsid w:val="004A7717"/>
    <w:rsid w:val="004A7F67"/>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A6C"/>
    <w:rsid w:val="004D7128"/>
    <w:rsid w:val="004D751D"/>
    <w:rsid w:val="004E05C2"/>
    <w:rsid w:val="004E0B02"/>
    <w:rsid w:val="004E0C0D"/>
    <w:rsid w:val="004E255F"/>
    <w:rsid w:val="004E4C2D"/>
    <w:rsid w:val="004E73C6"/>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1EA5"/>
    <w:rsid w:val="00512690"/>
    <w:rsid w:val="00512A4E"/>
    <w:rsid w:val="00514EA4"/>
    <w:rsid w:val="00516BB4"/>
    <w:rsid w:val="00517A5D"/>
    <w:rsid w:val="00517E1E"/>
    <w:rsid w:val="005217E8"/>
    <w:rsid w:val="005220FE"/>
    <w:rsid w:val="00522B5B"/>
    <w:rsid w:val="005247DE"/>
    <w:rsid w:val="00527C57"/>
    <w:rsid w:val="00530B8F"/>
    <w:rsid w:val="00531434"/>
    <w:rsid w:val="00531754"/>
    <w:rsid w:val="00534840"/>
    <w:rsid w:val="00534D08"/>
    <w:rsid w:val="00536973"/>
    <w:rsid w:val="00536C6B"/>
    <w:rsid w:val="00544652"/>
    <w:rsid w:val="0054625B"/>
    <w:rsid w:val="00551539"/>
    <w:rsid w:val="00551733"/>
    <w:rsid w:val="00552EFE"/>
    <w:rsid w:val="00554ABB"/>
    <w:rsid w:val="0055552D"/>
    <w:rsid w:val="00555668"/>
    <w:rsid w:val="0055679E"/>
    <w:rsid w:val="0056090D"/>
    <w:rsid w:val="00561E9C"/>
    <w:rsid w:val="00564B53"/>
    <w:rsid w:val="00565C7A"/>
    <w:rsid w:val="00567522"/>
    <w:rsid w:val="00567E14"/>
    <w:rsid w:val="005705A7"/>
    <w:rsid w:val="0057277E"/>
    <w:rsid w:val="00572F0E"/>
    <w:rsid w:val="00574D60"/>
    <w:rsid w:val="00574FC2"/>
    <w:rsid w:val="00575318"/>
    <w:rsid w:val="00577142"/>
    <w:rsid w:val="005773E5"/>
    <w:rsid w:val="00577AC3"/>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21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0E1"/>
    <w:rsid w:val="005E65FA"/>
    <w:rsid w:val="005F19CE"/>
    <w:rsid w:val="005F28F4"/>
    <w:rsid w:val="005F43BB"/>
    <w:rsid w:val="005F503E"/>
    <w:rsid w:val="005F6CB3"/>
    <w:rsid w:val="005F7612"/>
    <w:rsid w:val="005F7663"/>
    <w:rsid w:val="005F7D63"/>
    <w:rsid w:val="00607170"/>
    <w:rsid w:val="00607408"/>
    <w:rsid w:val="00610AEE"/>
    <w:rsid w:val="0061276D"/>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425C"/>
    <w:rsid w:val="00646987"/>
    <w:rsid w:val="006506CF"/>
    <w:rsid w:val="00650A76"/>
    <w:rsid w:val="00650CD0"/>
    <w:rsid w:val="00650DA4"/>
    <w:rsid w:val="00651DA5"/>
    <w:rsid w:val="00652D22"/>
    <w:rsid w:val="00656797"/>
    <w:rsid w:val="006571EC"/>
    <w:rsid w:val="00660125"/>
    <w:rsid w:val="0066086B"/>
    <w:rsid w:val="00660A8C"/>
    <w:rsid w:val="006628C0"/>
    <w:rsid w:val="006632B2"/>
    <w:rsid w:val="00663A9B"/>
    <w:rsid w:val="00664084"/>
    <w:rsid w:val="0066445E"/>
    <w:rsid w:val="00667045"/>
    <w:rsid w:val="00667D4E"/>
    <w:rsid w:val="00670A00"/>
    <w:rsid w:val="00670C23"/>
    <w:rsid w:val="00672B86"/>
    <w:rsid w:val="00673031"/>
    <w:rsid w:val="00673EB3"/>
    <w:rsid w:val="006748D3"/>
    <w:rsid w:val="00680BE8"/>
    <w:rsid w:val="00685B48"/>
    <w:rsid w:val="00686409"/>
    <w:rsid w:val="00686D19"/>
    <w:rsid w:val="0068777F"/>
    <w:rsid w:val="00693018"/>
    <w:rsid w:val="00697A3F"/>
    <w:rsid w:val="006A0059"/>
    <w:rsid w:val="006A7425"/>
    <w:rsid w:val="006B058A"/>
    <w:rsid w:val="006B1299"/>
    <w:rsid w:val="006B26D9"/>
    <w:rsid w:val="006B310C"/>
    <w:rsid w:val="006B664C"/>
    <w:rsid w:val="006C1125"/>
    <w:rsid w:val="006C1C83"/>
    <w:rsid w:val="006C3E78"/>
    <w:rsid w:val="006C54E6"/>
    <w:rsid w:val="006C56DC"/>
    <w:rsid w:val="006C5762"/>
    <w:rsid w:val="006C681A"/>
    <w:rsid w:val="006C690D"/>
    <w:rsid w:val="006D149F"/>
    <w:rsid w:val="006D3396"/>
    <w:rsid w:val="006D566E"/>
    <w:rsid w:val="006D5AFF"/>
    <w:rsid w:val="006E050C"/>
    <w:rsid w:val="006E152B"/>
    <w:rsid w:val="006E33D3"/>
    <w:rsid w:val="006E36D1"/>
    <w:rsid w:val="006E4002"/>
    <w:rsid w:val="006E4DB6"/>
    <w:rsid w:val="006E622E"/>
    <w:rsid w:val="006E7938"/>
    <w:rsid w:val="006E79FB"/>
    <w:rsid w:val="006F11B6"/>
    <w:rsid w:val="006F229A"/>
    <w:rsid w:val="006F2364"/>
    <w:rsid w:val="006F3BB9"/>
    <w:rsid w:val="006F4AA6"/>
    <w:rsid w:val="006F69DA"/>
    <w:rsid w:val="006F78C7"/>
    <w:rsid w:val="007001DE"/>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BBC"/>
    <w:rsid w:val="00736FFB"/>
    <w:rsid w:val="00740080"/>
    <w:rsid w:val="00741A30"/>
    <w:rsid w:val="0074309F"/>
    <w:rsid w:val="007504DC"/>
    <w:rsid w:val="007507BD"/>
    <w:rsid w:val="0075142F"/>
    <w:rsid w:val="00751965"/>
    <w:rsid w:val="007524EF"/>
    <w:rsid w:val="00752689"/>
    <w:rsid w:val="00756D1D"/>
    <w:rsid w:val="007604DC"/>
    <w:rsid w:val="00760886"/>
    <w:rsid w:val="007615CA"/>
    <w:rsid w:val="00761ADD"/>
    <w:rsid w:val="00762B3A"/>
    <w:rsid w:val="00765D6E"/>
    <w:rsid w:val="00765D7E"/>
    <w:rsid w:val="007668EE"/>
    <w:rsid w:val="007674B6"/>
    <w:rsid w:val="00770E90"/>
    <w:rsid w:val="00772C42"/>
    <w:rsid w:val="0077302F"/>
    <w:rsid w:val="00773661"/>
    <w:rsid w:val="007748D9"/>
    <w:rsid w:val="00774A61"/>
    <w:rsid w:val="00774E08"/>
    <w:rsid w:val="00774E72"/>
    <w:rsid w:val="0077746F"/>
    <w:rsid w:val="007775FE"/>
    <w:rsid w:val="00780A5F"/>
    <w:rsid w:val="00784913"/>
    <w:rsid w:val="00785B90"/>
    <w:rsid w:val="0078639C"/>
    <w:rsid w:val="00787A51"/>
    <w:rsid w:val="007913D3"/>
    <w:rsid w:val="0079790C"/>
    <w:rsid w:val="007A102A"/>
    <w:rsid w:val="007A15E6"/>
    <w:rsid w:val="007A194B"/>
    <w:rsid w:val="007A4BCD"/>
    <w:rsid w:val="007A54E4"/>
    <w:rsid w:val="007A5714"/>
    <w:rsid w:val="007A5EFA"/>
    <w:rsid w:val="007A5FA1"/>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15FB"/>
    <w:rsid w:val="007E21AA"/>
    <w:rsid w:val="007E2D24"/>
    <w:rsid w:val="007E3532"/>
    <w:rsid w:val="007E5978"/>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1697C"/>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932"/>
    <w:rsid w:val="00852488"/>
    <w:rsid w:val="00853465"/>
    <w:rsid w:val="0085405E"/>
    <w:rsid w:val="008546D1"/>
    <w:rsid w:val="008571DD"/>
    <w:rsid w:val="0085772E"/>
    <w:rsid w:val="00860344"/>
    <w:rsid w:val="00860E2C"/>
    <w:rsid w:val="00864BC6"/>
    <w:rsid w:val="00865EE6"/>
    <w:rsid w:val="00870D23"/>
    <w:rsid w:val="00872B72"/>
    <w:rsid w:val="00873022"/>
    <w:rsid w:val="008750BC"/>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195"/>
    <w:rsid w:val="00896CEC"/>
    <w:rsid w:val="008A06BC"/>
    <w:rsid w:val="008A0AA3"/>
    <w:rsid w:val="008A0EAA"/>
    <w:rsid w:val="008A1190"/>
    <w:rsid w:val="008A149F"/>
    <w:rsid w:val="008A19FD"/>
    <w:rsid w:val="008A1A25"/>
    <w:rsid w:val="008A4E05"/>
    <w:rsid w:val="008A56DB"/>
    <w:rsid w:val="008A6CFC"/>
    <w:rsid w:val="008B2125"/>
    <w:rsid w:val="008B22EB"/>
    <w:rsid w:val="008B25D4"/>
    <w:rsid w:val="008B38E5"/>
    <w:rsid w:val="008B58C4"/>
    <w:rsid w:val="008B6CD2"/>
    <w:rsid w:val="008B72DD"/>
    <w:rsid w:val="008C050B"/>
    <w:rsid w:val="008C1132"/>
    <w:rsid w:val="008C302A"/>
    <w:rsid w:val="008C3E42"/>
    <w:rsid w:val="008C4B72"/>
    <w:rsid w:val="008C5279"/>
    <w:rsid w:val="008C527D"/>
    <w:rsid w:val="008C5862"/>
    <w:rsid w:val="008C5C9F"/>
    <w:rsid w:val="008C6773"/>
    <w:rsid w:val="008C72BB"/>
    <w:rsid w:val="008C7773"/>
    <w:rsid w:val="008D140C"/>
    <w:rsid w:val="008D2BAE"/>
    <w:rsid w:val="008D2C9E"/>
    <w:rsid w:val="008D41F5"/>
    <w:rsid w:val="008D521F"/>
    <w:rsid w:val="008D5C06"/>
    <w:rsid w:val="008D6227"/>
    <w:rsid w:val="008D7185"/>
    <w:rsid w:val="008D7A8B"/>
    <w:rsid w:val="008E41D3"/>
    <w:rsid w:val="008E43F1"/>
    <w:rsid w:val="008E594F"/>
    <w:rsid w:val="008E7312"/>
    <w:rsid w:val="008F297F"/>
    <w:rsid w:val="008F30A3"/>
    <w:rsid w:val="008F447E"/>
    <w:rsid w:val="00904BA9"/>
    <w:rsid w:val="00904E7E"/>
    <w:rsid w:val="0091086B"/>
    <w:rsid w:val="00911129"/>
    <w:rsid w:val="00911784"/>
    <w:rsid w:val="00912EA3"/>
    <w:rsid w:val="00914B6E"/>
    <w:rsid w:val="009156A2"/>
    <w:rsid w:val="0091579A"/>
    <w:rsid w:val="0091615D"/>
    <w:rsid w:val="00923F7E"/>
    <w:rsid w:val="00924C96"/>
    <w:rsid w:val="00925030"/>
    <w:rsid w:val="00925B32"/>
    <w:rsid w:val="00930A64"/>
    <w:rsid w:val="00930BE5"/>
    <w:rsid w:val="00931403"/>
    <w:rsid w:val="009314EF"/>
    <w:rsid w:val="00934991"/>
    <w:rsid w:val="009351A7"/>
    <w:rsid w:val="009355B2"/>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6C90"/>
    <w:rsid w:val="00987177"/>
    <w:rsid w:val="00987F11"/>
    <w:rsid w:val="00990F1A"/>
    <w:rsid w:val="0099128D"/>
    <w:rsid w:val="009917F1"/>
    <w:rsid w:val="00991E37"/>
    <w:rsid w:val="00991E74"/>
    <w:rsid w:val="009926A6"/>
    <w:rsid w:val="0099415E"/>
    <w:rsid w:val="009948BF"/>
    <w:rsid w:val="00996DC6"/>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798"/>
    <w:rsid w:val="009E4A84"/>
    <w:rsid w:val="009E6973"/>
    <w:rsid w:val="009F0466"/>
    <w:rsid w:val="009F2149"/>
    <w:rsid w:val="009F276A"/>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5B1F"/>
    <w:rsid w:val="00A21225"/>
    <w:rsid w:val="00A2139C"/>
    <w:rsid w:val="00A218F9"/>
    <w:rsid w:val="00A21E37"/>
    <w:rsid w:val="00A23314"/>
    <w:rsid w:val="00A235BB"/>
    <w:rsid w:val="00A23F10"/>
    <w:rsid w:val="00A23F72"/>
    <w:rsid w:val="00A26AB8"/>
    <w:rsid w:val="00A27F33"/>
    <w:rsid w:val="00A322BF"/>
    <w:rsid w:val="00A3373F"/>
    <w:rsid w:val="00A33F51"/>
    <w:rsid w:val="00A349DF"/>
    <w:rsid w:val="00A34DE9"/>
    <w:rsid w:val="00A40311"/>
    <w:rsid w:val="00A41032"/>
    <w:rsid w:val="00A4106C"/>
    <w:rsid w:val="00A428E7"/>
    <w:rsid w:val="00A43E49"/>
    <w:rsid w:val="00A44018"/>
    <w:rsid w:val="00A449FF"/>
    <w:rsid w:val="00A45DE9"/>
    <w:rsid w:val="00A47471"/>
    <w:rsid w:val="00A47E22"/>
    <w:rsid w:val="00A47ED0"/>
    <w:rsid w:val="00A509EA"/>
    <w:rsid w:val="00A51476"/>
    <w:rsid w:val="00A51FC5"/>
    <w:rsid w:val="00A526D2"/>
    <w:rsid w:val="00A53450"/>
    <w:rsid w:val="00A54412"/>
    <w:rsid w:val="00A5498B"/>
    <w:rsid w:val="00A550C8"/>
    <w:rsid w:val="00A5564C"/>
    <w:rsid w:val="00A559EC"/>
    <w:rsid w:val="00A569F8"/>
    <w:rsid w:val="00A56E60"/>
    <w:rsid w:val="00A571B3"/>
    <w:rsid w:val="00A61412"/>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3AA"/>
    <w:rsid w:val="00A957FA"/>
    <w:rsid w:val="00A95BBB"/>
    <w:rsid w:val="00A968DC"/>
    <w:rsid w:val="00A96E6A"/>
    <w:rsid w:val="00A977BA"/>
    <w:rsid w:val="00AA1A89"/>
    <w:rsid w:val="00AA346E"/>
    <w:rsid w:val="00AA3770"/>
    <w:rsid w:val="00AA3CFA"/>
    <w:rsid w:val="00AA41C3"/>
    <w:rsid w:val="00AA423C"/>
    <w:rsid w:val="00AA53E2"/>
    <w:rsid w:val="00AA5C00"/>
    <w:rsid w:val="00AA5EB9"/>
    <w:rsid w:val="00AA73FD"/>
    <w:rsid w:val="00AB2F06"/>
    <w:rsid w:val="00AB2F87"/>
    <w:rsid w:val="00AB32C3"/>
    <w:rsid w:val="00AB5E2B"/>
    <w:rsid w:val="00AB6069"/>
    <w:rsid w:val="00AB6467"/>
    <w:rsid w:val="00AB783D"/>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5BA9"/>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B9A"/>
    <w:rsid w:val="00B14F05"/>
    <w:rsid w:val="00B15D01"/>
    <w:rsid w:val="00B20EBF"/>
    <w:rsid w:val="00B2157F"/>
    <w:rsid w:val="00B24F44"/>
    <w:rsid w:val="00B25428"/>
    <w:rsid w:val="00B255BB"/>
    <w:rsid w:val="00B25E24"/>
    <w:rsid w:val="00B2609A"/>
    <w:rsid w:val="00B301B1"/>
    <w:rsid w:val="00B344FE"/>
    <w:rsid w:val="00B353E7"/>
    <w:rsid w:val="00B35759"/>
    <w:rsid w:val="00B3619A"/>
    <w:rsid w:val="00B365B7"/>
    <w:rsid w:val="00B3691C"/>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8D2"/>
    <w:rsid w:val="00B74791"/>
    <w:rsid w:val="00B76AF9"/>
    <w:rsid w:val="00B76F0A"/>
    <w:rsid w:val="00B8115B"/>
    <w:rsid w:val="00B81AE2"/>
    <w:rsid w:val="00B82D30"/>
    <w:rsid w:val="00B87F62"/>
    <w:rsid w:val="00B90CDA"/>
    <w:rsid w:val="00B914A4"/>
    <w:rsid w:val="00B92497"/>
    <w:rsid w:val="00B92D41"/>
    <w:rsid w:val="00B93679"/>
    <w:rsid w:val="00B9422D"/>
    <w:rsid w:val="00B95A1D"/>
    <w:rsid w:val="00B95CCA"/>
    <w:rsid w:val="00B9634B"/>
    <w:rsid w:val="00BA3731"/>
    <w:rsid w:val="00BA5072"/>
    <w:rsid w:val="00BA5125"/>
    <w:rsid w:val="00BA5B65"/>
    <w:rsid w:val="00BA7BFE"/>
    <w:rsid w:val="00BB0ECA"/>
    <w:rsid w:val="00BB246B"/>
    <w:rsid w:val="00BB4F49"/>
    <w:rsid w:val="00BB60F7"/>
    <w:rsid w:val="00BB6B2D"/>
    <w:rsid w:val="00BB6EAE"/>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51E"/>
    <w:rsid w:val="00C02F31"/>
    <w:rsid w:val="00C04DA5"/>
    <w:rsid w:val="00C050FC"/>
    <w:rsid w:val="00C0531B"/>
    <w:rsid w:val="00C05D40"/>
    <w:rsid w:val="00C0650A"/>
    <w:rsid w:val="00C11905"/>
    <w:rsid w:val="00C14462"/>
    <w:rsid w:val="00C14829"/>
    <w:rsid w:val="00C16542"/>
    <w:rsid w:val="00C22382"/>
    <w:rsid w:val="00C2355B"/>
    <w:rsid w:val="00C274A6"/>
    <w:rsid w:val="00C27B6E"/>
    <w:rsid w:val="00C33456"/>
    <w:rsid w:val="00C34201"/>
    <w:rsid w:val="00C35A38"/>
    <w:rsid w:val="00C35EC9"/>
    <w:rsid w:val="00C36807"/>
    <w:rsid w:val="00C37392"/>
    <w:rsid w:val="00C41545"/>
    <w:rsid w:val="00C41940"/>
    <w:rsid w:val="00C41A9D"/>
    <w:rsid w:val="00C4209D"/>
    <w:rsid w:val="00C432B3"/>
    <w:rsid w:val="00C4771E"/>
    <w:rsid w:val="00C47D15"/>
    <w:rsid w:val="00C50279"/>
    <w:rsid w:val="00C505EC"/>
    <w:rsid w:val="00C5165A"/>
    <w:rsid w:val="00C52841"/>
    <w:rsid w:val="00C54FC6"/>
    <w:rsid w:val="00C5538F"/>
    <w:rsid w:val="00C56F88"/>
    <w:rsid w:val="00C57B7E"/>
    <w:rsid w:val="00C60217"/>
    <w:rsid w:val="00C66D15"/>
    <w:rsid w:val="00C671D0"/>
    <w:rsid w:val="00C70449"/>
    <w:rsid w:val="00C7071B"/>
    <w:rsid w:val="00C72089"/>
    <w:rsid w:val="00C73904"/>
    <w:rsid w:val="00C73BAE"/>
    <w:rsid w:val="00C73F7B"/>
    <w:rsid w:val="00C74055"/>
    <w:rsid w:val="00C7421D"/>
    <w:rsid w:val="00C76481"/>
    <w:rsid w:val="00C76812"/>
    <w:rsid w:val="00C76E25"/>
    <w:rsid w:val="00C83D88"/>
    <w:rsid w:val="00C84961"/>
    <w:rsid w:val="00C84B06"/>
    <w:rsid w:val="00C87100"/>
    <w:rsid w:val="00C87CAC"/>
    <w:rsid w:val="00C913A1"/>
    <w:rsid w:val="00C950D6"/>
    <w:rsid w:val="00C97646"/>
    <w:rsid w:val="00C97672"/>
    <w:rsid w:val="00CA43BB"/>
    <w:rsid w:val="00CA55BD"/>
    <w:rsid w:val="00CA6B14"/>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4F88"/>
    <w:rsid w:val="00CE07A9"/>
    <w:rsid w:val="00CE1012"/>
    <w:rsid w:val="00CE419E"/>
    <w:rsid w:val="00CE5011"/>
    <w:rsid w:val="00CE53BB"/>
    <w:rsid w:val="00CE574A"/>
    <w:rsid w:val="00CE5DC5"/>
    <w:rsid w:val="00CE629E"/>
    <w:rsid w:val="00CE66CE"/>
    <w:rsid w:val="00CE77AA"/>
    <w:rsid w:val="00CE7B59"/>
    <w:rsid w:val="00CF352C"/>
    <w:rsid w:val="00CF4570"/>
    <w:rsid w:val="00CF58EE"/>
    <w:rsid w:val="00D00811"/>
    <w:rsid w:val="00D01C05"/>
    <w:rsid w:val="00D02A43"/>
    <w:rsid w:val="00D04518"/>
    <w:rsid w:val="00D05023"/>
    <w:rsid w:val="00D05489"/>
    <w:rsid w:val="00D05CA1"/>
    <w:rsid w:val="00D05CB7"/>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5CD"/>
    <w:rsid w:val="00D30EEA"/>
    <w:rsid w:val="00D31534"/>
    <w:rsid w:val="00D320F5"/>
    <w:rsid w:val="00D32C1F"/>
    <w:rsid w:val="00D33FC2"/>
    <w:rsid w:val="00D3631C"/>
    <w:rsid w:val="00D37394"/>
    <w:rsid w:val="00D46699"/>
    <w:rsid w:val="00D47345"/>
    <w:rsid w:val="00D47616"/>
    <w:rsid w:val="00D47FA6"/>
    <w:rsid w:val="00D5073F"/>
    <w:rsid w:val="00D51573"/>
    <w:rsid w:val="00D5399A"/>
    <w:rsid w:val="00D5444F"/>
    <w:rsid w:val="00D54E0D"/>
    <w:rsid w:val="00D54F7D"/>
    <w:rsid w:val="00D56A5A"/>
    <w:rsid w:val="00D57528"/>
    <w:rsid w:val="00D602CA"/>
    <w:rsid w:val="00D60DD8"/>
    <w:rsid w:val="00D64C6C"/>
    <w:rsid w:val="00D66D42"/>
    <w:rsid w:val="00D71734"/>
    <w:rsid w:val="00D7192F"/>
    <w:rsid w:val="00D7244A"/>
    <w:rsid w:val="00D72BCC"/>
    <w:rsid w:val="00D746C0"/>
    <w:rsid w:val="00D74723"/>
    <w:rsid w:val="00D76091"/>
    <w:rsid w:val="00D76B9C"/>
    <w:rsid w:val="00D76D82"/>
    <w:rsid w:val="00D77D65"/>
    <w:rsid w:val="00D80448"/>
    <w:rsid w:val="00D80C4F"/>
    <w:rsid w:val="00D8149F"/>
    <w:rsid w:val="00D814FB"/>
    <w:rsid w:val="00D832DC"/>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1E32"/>
    <w:rsid w:val="00DB31B5"/>
    <w:rsid w:val="00DB560A"/>
    <w:rsid w:val="00DB5BBA"/>
    <w:rsid w:val="00DC03DB"/>
    <w:rsid w:val="00DC1206"/>
    <w:rsid w:val="00DC2BE8"/>
    <w:rsid w:val="00DC2BEC"/>
    <w:rsid w:val="00DC3256"/>
    <w:rsid w:val="00DC35A6"/>
    <w:rsid w:val="00DC6E06"/>
    <w:rsid w:val="00DD090A"/>
    <w:rsid w:val="00DD2421"/>
    <w:rsid w:val="00DD3222"/>
    <w:rsid w:val="00DD3D81"/>
    <w:rsid w:val="00DD571C"/>
    <w:rsid w:val="00DD64E1"/>
    <w:rsid w:val="00DE039A"/>
    <w:rsid w:val="00DE0403"/>
    <w:rsid w:val="00DE3196"/>
    <w:rsid w:val="00DE4811"/>
    <w:rsid w:val="00DE5458"/>
    <w:rsid w:val="00DE5EE6"/>
    <w:rsid w:val="00DE77EA"/>
    <w:rsid w:val="00DF0ABA"/>
    <w:rsid w:val="00DF163F"/>
    <w:rsid w:val="00DF1EEE"/>
    <w:rsid w:val="00DF43A5"/>
    <w:rsid w:val="00DF6360"/>
    <w:rsid w:val="00DF6C58"/>
    <w:rsid w:val="00E001C1"/>
    <w:rsid w:val="00E039F3"/>
    <w:rsid w:val="00E03C30"/>
    <w:rsid w:val="00E04139"/>
    <w:rsid w:val="00E078BD"/>
    <w:rsid w:val="00E078F8"/>
    <w:rsid w:val="00E1142B"/>
    <w:rsid w:val="00E11F10"/>
    <w:rsid w:val="00E1448A"/>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79F7"/>
    <w:rsid w:val="00E51372"/>
    <w:rsid w:val="00E51CAF"/>
    <w:rsid w:val="00E51E95"/>
    <w:rsid w:val="00E51F9D"/>
    <w:rsid w:val="00E5202F"/>
    <w:rsid w:val="00E5211A"/>
    <w:rsid w:val="00E53A9F"/>
    <w:rsid w:val="00E549AF"/>
    <w:rsid w:val="00E60540"/>
    <w:rsid w:val="00E61C74"/>
    <w:rsid w:val="00E63D8F"/>
    <w:rsid w:val="00E64BE2"/>
    <w:rsid w:val="00E706B6"/>
    <w:rsid w:val="00E75019"/>
    <w:rsid w:val="00E76FF1"/>
    <w:rsid w:val="00E774FE"/>
    <w:rsid w:val="00E80592"/>
    <w:rsid w:val="00E809A0"/>
    <w:rsid w:val="00E80AF7"/>
    <w:rsid w:val="00E84407"/>
    <w:rsid w:val="00E85BAC"/>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0F9"/>
    <w:rsid w:val="00EE35B4"/>
    <w:rsid w:val="00EE5643"/>
    <w:rsid w:val="00EE7CEC"/>
    <w:rsid w:val="00EF056E"/>
    <w:rsid w:val="00EF09B3"/>
    <w:rsid w:val="00EF0A3E"/>
    <w:rsid w:val="00EF507A"/>
    <w:rsid w:val="00EF5EC6"/>
    <w:rsid w:val="00EF646F"/>
    <w:rsid w:val="00EF677C"/>
    <w:rsid w:val="00EF768C"/>
    <w:rsid w:val="00EF791E"/>
    <w:rsid w:val="00EF7A63"/>
    <w:rsid w:val="00F00D58"/>
    <w:rsid w:val="00F0226C"/>
    <w:rsid w:val="00F02522"/>
    <w:rsid w:val="00F02AE0"/>
    <w:rsid w:val="00F02BFF"/>
    <w:rsid w:val="00F034DC"/>
    <w:rsid w:val="00F03953"/>
    <w:rsid w:val="00F04841"/>
    <w:rsid w:val="00F0579A"/>
    <w:rsid w:val="00F0674D"/>
    <w:rsid w:val="00F06F0E"/>
    <w:rsid w:val="00F10287"/>
    <w:rsid w:val="00F10C82"/>
    <w:rsid w:val="00F139A7"/>
    <w:rsid w:val="00F13B2E"/>
    <w:rsid w:val="00F15CF8"/>
    <w:rsid w:val="00F176A0"/>
    <w:rsid w:val="00F20174"/>
    <w:rsid w:val="00F22098"/>
    <w:rsid w:val="00F223BC"/>
    <w:rsid w:val="00F23780"/>
    <w:rsid w:val="00F26185"/>
    <w:rsid w:val="00F26AA7"/>
    <w:rsid w:val="00F2758F"/>
    <w:rsid w:val="00F3178C"/>
    <w:rsid w:val="00F33DE5"/>
    <w:rsid w:val="00F34B8F"/>
    <w:rsid w:val="00F36D7F"/>
    <w:rsid w:val="00F37186"/>
    <w:rsid w:val="00F4267E"/>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0495"/>
    <w:rsid w:val="00F80E08"/>
    <w:rsid w:val="00F81334"/>
    <w:rsid w:val="00F81A81"/>
    <w:rsid w:val="00F81CC5"/>
    <w:rsid w:val="00F8760D"/>
    <w:rsid w:val="00F87AAD"/>
    <w:rsid w:val="00F9174C"/>
    <w:rsid w:val="00F91D5C"/>
    <w:rsid w:val="00F92097"/>
    <w:rsid w:val="00F93B3A"/>
    <w:rsid w:val="00F951DB"/>
    <w:rsid w:val="00F9574A"/>
    <w:rsid w:val="00F95D64"/>
    <w:rsid w:val="00F9793B"/>
    <w:rsid w:val="00FA0EAA"/>
    <w:rsid w:val="00FA0F53"/>
    <w:rsid w:val="00FA1DA9"/>
    <w:rsid w:val="00FA3809"/>
    <w:rsid w:val="00FA3A95"/>
    <w:rsid w:val="00FA4B16"/>
    <w:rsid w:val="00FA6462"/>
    <w:rsid w:val="00FA6D7E"/>
    <w:rsid w:val="00FB020D"/>
    <w:rsid w:val="00FB12A9"/>
    <w:rsid w:val="00FB3F33"/>
    <w:rsid w:val="00FB43E4"/>
    <w:rsid w:val="00FB4889"/>
    <w:rsid w:val="00FB676C"/>
    <w:rsid w:val="00FB67CC"/>
    <w:rsid w:val="00FB728E"/>
    <w:rsid w:val="00FC0ADE"/>
    <w:rsid w:val="00FC0FF1"/>
    <w:rsid w:val="00FC1FDF"/>
    <w:rsid w:val="00FC3360"/>
    <w:rsid w:val="00FC3E27"/>
    <w:rsid w:val="00FC41A3"/>
    <w:rsid w:val="00FC493B"/>
    <w:rsid w:val="00FC63E5"/>
    <w:rsid w:val="00FD0E54"/>
    <w:rsid w:val="00FD2B71"/>
    <w:rsid w:val="00FD3576"/>
    <w:rsid w:val="00FD52D6"/>
    <w:rsid w:val="00FD56FC"/>
    <w:rsid w:val="00FD678C"/>
    <w:rsid w:val="00FD752B"/>
    <w:rsid w:val="00FD7DD7"/>
    <w:rsid w:val="00FD7EB3"/>
    <w:rsid w:val="00FE033E"/>
    <w:rsid w:val="00FE0D2F"/>
    <w:rsid w:val="00FE31C6"/>
    <w:rsid w:val="00FE4A65"/>
    <w:rsid w:val="00FE4ED8"/>
    <w:rsid w:val="00FE51E8"/>
    <w:rsid w:val="00FE602F"/>
    <w:rsid w:val="00FE7611"/>
    <w:rsid w:val="00FF0769"/>
    <w:rsid w:val="00FF0DB8"/>
    <w:rsid w:val="00FF1A76"/>
    <w:rsid w:val="00FF1C1D"/>
    <w:rsid w:val="00FF3330"/>
    <w:rsid w:val="00FF4080"/>
    <w:rsid w:val="00FF40A5"/>
    <w:rsid w:val="00FF48DA"/>
    <w:rsid w:val="00FF5E19"/>
    <w:rsid w:val="00FF61AD"/>
    <w:rsid w:val="00FF76BD"/>
    <w:rsid w:val="2B9F448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qFormat/>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uiPriority w:val="0"/>
  </w:style>
  <w:style w:type="paragraph" w:styleId="8">
    <w:name w:val="Document Map"/>
    <w:basedOn w:val="1"/>
    <w:link w:val="48"/>
    <w:uiPriority w:val="0"/>
    <w:rPr>
      <w:rFonts w:ascii="宋体"/>
      <w:sz w:val="18"/>
      <w:szCs w:val="18"/>
    </w:rPr>
  </w:style>
  <w:style w:type="paragraph" w:styleId="9">
    <w:name w:val="Body Text 3"/>
    <w:basedOn w:val="1"/>
    <w:uiPriority w:val="0"/>
    <w:pPr>
      <w:spacing w:after="120"/>
    </w:pPr>
    <w:rPr>
      <w:sz w:val="16"/>
      <w:szCs w:val="16"/>
    </w:rPr>
  </w:style>
  <w:style w:type="paragraph" w:styleId="10">
    <w:name w:val="Body Text"/>
    <w:basedOn w:val="1"/>
    <w:uiPriority w:val="0"/>
    <w:pPr>
      <w:ind w:right="56"/>
    </w:pPr>
    <w:rPr>
      <w:b/>
      <w:sz w:val="22"/>
    </w:rPr>
  </w:style>
  <w:style w:type="paragraph" w:styleId="11">
    <w:name w:val="Body Text Indent"/>
    <w:basedOn w:val="1"/>
    <w:uiPriority w:val="0"/>
    <w:pPr>
      <w:spacing w:after="120"/>
      <w:ind w:left="420" w:leftChars="200"/>
    </w:pPr>
  </w:style>
  <w:style w:type="paragraph" w:styleId="12">
    <w:name w:val="toc 3"/>
    <w:basedOn w:val="1"/>
    <w:next w:val="1"/>
    <w:uiPriority w:val="39"/>
    <w:pPr>
      <w:tabs>
        <w:tab w:val="right" w:leader="dot" w:pos="8302"/>
        <w:tab w:val="right" w:leader="dot" w:pos="8835"/>
      </w:tabs>
      <w:spacing w:line="360" w:lineRule="auto"/>
      <w:ind w:left="300" w:leftChars="300"/>
    </w:pPr>
    <w:rPr>
      <w:sz w:val="20"/>
    </w:rPr>
  </w:style>
  <w:style w:type="paragraph" w:styleId="13">
    <w:name w:val="Body Text Indent 2"/>
    <w:basedOn w:val="1"/>
    <w:uiPriority w:val="0"/>
    <w:pPr>
      <w:spacing w:after="120" w:line="480" w:lineRule="auto"/>
      <w:ind w:left="420" w:leftChars="200"/>
    </w:pPr>
  </w:style>
  <w:style w:type="paragraph" w:styleId="14">
    <w:name w:val="Balloon Text"/>
    <w:basedOn w:val="1"/>
    <w:semiHidden/>
    <w:uiPriority w:val="0"/>
    <w:rPr>
      <w:sz w:val="18"/>
      <w:szCs w:val="18"/>
    </w:rPr>
  </w:style>
  <w:style w:type="paragraph" w:styleId="15">
    <w:name w:val="footer"/>
    <w:basedOn w:val="1"/>
    <w:link w:val="39"/>
    <w:uiPriority w:val="99"/>
    <w:pPr>
      <w:tabs>
        <w:tab w:val="center" w:pos="4320"/>
        <w:tab w:val="right" w:pos="8640"/>
      </w:tabs>
    </w:pPr>
  </w:style>
  <w:style w:type="paragraph" w:styleId="16">
    <w:name w:val="header"/>
    <w:basedOn w:val="1"/>
    <w:link w:val="37"/>
    <w:uiPriority w:val="0"/>
    <w:pPr>
      <w:tabs>
        <w:tab w:val="center" w:pos="4320"/>
        <w:tab w:val="right" w:pos="8640"/>
      </w:tabs>
    </w:pPr>
  </w:style>
  <w:style w:type="paragraph" w:styleId="17">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uiPriority w:val="0"/>
    <w:rPr/>
  </w:style>
  <w:style w:type="character" w:styleId="22">
    <w:name w:val="Hyperlink"/>
    <w:uiPriority w:val="99"/>
    <w:rPr>
      <w:color w:val="0000FF"/>
      <w:u w:val="single"/>
    </w:rPr>
  </w:style>
  <w:style w:type="character" w:styleId="23">
    <w:name w:val="annotation reference"/>
    <w:semiHidden/>
    <w:uiPriority w:val="0"/>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uiPriority w:val="0"/>
    <w:pPr>
      <w:textAlignment w:val="auto"/>
    </w:pPr>
    <w:rPr>
      <w:rFonts w:ascii="Arial" w:hAnsi="Arial"/>
      <w:szCs w:val="24"/>
      <w:lang w:val="en-US"/>
    </w:rPr>
  </w:style>
  <w:style w:type="paragraph" w:customStyle="1" w:styleId="28">
    <w:name w:val="Style"/>
    <w:basedOn w:val="1"/>
    <w:uiPriority w:val="0"/>
    <w:pPr>
      <w:textAlignment w:val="auto"/>
    </w:pPr>
    <w:rPr>
      <w:rFonts w:ascii="Arial" w:hAnsi="Arial"/>
      <w:szCs w:val="24"/>
      <w:lang w:val="en-US"/>
    </w:rPr>
  </w:style>
  <w:style w:type="paragraph" w:customStyle="1" w:styleId="29">
    <w:name w:val="正文1"/>
    <w:basedOn w:val="1"/>
    <w:uiPriority w:val="0"/>
    <w:pPr>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Heading"/>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6"/>
    <w:uiPriority w:val="0"/>
    <w:rPr>
      <w:rFonts w:eastAsia="宋体"/>
      <w:sz w:val="24"/>
      <w:lang w:eastAsia="en-US" w:bidi="ar-SA"/>
    </w:rPr>
  </w:style>
  <w:style w:type="character" w:customStyle="1" w:styleId="38">
    <w:name w:val="批注文字 Char"/>
    <w:link w:val="7"/>
    <w:semiHidden/>
    <w:uiPriority w:val="0"/>
    <w:rPr>
      <w:sz w:val="24"/>
      <w:lang w:eastAsia="en-US"/>
    </w:rPr>
  </w:style>
  <w:style w:type="character" w:customStyle="1" w:styleId="39">
    <w:name w:val="页脚 Char"/>
    <w:link w:val="15"/>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uiPriority w:val="0"/>
  </w:style>
  <w:style w:type="character" w:customStyle="1" w:styleId="45">
    <w:name w:val="apple-converted-space"/>
    <w:basedOn w:val="20"/>
    <w:uiPriority w:val="0"/>
    <w:rPr/>
  </w:style>
  <w:style w:type="character" w:customStyle="1" w:styleId="46">
    <w:name w:val="标题 Char"/>
    <w:link w:val="19"/>
    <w:uiPriority w:val="0"/>
    <w:rPr>
      <w:rFonts w:ascii="Calibri Light" w:hAnsi="Calibri Light" w:cs="Times New Roman"/>
      <w:b/>
      <w:bCs/>
      <w:sz w:val="32"/>
      <w:szCs w:val="32"/>
      <w:lang w:eastAsia="en-US"/>
    </w:rPr>
  </w:style>
  <w:style w:type="character" w:customStyle="1" w:styleId="47">
    <w:name w:val="Footer Char"/>
    <w:basedOn w:val="20"/>
    <w:semiHidden/>
    <w:locked/>
    <w:uiPriority w:val="0"/>
    <w:rPr>
      <w:rFonts w:cs="Times New Roman"/>
      <w:sz w:val="18"/>
      <w:szCs w:val="18"/>
    </w:rPr>
  </w:style>
  <w:style w:type="character" w:customStyle="1" w:styleId="48">
    <w:name w:val="文档结构图 Char"/>
    <w:basedOn w:val="20"/>
    <w:link w:val="8"/>
    <w:uiPriority w:val="0"/>
    <w:rPr>
      <w:rFonts w:ascii="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773</Words>
  <Characters>4410</Characters>
  <Lines>36</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2020-04-11T02:00:00Z</dcterms:created>
  <dc:creator>Lilly</dc:creator>
  <cp:lastModifiedBy>汪洋</cp:lastModifiedBy>
  <cp:lastPrinted>2017-06-22T01:53:00Z</cp:lastPrinted>
  <dcterms:modified xsi:type="dcterms:W3CDTF">2020-06-01T06:37:20Z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1603169409</vt:r8>
  </property>
  <property fmtid="{D5CDD505-2E9C-101B-9397-08002B2CF9AE}" pid="3" name="KSOProductBuildVer">
    <vt:lpwstr>2052-9.1.0.4798</vt:lpwstr>
  </property>
</Properties>
</file>