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2717189"/>
      <w:bookmarkStart w:id="1" w:name="_Toc483400307"/>
      <w:bookmarkStart w:id="2" w:name="_Toc484532399"/>
      <w:bookmarkStart w:id="3" w:name="_Toc483227223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/>
          <w:sz w:val="28"/>
          <w:szCs w:val="28"/>
          <w:lang w:eastAsia="zh-CN"/>
        </w:rPr>
        <w:t>中生武汉生物实验室2号楼倒置显微镜（带照相功能）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bookmarkStart w:id="6" w:name="_Toc522107734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6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70061"/>
      <w:bookmarkStart w:id="10" w:name="_Toc482370141"/>
      <w:bookmarkStart w:id="11" w:name="_Toc482370349"/>
      <w:bookmarkStart w:id="12" w:name="_Toc482370757"/>
      <w:bookmarkStart w:id="13" w:name="_Toc482625279"/>
      <w:bookmarkStart w:id="14" w:name="_Toc481702475"/>
      <w:bookmarkStart w:id="15" w:name="_Toc482359936"/>
      <w:bookmarkStart w:id="16" w:name="_Toc482360281"/>
      <w:bookmarkStart w:id="17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中生武汉生物实验室2号楼倒置显微镜（带照相功能）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6"/>
      <w:bookmarkStart w:id="19" w:name="_Toc52210773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 w:ascii="宋体" w:hAnsi="宋体"/>
          <w:bCs/>
          <w:szCs w:val="21"/>
          <w:lang w:eastAsia="zh-CN"/>
        </w:rPr>
        <w:t>中生武汉生物实验室2号楼倒置显微镜（带照相功能）的购买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中国药典2015版</w:t>
      </w:r>
    </w:p>
    <w:permEnd w:id="5"/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《药品生产质量管理规范》（2010年修订版）及附录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《药品G</w:t>
      </w:r>
      <w:r>
        <w:rPr>
          <w:color w:val="000000"/>
          <w:szCs w:val="21"/>
          <w:lang w:eastAsia="zh-CN"/>
        </w:rPr>
        <w:t>MP</w:t>
      </w:r>
      <w:r>
        <w:rPr>
          <w:rFonts w:hint="eastAsia"/>
          <w:color w:val="000000"/>
          <w:szCs w:val="21"/>
          <w:lang w:eastAsia="zh-CN"/>
        </w:rPr>
        <w:t>指南》无菌药品（2011版）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GMP附件1《确认与验证》（2015版）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GAMP5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permStart w:id="6" w:edGrp="everyone"/>
      <w:r>
        <w:rPr>
          <w:iCs/>
          <w:color w:val="000000"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716119"/>
      <w:bookmarkStart w:id="23" w:name="_Toc52210773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="宋体" w:hAnsi="宋体"/>
          <w:color w:val="000000"/>
          <w:szCs w:val="21"/>
          <w:lang w:eastAsia="zh-CN"/>
        </w:rPr>
        <w:t>中生武汉生物实验室2号楼</w:t>
      </w:r>
      <w:r>
        <w:rPr>
          <w:rFonts w:hint="eastAsia" w:ascii="宋体" w:hAnsi="宋体"/>
          <w:szCs w:val="21"/>
          <w:lang w:eastAsia="zh-CN"/>
        </w:rPr>
        <w:t>需要</w:t>
      </w:r>
      <w:r>
        <w:rPr>
          <w:rFonts w:ascii="宋体" w:hAnsi="宋体"/>
          <w:color w:val="000000"/>
          <w:lang w:eastAsia="zh-CN"/>
        </w:rPr>
        <w:t>3</w:t>
      </w:r>
      <w:r>
        <w:rPr>
          <w:rFonts w:hint="eastAsia" w:ascii="宋体" w:hAnsi="宋体"/>
          <w:color w:val="000000"/>
          <w:lang w:eastAsia="zh-CN"/>
        </w:rPr>
        <w:t>台倒置显微镜（带照相功能）主要用于细胞传代、观察细胞病变等实验。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  <w:bookmarkStart w:id="49" w:name="_GoBack"/>
      <w:bookmarkEnd w:id="4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1"/>
            <w:bookmarkStart w:id="26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该倒置显微镜（带照相功能）需分别安装在中生武汉生物实验室2号楼无毒区细胞制备区和有毒负压区。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倒置显微镜（带拍照功能）电源机箱尺寸： 400×280×220（ mm）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整机不超过</w:t>
            </w:r>
            <w:r>
              <w:rPr>
                <w:rFonts w:hint="eastAsia"/>
                <w:color w:val="000000"/>
                <w:lang w:val="en-US" w:eastAsia="zh-CN"/>
              </w:rPr>
              <w:t xml:space="preserve">50 </w:t>
            </w:r>
            <w:r>
              <w:rPr>
                <w:rFonts w:hint="eastAsia"/>
                <w:color w:val="000000"/>
                <w:lang w:eastAsia="zh-CN"/>
              </w:rPr>
              <w:t>kg。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iCs/>
                <w:color w:val="000000"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工作环境湿度：至少包括45%～65%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工作环境洁净级</w:t>
            </w:r>
            <w:r>
              <w:rPr>
                <w:rFonts w:hint="eastAsia"/>
                <w:color w:val="000000"/>
                <w:lang w:eastAsia="zh-CN"/>
              </w:rPr>
              <w:t>别：</w:t>
            </w:r>
            <w:r>
              <w:rPr>
                <w:rFonts w:hint="eastAsia"/>
                <w:color w:val="000000"/>
                <w:lang w:val="en-US" w:eastAsia="zh-CN"/>
              </w:rPr>
              <w:t>C级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iCs/>
                <w:color w:val="000000"/>
                <w:lang w:eastAsia="zh-CN"/>
              </w:rPr>
              <w:t xml:space="preserve">～220±10%V，50±1Hz </w:t>
            </w:r>
            <w:r>
              <w:rPr>
                <w:rFonts w:hint="eastAsia"/>
                <w:iCs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设备外观应端正、整齐，不得有明显的偏歪、毛刺和锈蚀等缺陷。设备材质应防腐蚀、易于清洁。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设备内部表面不得有凹陷、毛刺和锈蚀等缺陷。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 xml:space="preserve">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5"/>
      <w:bookmarkEnd w:id="26"/>
      <w:permEnd w:id="20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107740"/>
      <w:bookmarkStart w:id="28" w:name="_Toc522716121"/>
      <w:r>
        <w:rPr>
          <w:rFonts w:ascii="Times New Roman" w:hAnsi="Times New Roman"/>
          <w:b/>
        </w:rPr>
        <w:t>运行要求</w:t>
      </w:r>
      <w:bookmarkEnd w:id="27"/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1" w:edGrp="everyone"/>
            <w:permEnd w:id="2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1434"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1374"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总放大倍数： 40×—400×（最大可达 640×）。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光学系统：最新全平场OTICS无限远色差校正光学系统。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镜体：平台固定式一体化机架，内置卤钨灯光源， 6V/20W 亮度可调。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目镜：大视野、高远点目镜WF10×/22（视野场），目镜自带调焦功能，目</w:t>
            </w:r>
          </w:p>
          <w:p>
            <w:pPr>
              <w:spacing w:line="276" w:lineRule="auto"/>
              <w:jc w:val="both"/>
              <w:rPr>
                <w:rFonts w:ascii="宋体" w:hAnsi="宋体" w:eastAsia="宋体" w:cs="宋体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镜固定在目镜筒上。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物镜：长工作距离平场消色差物镜；</w:t>
            </w:r>
          </w:p>
          <w:p>
            <w:pPr>
              <w:pStyle w:val="8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LPL4×（选配） LPL10 LPL20 LPL40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8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长工作距离平场相衬物镜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LPL Ph+20 20×相衬环板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粗微调：粗微调同轴，配有限位装置和锁紧装置，调焦行程10mm,细调刻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度0.002mm，低位手轮操作。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镜筒：铰链式三目镜筒， 45°倾斜，同一个三目头上能同时进行20%、 100%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两档转换观察， 80%摄像摄影，可同步进行观察和照相。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物镜转换器： 5 孔，滚珠轴承内定位，有防霉装置。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载物台：机械移动载物台， 96孔板移动尺，托板： 65/54/35mm培养皿托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板，血球计数器托板。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聚光镜：长工作距离聚光镜（可快速拆卸） N.A.0.3，此种聚光镜可实用于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大型培养瓶的观察。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柯拉照明系统 6V/30W 卤素灯（宽电压输入： 100V~240V）。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1463" w:firstLine="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N/A</w:t>
            </w:r>
          </w:p>
        </w:tc>
      </w:tr>
      <w:permEnd w:id="35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625289"/>
      <w:bookmarkStart w:id="32" w:name="_Toc482369815"/>
      <w:bookmarkStart w:id="33" w:name="_Toc482360291"/>
      <w:bookmarkStart w:id="34" w:name="_Toc482359946"/>
      <w:bookmarkStart w:id="35" w:name="_Toc483400317"/>
      <w:bookmarkStart w:id="36" w:name="_Toc483227237"/>
      <w:bookmarkStart w:id="37" w:name="_Toc481702480"/>
      <w:bookmarkStart w:id="38" w:name="_Toc482370767"/>
      <w:bookmarkStart w:id="39" w:name="_Toc482370359"/>
      <w:bookmarkStart w:id="40" w:name="_Toc482370151"/>
      <w:bookmarkStart w:id="41" w:name="_Toc482370071"/>
      <w:bookmarkStart w:id="42" w:name="_Toc482717202"/>
      <w:r>
        <w:rPr>
          <w:rFonts w:ascii="Times New Roman" w:hAnsi="Times New Roman"/>
          <w:b/>
        </w:rPr>
        <w:t>电气、自动控制要求</w:t>
      </w:r>
      <w:bookmarkEnd w:id="2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6" w:edGrp="everyone"/>
            <w:permEnd w:id="3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报警：超温、过载、时间。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采用PWM控制开关电源，功率连续可调。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9" w:edGrp="everyone"/>
            <w:permEnd w:id="3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一体式显示及数据存储：自带800万像素CCD拍照功能， 64G存储机身，方便数据导出； HDMI端口可在屏幕上提供图片浏览；系统中包含有用于PC的徕卡应用套件（ LAS）软件的核心版本。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图像记录可存储、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查询、输</w:t>
            </w:r>
            <w:r>
              <w:rPr>
                <w:rFonts w:hint="eastAsia"/>
                <w:szCs w:val="21"/>
                <w:lang w:eastAsia="zh-CN"/>
              </w:rPr>
              <w:t>出、打印、备份恢复，图片不可修改。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1" w:edGrp="everyone"/>
            <w:permEnd w:id="4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1538" w:firstLine="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3" w:edGrp="everyone"/>
            <w:permEnd w:id="43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1403" w:firstLine="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44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5" w:edGrp="everyone"/>
            <w:permEnd w:id="4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投标文件、合同及订单及设备交付计划表。提交时限：设备开箱验收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图纸：实物图；各种验证、维修等活动所需的电子版及打印版系统布局图、设备尺寸图、设备局部图（与工艺、功能相关的细节图）、注释参考等；</w:t>
            </w:r>
            <w:r>
              <w:rPr>
                <w:szCs w:val="21"/>
                <w:lang w:eastAsia="zh-CN"/>
              </w:rPr>
              <w:t>P&amp;ID</w:t>
            </w:r>
            <w:r>
              <w:rPr>
                <w:rFonts w:hint="eastAsia"/>
                <w:szCs w:val="21"/>
                <w:lang w:eastAsia="zh-CN"/>
              </w:rPr>
              <w:t>图、控制原理图；图纸清单。提交时限：不晚于IQ开始前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零配件、部件、元件清单：包括编号、对应厂家名称、生产地、规格及必要说明。提交时限：不晚于IQ开始前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设备制造文件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：工厂检测报告、材质报告及合格证、出厂合格证、</w:t>
            </w:r>
            <w:r>
              <w:rPr>
                <w:rFonts w:hint="eastAsia"/>
                <w:szCs w:val="21"/>
                <w:lang w:eastAsia="zh-CN"/>
              </w:rPr>
              <w:t>各种标示。提交时限：不晚于IQ开始前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设备操作手册（</w:t>
            </w:r>
            <w:r>
              <w:rPr>
                <w:szCs w:val="21"/>
                <w:lang w:eastAsia="zh-CN"/>
              </w:rPr>
              <w:t>SOP</w:t>
            </w:r>
            <w:r>
              <w:rPr>
                <w:rFonts w:hint="eastAsia"/>
                <w:szCs w:val="21"/>
                <w:lang w:eastAsia="zh-CN"/>
              </w:rPr>
              <w:t>）：语言为中文，应说明校准周期，并能提供校准服务（此项服务可付费）。提交时限：设备开箱验收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校验报告及计量证书。</w:t>
            </w:r>
            <w:r>
              <w:rPr>
                <w:rFonts w:hint="eastAsia"/>
                <w:szCs w:val="21"/>
                <w:lang w:eastAsia="zh-CN"/>
              </w:rPr>
              <w:t>提交时限：不晚于IQ开始前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安全报告。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材料清单及材料证书。提交时限：设备开箱验收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提交时限：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设备交付计划表。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文件具体要求：</w:t>
            </w:r>
          </w:p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）系统相关方案中，应明确本系统的配置、规格，并且通过分析阐述每一个系统环节的必要性；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）标书中明确系统所有组件的品牌、材质、型号，并且注明每一个组件的保修期；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6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7" w:edGrp="everyone"/>
            <w:permEnd w:id="4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846" w:firstLine="0" w:firstLineChars="0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FFFFFF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售后服务必须响应及时，要求设备出现须厂家维修的故障后，应在2</w:t>
            </w:r>
            <w:r>
              <w:rPr>
                <w:rFonts w:ascii="宋体" w:hAnsi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小时工作日内明确答复，当电话沟通无法解决时，须48小时工作日内派人至现场解决。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7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6"/>
      <w:bookmarkStart w:id="48" w:name="_Toc52210774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4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  <w:permStart w:id="58" w:edGrp="everyone"/>
      <w:r>
        <w:rPr>
          <w:rFonts w:hint="eastAsia"/>
          <w:color w:val="4472C4"/>
          <w:szCs w:val="21"/>
          <w:lang w:eastAsia="zh-CN"/>
        </w:rPr>
        <w:t>N/A</w:t>
      </w:r>
      <w:permEnd w:id="58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276D7"/>
    <w:rsid w:val="000303D0"/>
    <w:rsid w:val="00031243"/>
    <w:rsid w:val="00031900"/>
    <w:rsid w:val="00033A9C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6A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3738"/>
    <w:rsid w:val="000A3B1A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830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0FEB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0BCF"/>
    <w:rsid w:val="001B28C8"/>
    <w:rsid w:val="001B4654"/>
    <w:rsid w:val="001C017B"/>
    <w:rsid w:val="001C239E"/>
    <w:rsid w:val="001C2D7E"/>
    <w:rsid w:val="001C78A9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0220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6CBF"/>
    <w:rsid w:val="0034733B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1FBD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2CEB"/>
    <w:rsid w:val="004D48C2"/>
    <w:rsid w:val="004D67B1"/>
    <w:rsid w:val="004D7128"/>
    <w:rsid w:val="004D751D"/>
    <w:rsid w:val="004E05C2"/>
    <w:rsid w:val="004E0B02"/>
    <w:rsid w:val="004E0C0D"/>
    <w:rsid w:val="004E255F"/>
    <w:rsid w:val="004E41AD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28C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189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73E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0FEC"/>
    <w:rsid w:val="00672B86"/>
    <w:rsid w:val="00673031"/>
    <w:rsid w:val="00673EB3"/>
    <w:rsid w:val="00680BE8"/>
    <w:rsid w:val="00686409"/>
    <w:rsid w:val="00686D19"/>
    <w:rsid w:val="0068777F"/>
    <w:rsid w:val="00693018"/>
    <w:rsid w:val="00696214"/>
    <w:rsid w:val="006A0059"/>
    <w:rsid w:val="006A0403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0712"/>
    <w:rsid w:val="007E3532"/>
    <w:rsid w:val="007E488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552C"/>
    <w:rsid w:val="0081636E"/>
    <w:rsid w:val="0082112E"/>
    <w:rsid w:val="00822F2B"/>
    <w:rsid w:val="00823D9A"/>
    <w:rsid w:val="00827EA4"/>
    <w:rsid w:val="008301D6"/>
    <w:rsid w:val="008303DB"/>
    <w:rsid w:val="008305B7"/>
    <w:rsid w:val="00830C78"/>
    <w:rsid w:val="00830FB9"/>
    <w:rsid w:val="008343AE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5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6792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5345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6DDD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734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698B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983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0E5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0566"/>
    <w:rsid w:val="00C34201"/>
    <w:rsid w:val="00C35A38"/>
    <w:rsid w:val="00C35EC9"/>
    <w:rsid w:val="00C36807"/>
    <w:rsid w:val="00C37392"/>
    <w:rsid w:val="00C41545"/>
    <w:rsid w:val="00C4209D"/>
    <w:rsid w:val="00C432B3"/>
    <w:rsid w:val="00C45FF4"/>
    <w:rsid w:val="00C4771E"/>
    <w:rsid w:val="00C47D15"/>
    <w:rsid w:val="00C50279"/>
    <w:rsid w:val="00C505EC"/>
    <w:rsid w:val="00C5165A"/>
    <w:rsid w:val="00C52841"/>
    <w:rsid w:val="00C54FC6"/>
    <w:rsid w:val="00C56F88"/>
    <w:rsid w:val="00C57B06"/>
    <w:rsid w:val="00C57B7E"/>
    <w:rsid w:val="00C60217"/>
    <w:rsid w:val="00C62022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06E"/>
    <w:rsid w:val="00CE77AA"/>
    <w:rsid w:val="00CE7B59"/>
    <w:rsid w:val="00CF352C"/>
    <w:rsid w:val="00CF4570"/>
    <w:rsid w:val="00CF58EE"/>
    <w:rsid w:val="00CF6D95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0A84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6CB5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35E2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46F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2213DAB"/>
    <w:rsid w:val="02614ECB"/>
    <w:rsid w:val="03717053"/>
    <w:rsid w:val="058C5597"/>
    <w:rsid w:val="07BA301D"/>
    <w:rsid w:val="0A4515C4"/>
    <w:rsid w:val="0AD30CD8"/>
    <w:rsid w:val="10295F71"/>
    <w:rsid w:val="11277E8A"/>
    <w:rsid w:val="18720C7B"/>
    <w:rsid w:val="1913366F"/>
    <w:rsid w:val="19211430"/>
    <w:rsid w:val="197272DB"/>
    <w:rsid w:val="19E64ECD"/>
    <w:rsid w:val="1A700999"/>
    <w:rsid w:val="1C505C40"/>
    <w:rsid w:val="1D7E179D"/>
    <w:rsid w:val="1FE95DE0"/>
    <w:rsid w:val="20B76803"/>
    <w:rsid w:val="221674B1"/>
    <w:rsid w:val="245706D7"/>
    <w:rsid w:val="24D53E84"/>
    <w:rsid w:val="298C22E0"/>
    <w:rsid w:val="31C63410"/>
    <w:rsid w:val="31F55F95"/>
    <w:rsid w:val="348270ED"/>
    <w:rsid w:val="371929E1"/>
    <w:rsid w:val="3AD809BF"/>
    <w:rsid w:val="3C9C5473"/>
    <w:rsid w:val="3DCA770B"/>
    <w:rsid w:val="3E8633D0"/>
    <w:rsid w:val="3F707935"/>
    <w:rsid w:val="4354773A"/>
    <w:rsid w:val="436D076A"/>
    <w:rsid w:val="475B20D8"/>
    <w:rsid w:val="494F2C3C"/>
    <w:rsid w:val="4AB50E0D"/>
    <w:rsid w:val="4B255C23"/>
    <w:rsid w:val="51D15B18"/>
    <w:rsid w:val="520C0A86"/>
    <w:rsid w:val="532E7A77"/>
    <w:rsid w:val="53D143B3"/>
    <w:rsid w:val="54A13120"/>
    <w:rsid w:val="5550129B"/>
    <w:rsid w:val="595F3D25"/>
    <w:rsid w:val="5FFC507D"/>
    <w:rsid w:val="617507C1"/>
    <w:rsid w:val="61D36970"/>
    <w:rsid w:val="65E20EDA"/>
    <w:rsid w:val="680977FF"/>
    <w:rsid w:val="68664DBF"/>
    <w:rsid w:val="6B9A2C66"/>
    <w:rsid w:val="6DC63C53"/>
    <w:rsid w:val="6EFB70B2"/>
    <w:rsid w:val="6F8A0932"/>
    <w:rsid w:val="71A13549"/>
    <w:rsid w:val="731E2923"/>
    <w:rsid w:val="75B56073"/>
    <w:rsid w:val="76290466"/>
    <w:rsid w:val="76AB7B0F"/>
    <w:rsid w:val="78827AA1"/>
    <w:rsid w:val="78E65DF2"/>
    <w:rsid w:val="79D057C6"/>
    <w:rsid w:val="7BBA5C94"/>
    <w:rsid w:val="7D695F85"/>
    <w:rsid w:val="7D7C11F4"/>
    <w:rsid w:val="7DF96A0F"/>
    <w:rsid w:val="7F937A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9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0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8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3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4"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36">
    <w:name w:val="_Style 30"/>
    <w:basedOn w:val="1"/>
    <w:next w:val="37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7">
    <w:name w:val="彩色列表 - 着色 11"/>
    <w:basedOn w:val="1"/>
    <w:qFormat/>
    <w:uiPriority w:val="72"/>
    <w:pPr>
      <w:ind w:firstLine="420" w:firstLineChars="200"/>
    </w:pPr>
  </w:style>
  <w:style w:type="character" w:customStyle="1" w:styleId="38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9">
    <w:name w:val="批注文字 字符"/>
    <w:link w:val="7"/>
    <w:semiHidden/>
    <w:uiPriority w:val="0"/>
    <w:rPr>
      <w:sz w:val="24"/>
      <w:lang w:eastAsia="en-US"/>
    </w:rPr>
  </w:style>
  <w:style w:type="character" w:customStyle="1" w:styleId="40">
    <w:name w:val="页脚 字符"/>
    <w:link w:val="14"/>
    <w:qFormat/>
    <w:uiPriority w:val="99"/>
    <w:rPr>
      <w:sz w:val="24"/>
      <w:lang w:eastAsia="en-US"/>
    </w:rPr>
  </w:style>
  <w:style w:type="character" w:customStyle="1" w:styleId="41">
    <w:name w:val="instruction standard blue"/>
    <w:qFormat/>
    <w:uiPriority w:val="1"/>
    <w:rPr>
      <w:rFonts w:cs="Arial"/>
      <w:i/>
      <w:color w:val="0070C0"/>
    </w:rPr>
  </w:style>
  <w:style w:type="character" w:customStyle="1" w:styleId="42">
    <w:name w:val="keyword"/>
    <w:basedOn w:val="19"/>
    <w:qFormat/>
    <w:uiPriority w:val="0"/>
    <w:rPr/>
  </w:style>
  <w:style w:type="character" w:customStyle="1" w:styleId="43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4">
    <w:name w:val="Text Char"/>
    <w:link w:val="34"/>
    <w:locked/>
    <w:uiPriority w:val="0"/>
    <w:rPr>
      <w:sz w:val="24"/>
      <w:lang w:eastAsia="en-US"/>
    </w:rPr>
  </w:style>
  <w:style w:type="character" w:customStyle="1" w:styleId="45">
    <w:name w:val="ordinary-span-edit2"/>
    <w:qFormat/>
    <w:uiPriority w:val="0"/>
  </w:style>
  <w:style w:type="character" w:customStyle="1" w:styleId="46">
    <w:name w:val="apple-converted-space"/>
    <w:basedOn w:val="19"/>
    <w:qFormat/>
    <w:uiPriority w:val="0"/>
    <w:rPr/>
  </w:style>
  <w:style w:type="character" w:customStyle="1" w:styleId="47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8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715</Words>
  <Characters>4082</Characters>
  <Lines>34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2020-02-20T05:41:00Z</dcterms:created>
  <dc:creator>Lilly</dc:creator>
  <cp:lastModifiedBy>汪洋</cp:lastModifiedBy>
  <cp:lastPrinted>2017-06-22T01:53:00Z</cp:lastPrinted>
  <dcterms:modified xsi:type="dcterms:W3CDTF">2020-06-16T01:43:49Z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