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4532399"/>
      <w:bookmarkStart w:id="3" w:name="_Toc483666358"/>
      <w:bookmarkStart w:id="4" w:name="_Toc483400307"/>
    </w:p>
    <w:p>
      <w:pPr>
        <w:spacing w:after="158" w:afterLines="50"/>
        <w:jc w:val="center"/>
        <w:rPr>
          <w:b/>
          <w:sz w:val="28"/>
          <w:szCs w:val="28"/>
          <w:lang w:eastAsia="zh-CN"/>
        </w:rPr>
      </w:pPr>
      <w:permStart w:id="0" w:edGrp="everyone"/>
      <w:r>
        <w:rPr>
          <w:rFonts w:hint="eastAsia"/>
          <w:b/>
          <w:sz w:val="28"/>
          <w:szCs w:val="28"/>
          <w:lang w:eastAsia="zh-CN"/>
        </w:rPr>
        <w:t>疫苗楼流感病毒疫苗车间</w:t>
      </w:r>
    </w:p>
    <w:p>
      <w:pPr>
        <w:spacing w:after="158" w:afterLines="50"/>
        <w:jc w:val="center"/>
        <w:rPr>
          <w:b/>
          <w:szCs w:val="21"/>
          <w:lang w:eastAsia="zh-CN"/>
        </w:rPr>
      </w:pPr>
      <w:r>
        <w:rPr>
          <w:rFonts w:hint="eastAsia"/>
          <w:b/>
          <w:sz w:val="28"/>
          <w:szCs w:val="28"/>
          <w:lang w:eastAsia="zh-CN"/>
        </w:rPr>
        <w:t>灭活</w:t>
      </w:r>
      <w:r>
        <w:rPr>
          <w:b/>
          <w:sz w:val="28"/>
          <w:szCs w:val="28"/>
          <w:lang w:eastAsia="zh-CN"/>
        </w:rPr>
        <w:t>用</w:t>
      </w:r>
      <w:r>
        <w:rPr>
          <w:rFonts w:hint="eastAsia"/>
          <w:b/>
          <w:sz w:val="28"/>
          <w:szCs w:val="28"/>
          <w:lang w:eastAsia="zh-CN"/>
        </w:rPr>
        <w:t>恒温摇床</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rPr>
          <w:lang w:val="en-US" w:eastAsia="zh-CN"/>
        </w:rPr>
      </w:pPr>
      <w:bookmarkStart w:id="5" w:name="_Toc522107734"/>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bookmarkEnd w:id="5"/>
    <w:p>
      <w:pPr>
        <w:pStyle w:val="32"/>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6"/>
        <w:spacing w:before="0" w:line="360" w:lineRule="auto"/>
        <w:ind w:left="357"/>
        <w:jc w:val="left"/>
        <w:rPr>
          <w:szCs w:val="21"/>
          <w:lang w:eastAsia="zh-CN"/>
        </w:rPr>
      </w:pPr>
      <w:bookmarkStart w:id="8" w:name="_Toc482370141"/>
      <w:bookmarkStart w:id="9" w:name="_Toc482359936"/>
      <w:bookmarkStart w:id="10" w:name="_Toc482625279"/>
      <w:bookmarkStart w:id="11" w:name="_Toc481702475"/>
      <w:bookmarkStart w:id="12" w:name="_Toc482369805"/>
      <w:bookmarkStart w:id="13" w:name="_Toc482370349"/>
      <w:bookmarkStart w:id="14" w:name="_Toc482360281"/>
      <w:bookmarkStart w:id="15" w:name="_Toc482370061"/>
      <w:bookmarkStart w:id="16" w:name="_Toc482370757"/>
      <w:r>
        <w:rPr>
          <w:szCs w:val="21"/>
          <w:lang w:eastAsia="zh-CN"/>
        </w:rPr>
        <w:t>本文件的目的是描述武汉生物制品研究所有限责任公司</w:t>
      </w:r>
      <w:permStart w:id="3" w:edGrp="everyone"/>
      <w:r>
        <w:rPr>
          <w:rFonts w:hint="eastAsia"/>
          <w:szCs w:val="21"/>
          <w:lang w:eastAsia="zh-CN"/>
        </w:rPr>
        <w:t>疫苗楼流感病毒疫苗车间灭活用恒温摇床</w:t>
      </w:r>
      <w:permEnd w:id="3"/>
      <w:r>
        <w:rPr>
          <w:szCs w:val="21"/>
          <w:lang w:eastAsia="zh-CN"/>
        </w:rPr>
        <w:t>的用户需求说明（URS），以确保最终用户的需求在项目设计阶段得以实现，并作为后续验证工作的基础。</w:t>
      </w:r>
    </w:p>
    <w:p>
      <w:pPr>
        <w:pStyle w:val="36"/>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6"/>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疫苗楼流感病毒疫苗车间灭活</w:t>
      </w:r>
      <w:r>
        <w:rPr>
          <w:szCs w:val="21"/>
          <w:lang w:eastAsia="zh-CN"/>
        </w:rPr>
        <w:t>用</w:t>
      </w:r>
      <w:r>
        <w:rPr>
          <w:rFonts w:hint="eastAsia"/>
          <w:szCs w:val="21"/>
          <w:lang w:eastAsia="zh-CN"/>
        </w:rPr>
        <w:t>恒温摇床</w:t>
      </w:r>
      <w:permEnd w:id="4"/>
      <w:r>
        <w:rPr>
          <w:szCs w:val="21"/>
          <w:lang w:eastAsia="zh-CN"/>
        </w:rPr>
        <w:t>。</w:t>
      </w:r>
      <w:bookmarkEnd w:id="8"/>
      <w:bookmarkEnd w:id="9"/>
      <w:bookmarkEnd w:id="10"/>
      <w:bookmarkEnd w:id="11"/>
      <w:bookmarkEnd w:id="12"/>
      <w:bookmarkEnd w:id="13"/>
      <w:bookmarkEnd w:id="14"/>
      <w:bookmarkEnd w:id="15"/>
      <w:bookmarkEnd w:id="16"/>
    </w:p>
    <w:p>
      <w:pPr>
        <w:pStyle w:val="36"/>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6"/>
        <w:numPr>
          <w:ilvl w:val="0"/>
          <w:numId w:val="4"/>
        </w:numPr>
        <w:spacing w:before="0" w:line="360" w:lineRule="auto"/>
        <w:jc w:val="left"/>
        <w:rPr>
          <w:color w:val="000000"/>
          <w:szCs w:val="21"/>
          <w:lang w:eastAsia="zh-CN"/>
        </w:rPr>
      </w:pPr>
      <w:r>
        <w:rPr>
          <w:color w:val="000000"/>
          <w:szCs w:val="21"/>
          <w:lang w:eastAsia="zh-CN"/>
        </w:rPr>
        <w:t>GMP法规指南和SOP</w:t>
      </w:r>
    </w:p>
    <w:p>
      <w:pPr>
        <w:pStyle w:val="36"/>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6"/>
        <w:numPr>
          <w:ilvl w:val="0"/>
          <w:numId w:val="5"/>
        </w:numPr>
        <w:spacing w:before="0" w:line="360" w:lineRule="auto"/>
        <w:ind w:left="777"/>
        <w:jc w:val="left"/>
        <w:rPr>
          <w:i/>
          <w:color w:val="4472C4"/>
          <w:szCs w:val="21"/>
          <w:lang w:eastAsia="zh-CN"/>
        </w:rPr>
      </w:pPr>
      <w:permStart w:id="5" w:edGrp="everyone"/>
      <w:r>
        <w:rPr>
          <w:rFonts w:hint="eastAsia"/>
          <w:szCs w:val="21"/>
        </w:rPr>
        <w:t>中国药典</w:t>
      </w:r>
      <w:r>
        <w:rPr>
          <w:rFonts w:hint="eastAsia"/>
          <w:szCs w:val="21"/>
          <w:lang w:eastAsia="zh-CN"/>
        </w:rPr>
        <w:t>2015年</w:t>
      </w:r>
      <w:r>
        <w:rPr>
          <w:rFonts w:hint="eastAsia"/>
          <w:szCs w:val="21"/>
        </w:rPr>
        <w:t>版</w:t>
      </w:r>
    </w:p>
    <w:p>
      <w:pPr>
        <w:pStyle w:val="36"/>
        <w:numPr>
          <w:ilvl w:val="0"/>
          <w:numId w:val="5"/>
        </w:numPr>
        <w:spacing w:before="0" w:line="360" w:lineRule="auto"/>
        <w:ind w:left="777"/>
        <w:jc w:val="left"/>
        <w:rPr>
          <w:i/>
          <w:color w:val="4472C4"/>
          <w:szCs w:val="21"/>
          <w:lang w:eastAsia="zh-CN"/>
        </w:rPr>
      </w:pPr>
      <w:r>
        <w:rPr>
          <w:szCs w:val="21"/>
        </w:rPr>
        <w:t xml:space="preserve">ASME BPE—2009 </w:t>
      </w:r>
      <w:r>
        <w:rPr>
          <w:rFonts w:hint="eastAsia"/>
          <w:szCs w:val="21"/>
        </w:rPr>
        <w:t>生物加工设备</w:t>
      </w:r>
    </w:p>
    <w:p>
      <w:pPr>
        <w:pStyle w:val="36"/>
        <w:numPr>
          <w:ilvl w:val="0"/>
          <w:numId w:val="5"/>
        </w:numPr>
        <w:spacing w:before="0" w:line="360" w:lineRule="auto"/>
        <w:ind w:left="777"/>
        <w:jc w:val="left"/>
        <w:rPr>
          <w:i/>
          <w:color w:val="4472C4"/>
          <w:szCs w:val="21"/>
          <w:lang w:eastAsia="zh-CN"/>
        </w:rPr>
      </w:pPr>
      <w:r>
        <w:rPr>
          <w:rFonts w:hint="eastAsia"/>
          <w:szCs w:val="21"/>
          <w:lang w:eastAsia="zh-CN"/>
        </w:rPr>
        <w:t>国家标准及欧盟现行版</w:t>
      </w:r>
      <w:r>
        <w:rPr>
          <w:szCs w:val="21"/>
          <w:lang w:eastAsia="zh-CN"/>
        </w:rPr>
        <w:t>GMP</w:t>
      </w:r>
      <w:r>
        <w:rPr>
          <w:rFonts w:hint="eastAsia"/>
          <w:szCs w:val="21"/>
          <w:lang w:eastAsia="zh-CN"/>
        </w:rPr>
        <w:t>相关法规要求和准则</w:t>
      </w:r>
    </w:p>
    <w:p>
      <w:pPr>
        <w:pStyle w:val="36"/>
        <w:numPr>
          <w:ilvl w:val="0"/>
          <w:numId w:val="5"/>
        </w:numPr>
        <w:spacing w:before="0" w:line="360" w:lineRule="auto"/>
        <w:ind w:left="777"/>
        <w:jc w:val="left"/>
        <w:rPr>
          <w:i/>
          <w:color w:val="000000"/>
          <w:szCs w:val="21"/>
          <w:lang w:eastAsia="zh-CN"/>
        </w:rPr>
      </w:pPr>
      <w:r>
        <w:rPr>
          <w:rFonts w:hint="eastAsia"/>
          <w:color w:val="000000"/>
          <w:szCs w:val="21"/>
          <w:lang w:eastAsia="zh-CN"/>
        </w:rPr>
        <w:t>《药品生产质量管理规范》（2</w:t>
      </w:r>
      <w:r>
        <w:rPr>
          <w:color w:val="000000"/>
          <w:szCs w:val="21"/>
          <w:lang w:eastAsia="zh-CN"/>
        </w:rPr>
        <w:t>010</w:t>
      </w:r>
      <w:r>
        <w:rPr>
          <w:rFonts w:hint="eastAsia"/>
          <w:color w:val="000000"/>
          <w:szCs w:val="21"/>
          <w:lang w:eastAsia="zh-CN"/>
        </w:rPr>
        <w:t>修订版）</w:t>
      </w:r>
    </w:p>
    <w:permEnd w:id="5"/>
    <w:p>
      <w:pPr>
        <w:pStyle w:val="36"/>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6"/>
        <w:numPr>
          <w:ilvl w:val="0"/>
          <w:numId w:val="5"/>
        </w:numPr>
        <w:spacing w:before="0" w:line="360" w:lineRule="auto"/>
        <w:ind w:left="777"/>
        <w:jc w:val="left"/>
        <w:rPr>
          <w:i/>
          <w:color w:val="0070C0"/>
          <w:szCs w:val="21"/>
          <w:lang w:eastAsia="zh-CN"/>
        </w:rPr>
      </w:pPr>
      <w:permStart w:id="6" w:edGrp="everyone"/>
      <w:r>
        <w:rPr>
          <w:rFonts w:hint="eastAsia"/>
          <w:szCs w:val="21"/>
          <w:lang w:eastAsia="zh-CN"/>
        </w:rPr>
        <w:t>《现场设备、工业管道焊接工程施工及验收规范》</w:t>
      </w:r>
      <w:r>
        <w:rPr>
          <w:rFonts w:hint="eastAsia"/>
          <w:bCs/>
          <w:szCs w:val="21"/>
          <w:lang w:eastAsia="zh-CN"/>
        </w:rPr>
        <w:t>（</w:t>
      </w:r>
      <w:r>
        <w:rPr>
          <w:bCs/>
          <w:szCs w:val="21"/>
          <w:lang w:eastAsia="zh-CN"/>
        </w:rPr>
        <w:t>GB50236-98</w:t>
      </w:r>
      <w:r>
        <w:rPr>
          <w:rFonts w:hint="eastAsia"/>
          <w:bCs/>
          <w:szCs w:val="21"/>
          <w:lang w:eastAsia="zh-CN"/>
        </w:rPr>
        <w:t>）</w:t>
      </w:r>
    </w:p>
    <w:permEnd w:id="6"/>
    <w:p>
      <w:pPr>
        <w:pStyle w:val="36"/>
        <w:spacing w:before="0" w:line="360" w:lineRule="auto"/>
        <w:ind w:left="357"/>
        <w:jc w:val="left"/>
        <w:rPr>
          <w:i/>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21" w:name="_Toc522716119"/>
      <w:bookmarkStart w:id="22" w:name="_Toc522107739"/>
      <w:permStart w:id="7" w:edGrp="everyone"/>
      <w:permEnd w:id="7"/>
      <w:bookmarkStart w:id="48" w:name="_GoBack"/>
      <w:bookmarkEnd w:id="48"/>
      <w:r>
        <w:rPr>
          <w:rFonts w:ascii="Times New Roman" w:hAnsi="Times New Roman"/>
          <w:b/>
        </w:rPr>
        <w:t>系统描述</w:t>
      </w:r>
      <w:bookmarkEnd w:id="21"/>
      <w:bookmarkEnd w:id="22"/>
    </w:p>
    <w:p>
      <w:pPr>
        <w:pStyle w:val="36"/>
        <w:spacing w:before="0" w:line="360" w:lineRule="auto"/>
        <w:ind w:left="357"/>
        <w:jc w:val="left"/>
        <w:rPr>
          <w:i/>
          <w:color w:val="4472C4"/>
          <w:szCs w:val="21"/>
          <w:lang w:eastAsia="zh-CN"/>
        </w:rPr>
      </w:pPr>
      <w:permStart w:id="8" w:edGrp="everyone"/>
      <w:r>
        <w:rPr>
          <w:rFonts w:hint="eastAsia" w:ascii="宋体" w:hAnsi="宋体"/>
          <w:color w:val="000000"/>
          <w:sz w:val="24"/>
          <w:lang w:eastAsia="zh-CN"/>
        </w:rPr>
        <w:t>疫苗楼流感病毒疫苗车间需要购买</w:t>
      </w:r>
      <w:r>
        <w:rPr>
          <w:rFonts w:hint="eastAsia" w:ascii="宋体" w:hAnsi="宋体"/>
          <w:color w:val="000000"/>
          <w:sz w:val="24"/>
          <w:lang w:val="en-US" w:eastAsia="zh-CN"/>
        </w:rPr>
        <w:t>1</w:t>
      </w:r>
      <w:r>
        <w:rPr>
          <w:rFonts w:hint="eastAsia" w:ascii="宋体" w:hAnsi="宋体"/>
          <w:color w:val="000000"/>
          <w:sz w:val="24"/>
          <w:lang w:eastAsia="zh-CN"/>
        </w:rPr>
        <w:t>个恒温摇床，</w:t>
      </w:r>
      <w:r>
        <w:rPr>
          <w:rFonts w:hint="eastAsia" w:ascii="宋体" w:hAnsi="宋体"/>
          <w:sz w:val="24"/>
          <w:lang w:eastAsia="zh-CN"/>
        </w:rPr>
        <w:t>用于流感病毒裂解疫苗病毒层析液的灭活。</w:t>
      </w:r>
      <w:permEnd w:id="8"/>
    </w:p>
    <w:p>
      <w:pPr>
        <w:pStyle w:val="32"/>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2"/>
        <w:spacing w:after="158" w:afterLines="50"/>
        <w:ind w:left="425" w:firstLine="0" w:firstLineChars="0"/>
        <w:rPr>
          <w:rFonts w:ascii="Times New Roman" w:hAnsi="Times New Roman"/>
          <w:szCs w:val="21"/>
        </w:rPr>
      </w:pPr>
      <w:permStart w:id="9" w:edGrp="everyone"/>
      <w:permEnd w:id="9"/>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45"/>
        <w:gridCol w:w="25"/>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4" w:name="OLE_LINK2"/>
            <w:bookmarkStart w:id="25" w:name="OLE_LINK1"/>
            <w:r>
              <w:rPr>
                <w:b/>
                <w:szCs w:val="21"/>
              </w:rPr>
              <w:t>编号</w:t>
            </w:r>
          </w:p>
        </w:tc>
        <w:tc>
          <w:tcPr>
            <w:tcW w:w="6970" w:type="dxa"/>
            <w:gridSpan w:val="2"/>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0" w:edGrp="everyone"/>
          </w:p>
        </w:tc>
        <w:tc>
          <w:tcPr>
            <w:tcW w:w="6970" w:type="dxa"/>
            <w:gridSpan w:val="2"/>
            <w:vAlign w:val="center"/>
          </w:tcPr>
          <w:p>
            <w:pPr>
              <w:spacing w:line="276" w:lineRule="auto"/>
              <w:jc w:val="both"/>
              <w:rPr>
                <w:i/>
                <w:color w:val="0070C0"/>
                <w:szCs w:val="21"/>
                <w:lang w:eastAsia="zh-CN"/>
              </w:rPr>
            </w:pPr>
            <w:r>
              <w:rPr>
                <w:rFonts w:hint="eastAsia"/>
                <w:lang w:eastAsia="zh-CN"/>
              </w:rPr>
              <w:t>疫苗楼流感病毒疫苗车间灭活间</w:t>
            </w:r>
          </w:p>
        </w:tc>
        <w:tc>
          <w:tcPr>
            <w:tcW w:w="2082" w:type="dxa"/>
            <w:vAlign w:val="center"/>
          </w:tcPr>
          <w:p>
            <w:pPr>
              <w:jc w:val="center"/>
              <w:rPr>
                <w:szCs w:val="21"/>
                <w:lang w:val="en-US" w:eastAsia="zh-CN"/>
              </w:rPr>
            </w:pPr>
            <w:r>
              <w:rPr>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1" w:edGrp="everyone"/>
          </w:p>
        </w:tc>
        <w:tc>
          <w:tcPr>
            <w:tcW w:w="6970" w:type="dxa"/>
            <w:gridSpan w:val="2"/>
            <w:vAlign w:val="center"/>
          </w:tcPr>
          <w:p>
            <w:pPr>
              <w:spacing w:line="276" w:lineRule="auto"/>
              <w:jc w:val="both"/>
              <w:rPr>
                <w:i/>
                <w:szCs w:val="21"/>
                <w:lang w:eastAsia="zh-CN"/>
              </w:rPr>
            </w:pPr>
            <w:r>
              <w:rPr>
                <w:rFonts w:hint="eastAsia" w:ascii="宋体" w:hAnsi="宋体"/>
                <w:szCs w:val="21"/>
                <w:lang w:eastAsia="zh-CN"/>
              </w:rPr>
              <w:t>可放置并固定2个50L塑料桶</w:t>
            </w:r>
          </w:p>
        </w:tc>
        <w:tc>
          <w:tcPr>
            <w:tcW w:w="2082" w:type="dxa"/>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2" w:edGrp="everyone"/>
          </w:p>
        </w:tc>
        <w:tc>
          <w:tcPr>
            <w:tcW w:w="6970" w:type="dxa"/>
            <w:gridSpan w:val="2"/>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082" w:type="dxa"/>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7D7D7"/>
            <w:vAlign w:val="center"/>
          </w:tcPr>
          <w:p>
            <w:pPr>
              <w:pStyle w:val="32"/>
              <w:tabs>
                <w:tab w:val="center" w:pos="535"/>
              </w:tabs>
              <w:ind w:left="1310" w:firstLine="0" w:firstLineChars="0"/>
              <w:rPr>
                <w:rFonts w:ascii="Times New Roman" w:hAnsi="Times New Roman"/>
                <w:szCs w:val="21"/>
                <w:highlight w:val="lightGray"/>
              </w:rPr>
            </w:pPr>
            <w:permStart w:id="13" w:edGrp="everyone"/>
            <w:r>
              <w:rPr>
                <w:rFonts w:hint="eastAsia" w:ascii="Times New Roman" w:hAnsi="Times New Roman"/>
                <w:szCs w:val="21"/>
                <w:highlight w:val="lightGray"/>
              </w:rPr>
              <w:t>11</w:t>
            </w:r>
          </w:p>
        </w:tc>
        <w:tc>
          <w:tcPr>
            <w:tcW w:w="9052" w:type="dxa"/>
            <w:gridSpan w:val="3"/>
            <w:vAlign w:val="center"/>
          </w:tcPr>
          <w:p>
            <w:pPr>
              <w:jc w:val="center"/>
              <w:rPr>
                <w:szCs w:val="21"/>
                <w:lang w:eastAsia="zh-CN"/>
              </w:rPr>
            </w:pPr>
            <w:r>
              <w:rPr>
                <w:rFonts w:ascii="宋体" w:hAnsi="宋体"/>
                <w:szCs w:val="21"/>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7D7D7"/>
            <w:vAlign w:val="center"/>
          </w:tcPr>
          <w:p>
            <w:pPr>
              <w:pStyle w:val="32"/>
              <w:ind w:left="1265" w:firstLine="0" w:firstLineChars="0"/>
              <w:rPr>
                <w:rFonts w:ascii="Times New Roman" w:hAnsi="Times New Roman"/>
                <w:szCs w:val="21"/>
              </w:rPr>
            </w:pPr>
            <w:permStart w:id="14" w:edGrp="everyone"/>
          </w:p>
        </w:tc>
        <w:tc>
          <w:tcPr>
            <w:tcW w:w="9052" w:type="dxa"/>
            <w:gridSpan w:val="3"/>
            <w:vAlign w:val="center"/>
          </w:tcPr>
          <w:p>
            <w:pPr>
              <w:jc w:val="center"/>
              <w:rPr>
                <w:szCs w:val="21"/>
                <w:lang w:eastAsia="zh-CN"/>
              </w:rPr>
            </w:pPr>
            <w:r>
              <w:rPr>
                <w:rFonts w:ascii="宋体" w:hAnsi="宋体"/>
                <w:szCs w:val="21"/>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5" w:edGrp="everyone"/>
          </w:p>
        </w:tc>
        <w:tc>
          <w:tcPr>
            <w:tcW w:w="6970" w:type="dxa"/>
            <w:gridSpan w:val="2"/>
            <w:vAlign w:val="center"/>
          </w:tcPr>
          <w:p>
            <w:pPr>
              <w:spacing w:line="276" w:lineRule="auto"/>
              <w:jc w:val="both"/>
              <w:rPr>
                <w:szCs w:val="21"/>
                <w:lang w:eastAsia="zh-CN"/>
              </w:rPr>
            </w:pPr>
            <w:r>
              <w:rPr>
                <w:color w:val="000000"/>
                <w:lang w:eastAsia="zh-CN"/>
              </w:rPr>
              <w:t>温度：能适应</w:t>
            </w:r>
            <w:r>
              <w:rPr>
                <w:rFonts w:hint="eastAsia" w:ascii="宋体" w:hAnsi="宋体" w:eastAsia="宋体" w:cs="宋体"/>
                <w:lang w:eastAsia="zh-CN"/>
              </w:rPr>
              <w:t>1</w:t>
            </w:r>
            <w:r>
              <w:rPr>
                <w:rFonts w:hint="eastAsia" w:ascii="宋体" w:hAnsi="宋体" w:eastAsia="宋体" w:cs="宋体"/>
                <w:lang w:val="en-US" w:eastAsia="zh-CN"/>
              </w:rPr>
              <w:t>8</w:t>
            </w:r>
            <w:r>
              <w:rPr>
                <w:rFonts w:hint="eastAsia" w:ascii="宋体" w:hAnsi="宋体" w:eastAsia="宋体" w:cs="宋体"/>
                <w:lang w:eastAsia="zh-CN"/>
              </w:rPr>
              <w:t>℃～</w:t>
            </w:r>
            <w:r>
              <w:rPr>
                <w:rFonts w:hint="eastAsia" w:ascii="宋体" w:hAnsi="宋体" w:eastAsia="宋体" w:cs="宋体"/>
                <w:lang w:val="en-US" w:eastAsia="zh-CN"/>
              </w:rPr>
              <w:t>26</w:t>
            </w:r>
            <w:r>
              <w:rPr>
                <w:rFonts w:hint="eastAsia" w:ascii="宋体" w:hAnsi="宋体" w:eastAsia="宋体" w:cs="宋体"/>
                <w:lang w:eastAsia="zh-CN"/>
              </w:rPr>
              <w:t>℃</w:t>
            </w:r>
            <w:r>
              <w:rPr>
                <w:color w:val="000000"/>
                <w:lang w:eastAsia="zh-CN"/>
              </w:rPr>
              <w:t>环境</w:t>
            </w:r>
          </w:p>
        </w:tc>
        <w:tc>
          <w:tcPr>
            <w:tcW w:w="2082"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6" w:edGrp="everyone"/>
          </w:p>
        </w:tc>
        <w:tc>
          <w:tcPr>
            <w:tcW w:w="6970" w:type="dxa"/>
            <w:gridSpan w:val="2"/>
            <w:vAlign w:val="center"/>
          </w:tcPr>
          <w:p>
            <w:pPr>
              <w:spacing w:line="276" w:lineRule="auto"/>
              <w:jc w:val="both"/>
              <w:rPr>
                <w:szCs w:val="21"/>
                <w:lang w:eastAsia="zh-CN"/>
              </w:rPr>
            </w:pPr>
            <w:r>
              <w:rPr>
                <w:color w:val="000000"/>
                <w:lang w:eastAsia="zh-CN"/>
              </w:rPr>
              <w:t>工作环境湿度：至少包括</w:t>
            </w:r>
            <w:r>
              <w:rPr>
                <w:lang w:eastAsia="zh-CN"/>
              </w:rPr>
              <w:t>45%～65%</w:t>
            </w:r>
          </w:p>
        </w:tc>
        <w:tc>
          <w:tcPr>
            <w:tcW w:w="2082"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7" w:edGrp="everyone"/>
          </w:p>
        </w:tc>
        <w:tc>
          <w:tcPr>
            <w:tcW w:w="6970" w:type="dxa"/>
            <w:gridSpan w:val="2"/>
            <w:vAlign w:val="center"/>
          </w:tcPr>
          <w:p>
            <w:pPr>
              <w:spacing w:line="276" w:lineRule="auto"/>
              <w:jc w:val="both"/>
              <w:rPr>
                <w:color w:val="000000"/>
                <w:lang w:eastAsia="zh-CN"/>
              </w:rPr>
            </w:pPr>
            <w:r>
              <w:rPr>
                <w:color w:val="000000"/>
                <w:lang w:eastAsia="zh-CN"/>
              </w:rPr>
              <w:t>工作环境洁净级别：</w:t>
            </w:r>
            <w:r>
              <w:rPr>
                <w:rFonts w:ascii="宋体" w:hAnsi="宋体"/>
                <w:sz w:val="24"/>
                <w:lang w:eastAsia="zh-CN"/>
              </w:rPr>
              <w:t xml:space="preserve"> C</w:t>
            </w:r>
            <w:r>
              <w:rPr>
                <w:rFonts w:hint="eastAsia" w:ascii="宋体" w:hAnsi="宋体"/>
                <w:sz w:val="24"/>
                <w:lang w:eastAsia="zh-CN"/>
              </w:rPr>
              <w:t>级</w:t>
            </w:r>
          </w:p>
        </w:tc>
        <w:tc>
          <w:tcPr>
            <w:tcW w:w="2082" w:type="dxa"/>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8" w:edGrp="everyone"/>
          </w:p>
        </w:tc>
        <w:tc>
          <w:tcPr>
            <w:tcW w:w="6945" w:type="dxa"/>
            <w:vAlign w:val="bottom"/>
          </w:tcPr>
          <w:p>
            <w:pPr>
              <w:pStyle w:val="8"/>
              <w:spacing w:line="360" w:lineRule="auto"/>
              <w:jc w:val="both"/>
              <w:rPr>
                <w:sz w:val="24"/>
                <w:lang w:eastAsia="zh-CN"/>
              </w:rPr>
            </w:pPr>
            <w:r>
              <w:rPr>
                <w:rFonts w:hint="eastAsia"/>
                <w:color w:val="000000"/>
                <w:sz w:val="21"/>
                <w:szCs w:val="20"/>
                <w:lang w:eastAsia="zh-CN"/>
              </w:rPr>
              <w:t>能匹配我公司交流电电源：</w:t>
            </w:r>
            <w:r>
              <w:rPr>
                <w:color w:val="000000"/>
                <w:sz w:val="21"/>
                <w:szCs w:val="20"/>
                <w:lang w:eastAsia="zh-CN"/>
              </w:rPr>
              <w:t>220V</w:t>
            </w:r>
            <w:r>
              <w:rPr>
                <w:rFonts w:hint="eastAsia"/>
                <w:color w:val="000000"/>
                <w:sz w:val="21"/>
                <w:szCs w:val="20"/>
                <w:lang w:eastAsia="zh-CN"/>
              </w:rPr>
              <w:t>，</w:t>
            </w:r>
            <w:r>
              <w:rPr>
                <w:color w:val="000000"/>
                <w:sz w:val="21"/>
                <w:szCs w:val="20"/>
                <w:lang w:eastAsia="zh-CN"/>
              </w:rPr>
              <w:t>50Hz</w:t>
            </w:r>
          </w:p>
        </w:tc>
        <w:tc>
          <w:tcPr>
            <w:tcW w:w="2107" w:type="dxa"/>
            <w:gridSpan w:val="2"/>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9" w:edGrp="everyone"/>
          </w:p>
        </w:tc>
        <w:tc>
          <w:tcPr>
            <w:tcW w:w="6970" w:type="dxa"/>
            <w:gridSpan w:val="2"/>
            <w:vAlign w:val="center"/>
          </w:tcPr>
          <w:p>
            <w:pPr>
              <w:pStyle w:val="8"/>
              <w:rPr>
                <w:rFonts w:ascii="宋体" w:hAnsi="宋体"/>
                <w:iCs/>
                <w:color w:val="000000"/>
                <w:sz w:val="21"/>
                <w:szCs w:val="21"/>
                <w:lang w:eastAsia="zh-CN"/>
              </w:rPr>
            </w:pPr>
            <w:r>
              <w:rPr>
                <w:rFonts w:hint="eastAsia" w:ascii="宋体" w:hAnsi="宋体"/>
                <w:color w:val="000000"/>
                <w:sz w:val="21"/>
                <w:szCs w:val="21"/>
                <w:lang w:eastAsia="zh-CN"/>
              </w:rPr>
              <w:t>设备外观应端正、整齐，不得有明显的偏歪、毛刺和锈蚀等缺陷。</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color w:val="000000"/>
                <w:sz w:val="21"/>
                <w:szCs w:val="21"/>
                <w:lang w:eastAsia="zh-CN"/>
              </w:rPr>
            </w:pPr>
            <w:r>
              <w:rPr>
                <w:rFonts w:hint="eastAsia" w:ascii="宋体" w:hAnsi="宋体"/>
                <w:color w:val="000000"/>
                <w:sz w:val="21"/>
                <w:szCs w:val="21"/>
                <w:lang w:eastAsia="zh-CN"/>
              </w:rPr>
              <w:t>设备内部表面不得有凹陷、毛刺和锈蚀等缺陷。</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rPr>
                <w:rFonts w:ascii="宋体" w:hAnsi="宋体"/>
                <w:color w:val="000000"/>
                <w:szCs w:val="21"/>
                <w:lang w:val="en-US" w:eastAsia="zh-CN"/>
              </w:rPr>
            </w:pPr>
            <w:r>
              <w:rPr>
                <w:rFonts w:hint="eastAsia" w:ascii="宋体" w:hAnsi="宋体"/>
                <w:color w:val="000000"/>
                <w:szCs w:val="21"/>
                <w:lang w:eastAsia="zh-CN"/>
              </w:rPr>
              <w:t>设备内部表面应防腐蚀、易于清洁，</w:t>
            </w:r>
            <w:r>
              <w:rPr>
                <w:rFonts w:hint="eastAsia" w:ascii="微软雅黑" w:hAnsi="微软雅黑" w:eastAsia="微软雅黑"/>
                <w:color w:val="111111"/>
                <w:szCs w:val="21"/>
                <w:shd w:val="clear" w:color="auto" w:fill="FFFFFF"/>
                <w:lang w:eastAsia="zh-CN"/>
              </w:rPr>
              <w:t> </w:t>
            </w:r>
            <w:r>
              <w:rPr>
                <w:rFonts w:hint="eastAsia" w:ascii="宋体" w:hAnsi="宋体"/>
                <w:color w:val="000000"/>
                <w:szCs w:val="21"/>
                <w:lang w:eastAsia="zh-CN"/>
              </w:rPr>
              <w:t>仪器内部可清洗，特别是旋转平台易拆卸易清洗</w:t>
            </w:r>
            <w:r>
              <w:rPr>
                <w:rFonts w:hint="eastAsia" w:ascii="宋体" w:hAnsi="宋体"/>
                <w:color w:val="000000"/>
                <w:szCs w:val="21"/>
                <w:lang w:val="en-US" w:eastAsia="zh-CN"/>
              </w:rPr>
              <w:t>。</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i/>
                <w:color w:val="000000"/>
                <w:sz w:val="21"/>
                <w:szCs w:val="21"/>
                <w:lang w:eastAsia="zh-CN"/>
              </w:rPr>
            </w:pPr>
            <w:r>
              <w:rPr>
                <w:rFonts w:hint="eastAsia" w:ascii="宋体" w:hAnsi="宋体"/>
                <w:color w:val="000000"/>
                <w:sz w:val="21"/>
                <w:szCs w:val="21"/>
                <w:lang w:eastAsia="zh-CN"/>
              </w:rPr>
              <w:t>恒温摇床</w:t>
            </w:r>
            <w:r>
              <w:rPr>
                <w:rFonts w:hint="eastAsia" w:ascii="宋体" w:hAnsi="宋体"/>
                <w:sz w:val="21"/>
                <w:szCs w:val="21"/>
                <w:lang w:eastAsia="zh-CN"/>
              </w:rPr>
              <w:t>要求采用304或3</w:t>
            </w:r>
            <w:r>
              <w:rPr>
                <w:rFonts w:ascii="宋体" w:hAnsi="宋体"/>
                <w:sz w:val="21"/>
                <w:szCs w:val="21"/>
                <w:lang w:eastAsia="zh-CN"/>
              </w:rPr>
              <w:t>16L</w:t>
            </w:r>
            <w:r>
              <w:rPr>
                <w:rFonts w:hint="eastAsia" w:ascii="宋体" w:hAnsi="宋体"/>
                <w:sz w:val="21"/>
                <w:szCs w:val="21"/>
                <w:lang w:eastAsia="zh-CN"/>
              </w:rPr>
              <w:t>材质不锈钢。</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spacing w:line="276" w:lineRule="auto"/>
              <w:jc w:val="both"/>
              <w:rPr>
                <w:rFonts w:ascii="宋体" w:hAnsi="宋体" w:eastAsia="宋体" w:cs="宋体"/>
                <w:szCs w:val="21"/>
                <w:lang w:eastAsia="zh-CN"/>
              </w:rPr>
            </w:pPr>
            <w:r>
              <w:rPr>
                <w:rFonts w:hint="eastAsia" w:ascii="宋体" w:hAnsi="宋体" w:eastAsia="宋体" w:cs="宋体"/>
                <w:szCs w:val="21"/>
                <w:lang w:val="en-US" w:eastAsia="zh-CN"/>
              </w:rPr>
              <w:t>标识</w:t>
            </w:r>
            <w:r>
              <w:rPr>
                <w:rFonts w:hint="eastAsia" w:ascii="宋体" w:hAnsi="宋体" w:eastAsia="宋体" w:cs="宋体"/>
                <w:szCs w:val="21"/>
                <w:lang w:eastAsia="zh-CN"/>
              </w:rPr>
              <w:t>：至少应有以下永久贴牢和清楚易认的标识：</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（1）制造/供应单位；</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（2）产品注册号；</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（3）型号；</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（4）生产日期或编号；</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（5）对设备必要的说明；</w:t>
            </w:r>
          </w:p>
          <w:p>
            <w:pPr>
              <w:pStyle w:val="8"/>
              <w:spacing w:line="276" w:lineRule="auto"/>
              <w:rPr>
                <w:color w:val="0070C0"/>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6</w:t>
            </w:r>
            <w:r>
              <w:rPr>
                <w:rFonts w:hint="eastAsia" w:ascii="宋体" w:hAnsi="宋体" w:eastAsia="宋体" w:cs="宋体"/>
                <w:sz w:val="21"/>
                <w:szCs w:val="21"/>
              </w:rPr>
              <w:t>）安全标识。</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spacing w:line="276" w:lineRule="auto"/>
              <w:jc w:val="both"/>
              <w:rPr>
                <w:rFonts w:ascii="宋体" w:hAnsi="宋体" w:eastAsia="宋体" w:cs="宋体"/>
                <w:szCs w:val="21"/>
                <w:lang w:val="en-US" w:eastAsia="zh-CN"/>
              </w:rPr>
            </w:pPr>
            <w:r>
              <w:rPr>
                <w:rFonts w:hint="eastAsia" w:ascii="宋体" w:hAnsi="宋体" w:eastAsia="宋体" w:cs="宋体"/>
                <w:szCs w:val="21"/>
                <w:lang w:val="en-US" w:eastAsia="zh-CN"/>
              </w:rPr>
              <w:t>要求采用134A的制，冷剂灌注量不低于120克</w:t>
            </w:r>
          </w:p>
        </w:tc>
        <w:tc>
          <w:tcPr>
            <w:tcW w:w="2082"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top"/>
          </w:tcPr>
          <w:p>
            <w:pPr>
              <w:spacing w:before="100" w:beforeAutospacing="1" w:after="100" w:afterAutospacing="1" w:line="450" w:lineRule="atLeast"/>
              <w:jc w:val="both"/>
              <w:rPr>
                <w:rFonts w:ascii="宋体" w:hAnsi="宋体" w:cs="宋体"/>
                <w:szCs w:val="21"/>
                <w:lang w:eastAsia="zh-CN"/>
              </w:rPr>
            </w:pPr>
            <w:r>
              <w:rPr>
                <w:rFonts w:hint="eastAsia" w:ascii="宋体" w:hAnsi="宋体" w:cs="宋体"/>
                <w:szCs w:val="21"/>
                <w:lang w:eastAsia="zh-CN"/>
              </w:rPr>
              <w:t>玻璃门或</w:t>
            </w:r>
            <w:r>
              <w:rPr>
                <w:rFonts w:ascii="宋体" w:hAnsi="宋体" w:cs="宋体"/>
                <w:szCs w:val="21"/>
                <w:lang w:eastAsia="zh-CN"/>
              </w:rPr>
              <w:t>视窗，方便随时在各个角度观察箱体内部情况;</w:t>
            </w:r>
          </w:p>
        </w:tc>
        <w:tc>
          <w:tcPr>
            <w:tcW w:w="2082" w:type="dxa"/>
            <w:vAlign w:val="center"/>
          </w:tcPr>
          <w:p>
            <w:pPr>
              <w:jc w:val="center"/>
              <w:rPr>
                <w:szCs w:val="21"/>
                <w:lang w:val="en-US" w:eastAsia="zh-CN"/>
              </w:rPr>
            </w:pPr>
            <w:r>
              <w:rPr>
                <w:rFonts w:hint="eastAsia"/>
                <w:szCs w:val="21"/>
                <w:lang w:val="en-US" w:eastAsia="zh-CN"/>
              </w:rPr>
              <w:t>关键</w:t>
            </w:r>
          </w:p>
        </w:tc>
      </w:tr>
      <w:bookmarkEnd w:id="24"/>
      <w:bookmarkEnd w:id="25"/>
      <w:permEnd w:id="19"/>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0" w:edGrp="everyone"/>
            <w:permEnd w:id="20"/>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7D7D7"/>
            <w:vAlign w:val="center"/>
          </w:tcPr>
          <w:p>
            <w:pPr>
              <w:pStyle w:val="32"/>
              <w:ind w:left="1205" w:firstLine="0" w:firstLineChars="0"/>
              <w:rPr>
                <w:rFonts w:ascii="Times New Roman" w:hAnsi="Times New Roman"/>
                <w:szCs w:val="21"/>
              </w:rPr>
            </w:pPr>
            <w:permStart w:id="21" w:edGrp="everyone"/>
          </w:p>
        </w:tc>
        <w:tc>
          <w:tcPr>
            <w:tcW w:w="9052" w:type="dxa"/>
            <w:gridSpan w:val="2"/>
            <w:vAlign w:val="center"/>
          </w:tcPr>
          <w:p>
            <w:pPr>
              <w:jc w:val="center"/>
              <w:rPr>
                <w:szCs w:val="21"/>
                <w:lang w:eastAsia="zh-CN"/>
              </w:rPr>
            </w:pPr>
            <w:r>
              <w:rPr>
                <w:rFonts w:ascii="宋体" w:hAnsi="宋体"/>
                <w:szCs w:val="21"/>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7D7D7"/>
            <w:vAlign w:val="center"/>
          </w:tcPr>
          <w:p>
            <w:pPr>
              <w:pStyle w:val="32"/>
              <w:ind w:left="1415" w:firstLine="0" w:firstLineChars="0"/>
              <w:rPr>
                <w:rFonts w:ascii="Times New Roman" w:hAnsi="Times New Roman"/>
                <w:szCs w:val="21"/>
              </w:rPr>
            </w:pPr>
            <w:permStart w:id="22" w:edGrp="everyone"/>
          </w:p>
        </w:tc>
        <w:tc>
          <w:tcPr>
            <w:tcW w:w="9052" w:type="dxa"/>
            <w:gridSpan w:val="2"/>
            <w:vAlign w:val="center"/>
          </w:tcPr>
          <w:p>
            <w:pPr>
              <w:jc w:val="center"/>
              <w:rPr>
                <w:szCs w:val="21"/>
                <w:lang w:eastAsia="zh-CN"/>
              </w:rPr>
            </w:pPr>
            <w:r>
              <w:rPr>
                <w:rFonts w:ascii="宋体" w:hAnsi="宋体"/>
                <w:szCs w:val="21"/>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23" w:edGrp="everyone"/>
          </w:p>
        </w:tc>
        <w:tc>
          <w:tcPr>
            <w:tcW w:w="6970" w:type="dxa"/>
            <w:vAlign w:val="center"/>
          </w:tcPr>
          <w:p>
            <w:pPr>
              <w:pStyle w:val="7"/>
              <w:rPr>
                <w:lang w:val="en-US" w:eastAsia="zh-CN"/>
              </w:rPr>
            </w:pPr>
            <w:r>
              <w:rPr>
                <w:rFonts w:hint="eastAsia" w:ascii="宋体" w:hAnsi="宋体"/>
                <w:color w:val="000000"/>
                <w:szCs w:val="21"/>
                <w:lang w:eastAsia="zh-CN"/>
              </w:rPr>
              <w:t>恒温摇床温度控制范围在</w:t>
            </w:r>
            <w:r>
              <w:rPr>
                <w:rFonts w:ascii="宋体" w:hAnsi="宋体"/>
                <w:color w:val="000000"/>
                <w:szCs w:val="21"/>
                <w:lang w:eastAsia="zh-CN"/>
              </w:rPr>
              <w:t>4</w:t>
            </w:r>
            <w:r>
              <w:rPr>
                <w:rFonts w:hint="eastAsia" w:ascii="宋体" w:hAnsi="宋体"/>
                <w:sz w:val="24"/>
                <w:lang w:eastAsia="zh-CN"/>
              </w:rPr>
              <w:t>～</w:t>
            </w:r>
            <w:r>
              <w:rPr>
                <w:rFonts w:hint="eastAsia" w:ascii="宋体" w:hAnsi="宋体"/>
                <w:color w:val="000000"/>
                <w:szCs w:val="21"/>
                <w:lang w:eastAsia="zh-CN"/>
              </w:rPr>
              <w:t>8℃</w:t>
            </w:r>
            <w:r>
              <w:rPr>
                <w:rFonts w:hint="eastAsia" w:ascii="宋体" w:hAnsi="宋体"/>
                <w:color w:val="000000"/>
                <w:szCs w:val="21"/>
                <w:lang w:val="en-US" w:eastAsia="zh-CN"/>
              </w:rPr>
              <w:t>，</w:t>
            </w:r>
            <w:r>
              <w:rPr>
                <w:rFonts w:hint="eastAsia"/>
                <w:lang w:eastAsia="zh-CN"/>
              </w:rPr>
              <w:t>温度精度：</w:t>
            </w:r>
            <w:r>
              <w:rPr>
                <w:rFonts w:hint="eastAsia"/>
                <w:lang w:val="en-US" w:eastAsia="zh-CN"/>
              </w:rPr>
              <w:t>±0.1℃，</w:t>
            </w:r>
            <w:r>
              <w:rPr>
                <w:rFonts w:hint="eastAsia"/>
                <w:lang w:eastAsia="zh-CN"/>
              </w:rPr>
              <w:t>温度均匀性：</w:t>
            </w:r>
            <w:r>
              <w:rPr>
                <w:rFonts w:hint="eastAsia"/>
                <w:lang w:val="en-US" w:eastAsia="zh-CN"/>
              </w:rPr>
              <w:t>±1℃</w:t>
            </w:r>
            <w:r>
              <w:rPr>
                <w:rFonts w:hint="eastAsia" w:ascii="宋体" w:hAnsi="宋体"/>
                <w:color w:val="000000"/>
                <w:szCs w:val="21"/>
                <w:lang w:eastAsia="zh-CN"/>
              </w:rPr>
              <w:t>，空载</w:t>
            </w:r>
            <w:r>
              <w:rPr>
                <w:rFonts w:ascii="宋体" w:hAnsi="宋体"/>
                <w:color w:val="000000"/>
                <w:szCs w:val="21"/>
                <w:lang w:eastAsia="zh-CN"/>
              </w:rPr>
              <w:t>温度从</w:t>
            </w:r>
            <w:r>
              <w:rPr>
                <w:rFonts w:hint="eastAsia" w:ascii="宋体" w:hAnsi="宋体"/>
                <w:color w:val="000000"/>
                <w:szCs w:val="21"/>
                <w:lang w:eastAsia="zh-CN"/>
              </w:rPr>
              <w:t>室温22</w:t>
            </w:r>
            <w:r>
              <w:rPr>
                <w:rFonts w:ascii="宋体" w:hAnsi="宋体"/>
                <w:color w:val="000000"/>
                <w:szCs w:val="21"/>
                <w:lang w:eastAsia="zh-CN"/>
              </w:rPr>
              <w:t>-</w:t>
            </w:r>
            <w:r>
              <w:rPr>
                <w:rFonts w:hint="eastAsia" w:ascii="宋体" w:hAnsi="宋体"/>
                <w:color w:val="000000"/>
                <w:szCs w:val="21"/>
                <w:lang w:eastAsia="zh-CN"/>
              </w:rPr>
              <w:t>25℃</w:t>
            </w:r>
            <w:r>
              <w:rPr>
                <w:rFonts w:ascii="宋体" w:hAnsi="宋体"/>
                <w:color w:val="000000"/>
                <w:szCs w:val="21"/>
                <w:lang w:eastAsia="zh-CN"/>
              </w:rPr>
              <w:t>降温至</w:t>
            </w:r>
            <w:r>
              <w:rPr>
                <w:rFonts w:hint="eastAsia" w:ascii="宋体" w:hAnsi="宋体"/>
                <w:color w:val="000000"/>
                <w:szCs w:val="21"/>
                <w:lang w:eastAsia="zh-CN"/>
              </w:rPr>
              <w:t>2</w:t>
            </w:r>
            <w:r>
              <w:rPr>
                <w:rFonts w:ascii="宋体" w:hAnsi="宋体"/>
                <w:color w:val="000000"/>
                <w:szCs w:val="21"/>
                <w:lang w:eastAsia="zh-CN"/>
              </w:rPr>
              <w:t>-8℃不超过30min。</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color w:val="000000"/>
                <w:sz w:val="21"/>
                <w:szCs w:val="21"/>
                <w:lang w:eastAsia="zh-CN"/>
              </w:rPr>
            </w:pPr>
            <w:r>
              <w:rPr>
                <w:rFonts w:ascii="宋体" w:hAnsi="宋体"/>
                <w:color w:val="000000"/>
                <w:sz w:val="21"/>
                <w:szCs w:val="21"/>
                <w:lang w:eastAsia="zh-CN"/>
              </w:rPr>
              <w:t>恒温摇床转速范围</w:t>
            </w:r>
            <w:r>
              <w:rPr>
                <w:rFonts w:hint="eastAsia" w:ascii="宋体" w:hAnsi="宋体"/>
                <w:color w:val="000000"/>
                <w:sz w:val="21"/>
                <w:szCs w:val="21"/>
                <w:lang w:eastAsia="zh-CN"/>
              </w:rPr>
              <w:t>包括但</w:t>
            </w:r>
            <w:r>
              <w:rPr>
                <w:rFonts w:ascii="宋体" w:hAnsi="宋体"/>
                <w:color w:val="000000"/>
                <w:sz w:val="21"/>
                <w:szCs w:val="21"/>
                <w:lang w:eastAsia="zh-CN"/>
              </w:rPr>
              <w:t>不限于10</w:t>
            </w:r>
            <w:r>
              <w:rPr>
                <w:rFonts w:hint="eastAsia" w:ascii="宋体" w:hAnsi="宋体"/>
                <w:sz w:val="24"/>
                <w:lang w:eastAsia="zh-CN"/>
              </w:rPr>
              <w:t>～</w:t>
            </w:r>
            <w:r>
              <w:rPr>
                <w:rFonts w:hint="eastAsia" w:ascii="宋体" w:hAnsi="宋体"/>
                <w:color w:val="000000"/>
                <w:sz w:val="21"/>
                <w:szCs w:val="21"/>
                <w:lang w:eastAsia="zh-CN"/>
              </w:rPr>
              <w:t>100rpm，转速精度±1rpm。震荡方式为回旋震荡。摇台振幅不低于Ф2</w:t>
            </w:r>
            <w:r>
              <w:rPr>
                <w:rFonts w:ascii="宋体" w:hAnsi="宋体"/>
                <w:color w:val="000000"/>
                <w:sz w:val="21"/>
                <w:szCs w:val="21"/>
                <w:lang w:eastAsia="zh-CN"/>
              </w:rPr>
              <w:t>5</w:t>
            </w:r>
            <w:r>
              <w:rPr>
                <w:rFonts w:hint="eastAsia" w:ascii="宋体" w:hAnsi="宋体"/>
                <w:color w:val="000000"/>
                <w:sz w:val="21"/>
                <w:szCs w:val="21"/>
                <w:lang w:eastAsia="zh-CN"/>
              </w:rPr>
              <w:t>mm。</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jc w:val="both"/>
              <w:rPr>
                <w:rFonts w:ascii="宋体" w:hAnsi="宋体"/>
                <w:color w:val="000000"/>
                <w:sz w:val="21"/>
                <w:szCs w:val="21"/>
                <w:lang w:eastAsia="zh-CN"/>
              </w:rPr>
            </w:pPr>
            <w:r>
              <w:rPr>
                <w:rFonts w:hint="eastAsia" w:ascii="宋体" w:hAnsi="宋体"/>
                <w:color w:val="000000"/>
                <w:sz w:val="21"/>
                <w:szCs w:val="21"/>
                <w:lang w:eastAsia="zh-CN"/>
              </w:rPr>
              <w:t>有2个</w:t>
            </w:r>
            <w:r>
              <w:rPr>
                <w:rFonts w:ascii="宋体" w:hAnsi="宋体"/>
                <w:color w:val="000000"/>
                <w:sz w:val="21"/>
                <w:szCs w:val="21"/>
                <w:lang w:eastAsia="zh-CN"/>
              </w:rPr>
              <w:t>桶位</w:t>
            </w:r>
            <w:r>
              <w:rPr>
                <w:rFonts w:hint="eastAsia" w:ascii="宋体" w:hAnsi="宋体"/>
                <w:color w:val="000000"/>
                <w:sz w:val="21"/>
                <w:szCs w:val="21"/>
                <w:lang w:eastAsia="zh-CN"/>
              </w:rPr>
              <w:t>，可</w:t>
            </w:r>
            <w:r>
              <w:rPr>
                <w:rFonts w:ascii="宋体" w:hAnsi="宋体"/>
                <w:color w:val="000000"/>
                <w:sz w:val="21"/>
                <w:szCs w:val="21"/>
                <w:lang w:eastAsia="zh-CN"/>
              </w:rPr>
              <w:t>容纳两个</w:t>
            </w:r>
            <w:r>
              <w:rPr>
                <w:rFonts w:hint="eastAsia" w:ascii="宋体" w:hAnsi="宋体"/>
                <w:color w:val="000000"/>
                <w:sz w:val="21"/>
                <w:szCs w:val="21"/>
                <w:lang w:eastAsia="zh-CN"/>
              </w:rPr>
              <w:t>50</w:t>
            </w:r>
            <w:r>
              <w:rPr>
                <w:rFonts w:ascii="宋体" w:hAnsi="宋体"/>
                <w:color w:val="000000"/>
                <w:sz w:val="21"/>
                <w:szCs w:val="21"/>
                <w:lang w:eastAsia="zh-CN"/>
              </w:rPr>
              <w:t>L</w:t>
            </w:r>
            <w:r>
              <w:rPr>
                <w:rFonts w:hint="eastAsia" w:ascii="宋体" w:hAnsi="宋体"/>
                <w:color w:val="000000"/>
                <w:sz w:val="21"/>
                <w:szCs w:val="21"/>
                <w:lang w:eastAsia="zh-CN"/>
              </w:rPr>
              <w:t>塑料</w:t>
            </w:r>
            <w:r>
              <w:rPr>
                <w:rFonts w:ascii="宋体" w:hAnsi="宋体"/>
                <w:color w:val="000000"/>
                <w:sz w:val="21"/>
                <w:szCs w:val="21"/>
                <w:lang w:eastAsia="zh-CN"/>
              </w:rPr>
              <w:t>桶满载</w:t>
            </w:r>
            <w:r>
              <w:rPr>
                <w:rFonts w:hint="eastAsia" w:ascii="宋体" w:hAnsi="宋体"/>
                <w:color w:val="000000"/>
                <w:sz w:val="21"/>
                <w:szCs w:val="21"/>
                <w:lang w:eastAsia="zh-CN"/>
              </w:rPr>
              <w:t>50</w:t>
            </w:r>
            <w:r>
              <w:rPr>
                <w:rFonts w:ascii="宋体" w:hAnsi="宋体"/>
                <w:color w:val="000000"/>
                <w:sz w:val="21"/>
                <w:szCs w:val="21"/>
                <w:lang w:eastAsia="zh-CN"/>
              </w:rPr>
              <w:t>L</w:t>
            </w:r>
            <w:r>
              <w:rPr>
                <w:rFonts w:hint="eastAsia" w:ascii="宋体" w:hAnsi="宋体"/>
                <w:color w:val="000000"/>
                <w:sz w:val="21"/>
                <w:szCs w:val="21"/>
                <w:lang w:eastAsia="zh-CN"/>
              </w:rPr>
              <w:t>液体</w:t>
            </w:r>
            <w:r>
              <w:rPr>
                <w:rFonts w:ascii="宋体" w:hAnsi="宋体"/>
                <w:color w:val="000000"/>
                <w:sz w:val="21"/>
                <w:szCs w:val="21"/>
                <w:lang w:eastAsia="zh-CN"/>
              </w:rPr>
              <w:t>同时转动。每个</w:t>
            </w:r>
            <w:r>
              <w:rPr>
                <w:rFonts w:hint="eastAsia" w:ascii="宋体" w:hAnsi="宋体"/>
                <w:color w:val="000000"/>
                <w:sz w:val="21"/>
                <w:szCs w:val="21"/>
                <w:lang w:eastAsia="zh-CN"/>
              </w:rPr>
              <w:t>5</w:t>
            </w:r>
            <w:r>
              <w:rPr>
                <w:rFonts w:ascii="宋体" w:hAnsi="宋体"/>
                <w:color w:val="000000"/>
                <w:sz w:val="21"/>
                <w:szCs w:val="21"/>
                <w:lang w:eastAsia="zh-CN"/>
              </w:rPr>
              <w:t>0L</w:t>
            </w:r>
            <w:r>
              <w:rPr>
                <w:rFonts w:hint="eastAsia" w:ascii="宋体" w:hAnsi="宋体"/>
                <w:color w:val="000000"/>
                <w:sz w:val="21"/>
                <w:szCs w:val="21"/>
                <w:lang w:eastAsia="zh-CN"/>
              </w:rPr>
              <w:t>塑料桶尺寸为</w:t>
            </w:r>
            <w:r>
              <w:rPr>
                <w:rFonts w:ascii="宋体" w:hAnsi="宋体"/>
                <w:color w:val="000000"/>
                <w:sz w:val="21"/>
                <w:szCs w:val="21"/>
                <w:lang w:eastAsia="zh-CN"/>
              </w:rPr>
              <w:t>：</w:t>
            </w:r>
            <w:r>
              <w:rPr>
                <w:rFonts w:hint="eastAsia" w:ascii="宋体" w:hAnsi="宋体"/>
                <w:color w:val="000000"/>
                <w:sz w:val="21"/>
                <w:szCs w:val="21"/>
                <w:lang w:eastAsia="zh-CN"/>
              </w:rPr>
              <w:t>直径3</w:t>
            </w:r>
            <w:r>
              <w:rPr>
                <w:rFonts w:ascii="宋体" w:hAnsi="宋体"/>
                <w:color w:val="000000"/>
                <w:sz w:val="21"/>
                <w:szCs w:val="21"/>
                <w:lang w:eastAsia="zh-CN"/>
              </w:rPr>
              <w:t>5cm</w:t>
            </w:r>
            <w:r>
              <w:rPr>
                <w:rFonts w:hint="eastAsia" w:ascii="宋体" w:hAnsi="宋体"/>
                <w:color w:val="000000"/>
                <w:sz w:val="21"/>
                <w:szCs w:val="21"/>
                <w:lang w:eastAsia="zh-CN"/>
              </w:rPr>
              <w:t>，</w:t>
            </w:r>
            <w:r>
              <w:rPr>
                <w:rFonts w:ascii="宋体" w:hAnsi="宋体"/>
                <w:color w:val="000000"/>
                <w:sz w:val="21"/>
                <w:szCs w:val="21"/>
                <w:lang w:eastAsia="zh-CN"/>
              </w:rPr>
              <w:t>高度</w:t>
            </w:r>
            <w:r>
              <w:rPr>
                <w:rFonts w:hint="eastAsia" w:ascii="宋体" w:hAnsi="宋体"/>
                <w:color w:val="000000"/>
                <w:sz w:val="21"/>
                <w:szCs w:val="21"/>
                <w:lang w:eastAsia="zh-CN"/>
              </w:rPr>
              <w:t>70</w:t>
            </w:r>
            <w:r>
              <w:rPr>
                <w:rFonts w:ascii="宋体" w:hAnsi="宋体"/>
                <w:color w:val="000000"/>
                <w:sz w:val="21"/>
                <w:szCs w:val="21"/>
                <w:lang w:eastAsia="zh-CN"/>
              </w:rPr>
              <w:t>cm</w:t>
            </w:r>
            <w:r>
              <w:rPr>
                <w:rFonts w:hint="eastAsia" w:ascii="宋体" w:hAnsi="宋体"/>
                <w:color w:val="000000"/>
                <w:sz w:val="21"/>
                <w:szCs w:val="21"/>
                <w:lang w:eastAsia="zh-CN"/>
              </w:rPr>
              <w:t>。，</w:t>
            </w:r>
          </w:p>
        </w:tc>
        <w:tc>
          <w:tcPr>
            <w:tcW w:w="2082" w:type="dxa"/>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24" w:edGrp="everyone"/>
          </w:p>
        </w:tc>
        <w:tc>
          <w:tcPr>
            <w:tcW w:w="6970" w:type="dxa"/>
            <w:vAlign w:val="center"/>
          </w:tcPr>
          <w:p>
            <w:pPr>
              <w:pStyle w:val="8"/>
              <w:rPr>
                <w:rFonts w:ascii="宋体" w:hAnsi="宋体"/>
                <w:sz w:val="24"/>
                <w:lang w:eastAsia="zh-CN"/>
              </w:rPr>
            </w:pPr>
            <w:r>
              <w:rPr>
                <w:rFonts w:hint="eastAsia" w:ascii="宋体" w:hAnsi="宋体"/>
                <w:sz w:val="21"/>
                <w:lang w:eastAsia="zh-CN"/>
              </w:rPr>
              <w:t>摇床</w:t>
            </w:r>
            <w:r>
              <w:rPr>
                <w:rFonts w:ascii="宋体" w:hAnsi="宋体"/>
                <w:sz w:val="21"/>
                <w:lang w:eastAsia="zh-CN"/>
              </w:rPr>
              <w:t>采用</w:t>
            </w:r>
            <w:r>
              <w:rPr>
                <w:rFonts w:hint="eastAsia" w:ascii="宋体" w:hAnsi="宋体"/>
                <w:sz w:val="21"/>
                <w:lang w:eastAsia="zh-CN"/>
              </w:rPr>
              <w:t>侧</w:t>
            </w:r>
            <w:r>
              <w:rPr>
                <w:rFonts w:ascii="宋体" w:hAnsi="宋体"/>
                <w:sz w:val="21"/>
                <w:lang w:eastAsia="zh-CN"/>
              </w:rPr>
              <w:t>开门，</w:t>
            </w:r>
            <w:r>
              <w:rPr>
                <w:rFonts w:hint="eastAsia" w:ascii="宋体" w:hAnsi="宋体"/>
                <w:sz w:val="21"/>
                <w:lang w:eastAsia="zh-CN"/>
              </w:rPr>
              <w:t>塑料桶</w:t>
            </w:r>
            <w:r>
              <w:rPr>
                <w:rFonts w:ascii="宋体" w:hAnsi="宋体"/>
                <w:sz w:val="21"/>
                <w:lang w:eastAsia="zh-CN"/>
              </w:rPr>
              <w:t>装载入桶位时，</w:t>
            </w:r>
            <w:r>
              <w:rPr>
                <w:rFonts w:hint="eastAsia" w:ascii="宋体" w:hAnsi="宋体"/>
                <w:sz w:val="21"/>
                <w:lang w:eastAsia="zh-CN"/>
              </w:rPr>
              <w:t>满载50</w:t>
            </w:r>
            <w:r>
              <w:rPr>
                <w:rFonts w:ascii="宋体" w:hAnsi="宋体"/>
                <w:sz w:val="21"/>
                <w:lang w:eastAsia="zh-CN"/>
              </w:rPr>
              <w:t>L</w:t>
            </w:r>
            <w:r>
              <w:rPr>
                <w:rFonts w:hint="eastAsia" w:ascii="宋体" w:hAnsi="宋体"/>
                <w:sz w:val="21"/>
                <w:lang w:eastAsia="zh-CN"/>
              </w:rPr>
              <w:t>液体</w:t>
            </w:r>
            <w:r>
              <w:rPr>
                <w:rFonts w:ascii="宋体" w:hAnsi="宋体"/>
                <w:sz w:val="21"/>
                <w:lang w:eastAsia="zh-CN"/>
              </w:rPr>
              <w:t>的</w:t>
            </w:r>
            <w:r>
              <w:rPr>
                <w:rFonts w:hint="eastAsia" w:ascii="宋体" w:hAnsi="宋体"/>
                <w:sz w:val="21"/>
                <w:lang w:eastAsia="zh-CN"/>
              </w:rPr>
              <w:t>塑料桶</w:t>
            </w:r>
            <w:r>
              <w:rPr>
                <w:rFonts w:ascii="宋体" w:hAnsi="宋体"/>
                <w:sz w:val="21"/>
                <w:lang w:eastAsia="zh-CN"/>
              </w:rPr>
              <w:t>无需举高</w:t>
            </w:r>
            <w:r>
              <w:rPr>
                <w:rFonts w:hint="eastAsia" w:ascii="宋体" w:hAnsi="宋体"/>
                <w:sz w:val="21"/>
                <w:lang w:eastAsia="zh-CN"/>
              </w:rPr>
              <w:t>至桶</w:t>
            </w:r>
            <w:r>
              <w:rPr>
                <w:rFonts w:ascii="宋体" w:hAnsi="宋体"/>
                <w:sz w:val="21"/>
                <w:lang w:eastAsia="zh-CN"/>
              </w:rPr>
              <w:t>位上沿，即可平推至</w:t>
            </w:r>
            <w:r>
              <w:rPr>
                <w:rFonts w:hint="eastAsia" w:ascii="宋体" w:hAnsi="宋体"/>
                <w:sz w:val="21"/>
                <w:lang w:eastAsia="zh-CN"/>
              </w:rPr>
              <w:t>桶</w:t>
            </w:r>
            <w:r>
              <w:rPr>
                <w:rFonts w:ascii="宋体" w:hAnsi="宋体"/>
                <w:sz w:val="21"/>
                <w:lang w:eastAsia="zh-CN"/>
              </w:rPr>
              <w:t>位进行</w:t>
            </w:r>
            <w:r>
              <w:rPr>
                <w:rFonts w:hint="eastAsia" w:ascii="宋体" w:hAnsi="宋体"/>
                <w:sz w:val="21"/>
                <w:lang w:eastAsia="zh-CN"/>
              </w:rPr>
              <w:t>摇动</w:t>
            </w:r>
            <w:r>
              <w:rPr>
                <w:rFonts w:ascii="宋体" w:hAnsi="宋体"/>
                <w:sz w:val="21"/>
                <w:lang w:eastAsia="zh-CN"/>
              </w:rPr>
              <w:t>。</w:t>
            </w:r>
            <w:r>
              <w:rPr>
                <w:rFonts w:hint="eastAsia" w:ascii="宋体" w:hAnsi="宋体"/>
                <w:sz w:val="21"/>
                <w:lang w:eastAsia="zh-CN"/>
              </w:rPr>
              <w:t>此装载</w:t>
            </w:r>
            <w:r>
              <w:rPr>
                <w:rFonts w:ascii="宋体" w:hAnsi="宋体"/>
                <w:sz w:val="21"/>
                <w:lang w:eastAsia="zh-CN"/>
              </w:rPr>
              <w:t>方式需</w:t>
            </w:r>
            <w:r>
              <w:rPr>
                <w:rFonts w:hint="eastAsia" w:ascii="宋体" w:hAnsi="宋体"/>
                <w:sz w:val="21"/>
                <w:lang w:eastAsia="zh-CN"/>
              </w:rPr>
              <w:t>与</w:t>
            </w:r>
            <w:r>
              <w:rPr>
                <w:rFonts w:ascii="宋体" w:hAnsi="宋体"/>
                <w:sz w:val="21"/>
                <w:lang w:eastAsia="zh-CN"/>
              </w:rPr>
              <w:t>甲方沟通</w:t>
            </w:r>
            <w:r>
              <w:rPr>
                <w:rFonts w:hint="eastAsia" w:ascii="宋体" w:hAnsi="宋体"/>
                <w:sz w:val="21"/>
                <w:lang w:eastAsia="zh-CN"/>
              </w:rPr>
              <w:t>并获得</w:t>
            </w:r>
            <w:r>
              <w:rPr>
                <w:rFonts w:ascii="宋体" w:hAnsi="宋体"/>
                <w:sz w:val="21"/>
                <w:lang w:eastAsia="zh-CN"/>
              </w:rPr>
              <w:t>甲方认可。</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sz w:val="24"/>
                <w:lang w:eastAsia="zh-CN"/>
              </w:rPr>
            </w:pPr>
            <w:r>
              <w:rPr>
                <w:rFonts w:hint="eastAsia" w:ascii="宋体" w:hAnsi="宋体"/>
                <w:sz w:val="21"/>
                <w:lang w:eastAsia="zh-CN"/>
              </w:rPr>
              <w:t>恒温摇床要求配有脚轮，脚轮要求耐摩擦，噪音小。</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sz w:val="21"/>
                <w:szCs w:val="21"/>
                <w:lang w:eastAsia="zh-CN"/>
              </w:rPr>
            </w:pPr>
            <w:r>
              <w:rPr>
                <w:rFonts w:hint="eastAsia" w:ascii="宋体" w:hAnsi="宋体"/>
                <w:color w:val="000000"/>
                <w:sz w:val="21"/>
                <w:szCs w:val="21"/>
                <w:lang w:eastAsia="zh-CN"/>
              </w:rPr>
              <w:t>恒温摇床转动时要求平稳，噪音小。</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color w:val="000000"/>
                <w:sz w:val="24"/>
                <w:lang w:eastAsia="zh-CN"/>
              </w:rPr>
            </w:pPr>
            <w:r>
              <w:rPr>
                <w:rFonts w:hint="eastAsia" w:ascii="宋体" w:hAnsi="宋体"/>
                <w:color w:val="000000"/>
                <w:sz w:val="21"/>
                <w:szCs w:val="21"/>
                <w:lang w:eastAsia="zh-CN"/>
              </w:rPr>
              <w:t>采用</w:t>
            </w:r>
            <w:r>
              <w:rPr>
                <w:rFonts w:ascii="宋体" w:hAnsi="宋体"/>
                <w:color w:val="000000"/>
                <w:sz w:val="21"/>
                <w:szCs w:val="21"/>
                <w:lang w:eastAsia="zh-CN"/>
              </w:rPr>
              <w:t>直流感应长寿命无刷电机设计，宽调速、恒力矩、恒转速、无碳刷、免保养。</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color w:val="394753"/>
                <w:lang w:val="en-US" w:eastAsia="zh-CN"/>
              </w:rPr>
            </w:pPr>
            <w:r>
              <w:rPr>
                <w:rFonts w:hint="eastAsia" w:ascii="宋体" w:hAnsi="宋体"/>
                <w:color w:val="000000"/>
                <w:sz w:val="21"/>
                <w:szCs w:val="21"/>
                <w:lang w:eastAsia="zh-CN"/>
              </w:rPr>
              <w:t>具备</w:t>
            </w:r>
            <w:r>
              <w:rPr>
                <w:rFonts w:ascii="宋体" w:hAnsi="宋体"/>
                <w:color w:val="000000"/>
                <w:sz w:val="21"/>
                <w:szCs w:val="21"/>
                <w:lang w:eastAsia="zh-CN"/>
              </w:rPr>
              <w:t>软启动功能，确保开机或中途突然停电后来电缓慢启动，以防止试液外溢。</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color w:val="394753"/>
                <w:lang w:eastAsia="zh-CN"/>
              </w:rPr>
            </w:pPr>
            <w:r>
              <w:rPr>
                <w:rFonts w:hint="eastAsia" w:ascii="宋体" w:hAnsi="宋体"/>
                <w:color w:val="000000"/>
                <w:sz w:val="21"/>
                <w:szCs w:val="21"/>
                <w:lang w:eastAsia="zh-CN"/>
              </w:rPr>
              <w:t>当负载失衡传感器检测到摇床因负载不平衡而导致过度振荡时，会自动停止振荡并报警。</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color w:val="394753"/>
                <w:lang w:val="en-US" w:eastAsia="zh-CN"/>
              </w:rPr>
            </w:pPr>
            <w:r>
              <w:rPr>
                <w:rFonts w:hint="eastAsia" w:ascii="宋体" w:hAnsi="宋体"/>
                <w:color w:val="000000"/>
                <w:sz w:val="21"/>
                <w:szCs w:val="21"/>
                <w:lang w:eastAsia="zh-CN"/>
              </w:rPr>
              <w:t>采用</w:t>
            </w:r>
            <w:r>
              <w:rPr>
                <w:rFonts w:ascii="宋体" w:hAnsi="宋体"/>
                <w:color w:val="000000"/>
                <w:sz w:val="21"/>
                <w:szCs w:val="21"/>
                <w:lang w:eastAsia="zh-CN"/>
              </w:rPr>
              <w:t>无氟环保型进口压缩机</w:t>
            </w:r>
            <w:r>
              <w:rPr>
                <w:rFonts w:hint="eastAsia" w:ascii="宋体" w:hAnsi="宋体"/>
                <w:color w:val="000000"/>
                <w:sz w:val="21"/>
                <w:szCs w:val="21"/>
                <w:lang w:eastAsia="zh-CN"/>
              </w:rPr>
              <w:t>，并具有无霜运行设计。</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color w:val="394753"/>
                <w:lang w:val="en-US" w:eastAsia="zh-CN"/>
              </w:rPr>
            </w:pPr>
            <w:r>
              <w:rPr>
                <w:rFonts w:hint="eastAsia" w:ascii="宋体" w:hAnsi="宋体"/>
                <w:color w:val="000000"/>
                <w:sz w:val="21"/>
                <w:szCs w:val="21"/>
                <w:lang w:eastAsia="zh-CN"/>
              </w:rPr>
              <w:t>液晶显示屏，显示的参数包括：设定转速、实时转速、设定温度、实时温度</w:t>
            </w:r>
            <w:r>
              <w:rPr>
                <w:rFonts w:hint="eastAsia" w:ascii="宋体" w:hAnsi="宋体"/>
                <w:color w:val="000000"/>
                <w:sz w:val="21"/>
                <w:szCs w:val="21"/>
                <w:lang w:val="en-US" w:eastAsia="zh-CN"/>
              </w:rPr>
              <w:t>。</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color w:val="394753"/>
                <w:lang w:val="en-US" w:eastAsia="zh-CN"/>
              </w:rPr>
            </w:pPr>
            <w:r>
              <w:rPr>
                <w:rFonts w:hint="eastAsia" w:ascii="宋体" w:hAnsi="宋体"/>
                <w:color w:val="000000"/>
                <w:sz w:val="21"/>
                <w:szCs w:val="21"/>
                <w:lang w:eastAsia="zh-CN"/>
              </w:rPr>
              <w:t>具备温度和转速的偏差校准功能。</w:t>
            </w:r>
          </w:p>
        </w:tc>
        <w:tc>
          <w:tcPr>
            <w:tcW w:w="2082" w:type="dxa"/>
            <w:vAlign w:val="center"/>
          </w:tcPr>
          <w:p>
            <w:pPr>
              <w:jc w:val="center"/>
              <w:rPr>
                <w:szCs w:val="21"/>
                <w:lang w:eastAsia="zh-CN"/>
              </w:rPr>
            </w:pPr>
            <w:r>
              <w:rPr>
                <w:rFonts w:hint="eastAsia"/>
                <w:szCs w:val="21"/>
                <w:lang w:eastAsia="zh-CN"/>
              </w:rPr>
              <w:t>关键</w:t>
            </w:r>
          </w:p>
        </w:tc>
      </w:tr>
      <w:permEnd w:id="24"/>
    </w:tbl>
    <w:p>
      <w:pPr>
        <w:pStyle w:val="32"/>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767"/>
      <w:bookmarkStart w:id="31" w:name="_Toc482369815"/>
      <w:bookmarkStart w:id="32" w:name="_Toc482370359"/>
      <w:bookmarkStart w:id="33" w:name="_Toc482360291"/>
      <w:bookmarkStart w:id="34" w:name="_Toc483227237"/>
      <w:bookmarkStart w:id="35" w:name="_Toc482717202"/>
      <w:bookmarkStart w:id="36" w:name="_Toc481702480"/>
      <w:bookmarkStart w:id="37" w:name="_Toc482370071"/>
      <w:bookmarkStart w:id="38" w:name="_Toc482625289"/>
      <w:bookmarkStart w:id="39" w:name="_Toc482370151"/>
      <w:bookmarkStart w:id="40" w:name="_Toc483400317"/>
      <w:bookmarkStart w:id="41" w:name="_Toc482359946"/>
      <w:r>
        <w:rPr>
          <w:rFonts w:ascii="Times New Roman" w:hAnsi="Times New Roman"/>
          <w:b/>
        </w:rPr>
        <w:t>电气、自动控制要求</w:t>
      </w:r>
      <w:bookmarkEnd w:id="28"/>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35"/>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5" w:edGrp="everyone"/>
            <w:permEnd w:id="25"/>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2"/>
                <w:numId w:val="9"/>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26" w:edGrp="everyone"/>
          </w:p>
        </w:tc>
        <w:tc>
          <w:tcPr>
            <w:tcW w:w="7005" w:type="dxa"/>
            <w:gridSpan w:val="2"/>
            <w:vAlign w:val="center"/>
          </w:tcPr>
          <w:p>
            <w:pPr>
              <w:pStyle w:val="8"/>
              <w:rPr>
                <w:rFonts w:ascii="宋体" w:hAnsi="宋体"/>
                <w:sz w:val="21"/>
                <w:szCs w:val="21"/>
                <w:lang w:val="en-US" w:eastAsia="zh-CN"/>
              </w:rPr>
            </w:pPr>
            <w:r>
              <w:rPr>
                <w:rFonts w:hint="eastAsia" w:ascii="宋体" w:hAnsi="宋体"/>
                <w:color w:val="000000"/>
                <w:sz w:val="21"/>
                <w:szCs w:val="21"/>
                <w:lang w:eastAsia="zh-CN"/>
              </w:rPr>
              <w:t>转速无极可调，可</w:t>
            </w:r>
            <w:r>
              <w:rPr>
                <w:rFonts w:ascii="宋体" w:hAnsi="宋体"/>
                <w:color w:val="000000"/>
                <w:sz w:val="21"/>
                <w:szCs w:val="21"/>
                <w:lang w:eastAsia="zh-CN"/>
              </w:rPr>
              <w:t>在10</w:t>
            </w:r>
            <w:r>
              <w:rPr>
                <w:rFonts w:hint="eastAsia" w:ascii="宋体" w:hAnsi="宋体"/>
                <w:sz w:val="21"/>
                <w:szCs w:val="21"/>
                <w:lang w:eastAsia="zh-CN"/>
              </w:rPr>
              <w:t>～</w:t>
            </w:r>
            <w:r>
              <w:rPr>
                <w:rFonts w:hint="eastAsia" w:ascii="宋体" w:hAnsi="宋体"/>
                <w:color w:val="000000"/>
                <w:sz w:val="21"/>
                <w:szCs w:val="21"/>
                <w:lang w:eastAsia="zh-CN"/>
              </w:rPr>
              <w:t>100rpm（或更宽</w:t>
            </w:r>
            <w:r>
              <w:rPr>
                <w:rFonts w:ascii="宋体" w:hAnsi="宋体"/>
                <w:color w:val="000000"/>
                <w:sz w:val="21"/>
                <w:szCs w:val="21"/>
                <w:lang w:eastAsia="zh-CN"/>
              </w:rPr>
              <w:t>）</w:t>
            </w:r>
            <w:r>
              <w:rPr>
                <w:rFonts w:hint="eastAsia" w:ascii="宋体" w:hAnsi="宋体"/>
                <w:color w:val="000000"/>
                <w:sz w:val="21"/>
                <w:szCs w:val="21"/>
                <w:lang w:eastAsia="zh-CN"/>
              </w:rPr>
              <w:t>调节</w:t>
            </w:r>
            <w:r>
              <w:rPr>
                <w:rFonts w:ascii="宋体" w:hAnsi="宋体"/>
                <w:color w:val="000000"/>
                <w:sz w:val="21"/>
                <w:szCs w:val="21"/>
                <w:lang w:eastAsia="zh-CN"/>
              </w:rPr>
              <w:t>，</w:t>
            </w:r>
            <w:r>
              <w:rPr>
                <w:rFonts w:hint="eastAsia" w:ascii="宋体" w:hAnsi="宋体"/>
                <w:color w:val="000000"/>
                <w:sz w:val="21"/>
                <w:szCs w:val="21"/>
                <w:lang w:eastAsia="zh-CN"/>
              </w:rPr>
              <w:t>通过转速按钮控制</w:t>
            </w:r>
            <w:r>
              <w:rPr>
                <w:rFonts w:hint="eastAsia" w:ascii="宋体" w:hAnsi="宋体"/>
                <w:color w:val="000000"/>
                <w:sz w:val="21"/>
                <w:szCs w:val="21"/>
                <w:lang w:val="en-US" w:eastAsia="zh-CN"/>
              </w:rPr>
              <w:t>。</w:t>
            </w:r>
          </w:p>
        </w:tc>
        <w:tc>
          <w:tcPr>
            <w:tcW w:w="2047" w:type="dxa"/>
            <w:vAlign w:val="center"/>
          </w:tcPr>
          <w:p>
            <w:pPr>
              <w:pStyle w:val="8"/>
              <w:spacing w:line="360" w:lineRule="auto"/>
              <w:jc w:val="center"/>
              <w:rPr>
                <w:rFonts w:ascii="宋体" w:hAnsi="宋体"/>
                <w:color w:val="000000"/>
                <w:sz w:val="21"/>
                <w:szCs w:val="21"/>
                <w:lang w:eastAsia="zh-CN"/>
              </w:rPr>
            </w:pPr>
            <w:r>
              <w:rPr>
                <w:rFonts w:hint="eastAsia" w:ascii="宋体" w:hAnsi="宋体"/>
                <w:color w:val="000000"/>
                <w:sz w:val="21"/>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2"/>
                <w:numId w:val="9"/>
              </w:numPr>
              <w:ind w:firstLineChars="0"/>
              <w:rPr>
                <w:rFonts w:ascii="Times New Roman" w:hAnsi="Times New Roman"/>
                <w:szCs w:val="21"/>
              </w:rPr>
            </w:pPr>
          </w:p>
        </w:tc>
        <w:tc>
          <w:tcPr>
            <w:tcW w:w="9052"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7D7D7"/>
            <w:vAlign w:val="center"/>
          </w:tcPr>
          <w:p>
            <w:pPr>
              <w:pStyle w:val="32"/>
              <w:ind w:left="1400" w:firstLine="0" w:firstLineChars="0"/>
              <w:rPr>
                <w:rFonts w:ascii="Times New Roman" w:hAnsi="Times New Roman"/>
                <w:szCs w:val="21"/>
              </w:rPr>
            </w:pPr>
            <w:permStart w:id="27" w:edGrp="everyone"/>
          </w:p>
        </w:tc>
        <w:tc>
          <w:tcPr>
            <w:tcW w:w="9052" w:type="dxa"/>
            <w:gridSpan w:val="3"/>
            <w:vAlign w:val="center"/>
          </w:tcPr>
          <w:p>
            <w:pPr>
              <w:jc w:val="center"/>
              <w:rPr>
                <w:szCs w:val="21"/>
                <w:lang w:eastAsia="zh-CN"/>
              </w:rPr>
            </w:pPr>
            <w:r>
              <w:rPr>
                <w:rFonts w:hint="eastAsia" w:ascii="宋体" w:hAnsi="宋体"/>
                <w:color w:val="000000"/>
                <w:lang w:eastAsia="zh-CN"/>
              </w:rPr>
              <w:t>N/A</w:t>
            </w:r>
          </w:p>
        </w:tc>
      </w:tr>
      <w:permEnd w:id="27"/>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6972"/>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4" w:type="dxa"/>
            <w:shd w:val="clear" w:color="auto" w:fill="D9D9D9"/>
            <w:vAlign w:val="center"/>
          </w:tcPr>
          <w:p>
            <w:pPr>
              <w:jc w:val="center"/>
              <w:rPr>
                <w:b/>
                <w:szCs w:val="21"/>
              </w:rPr>
            </w:pPr>
            <w:permStart w:id="28" w:edGrp="everyone"/>
            <w:permEnd w:id="28"/>
            <w:r>
              <w:rPr>
                <w:b/>
                <w:szCs w:val="21"/>
              </w:rPr>
              <w:t>编号</w:t>
            </w:r>
          </w:p>
        </w:tc>
        <w:tc>
          <w:tcPr>
            <w:tcW w:w="6972" w:type="dxa"/>
            <w:shd w:val="clear" w:color="auto" w:fill="D9D9D9"/>
            <w:vAlign w:val="center"/>
          </w:tcPr>
          <w:p>
            <w:pPr>
              <w:jc w:val="center"/>
              <w:rPr>
                <w:b/>
                <w:szCs w:val="21"/>
                <w:lang w:eastAsia="zh-CN"/>
              </w:rPr>
            </w:pPr>
            <w:r>
              <w:rPr>
                <w:b/>
                <w:szCs w:val="21"/>
                <w:lang w:eastAsia="zh-CN"/>
              </w:rPr>
              <w:t>需求</w:t>
            </w:r>
          </w:p>
        </w:tc>
        <w:tc>
          <w:tcPr>
            <w:tcW w:w="208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4" w:type="dxa"/>
            <w:shd w:val="clear" w:color="auto" w:fill="D9D9D9"/>
            <w:vAlign w:val="center"/>
          </w:tcPr>
          <w:p>
            <w:pPr>
              <w:pStyle w:val="32"/>
              <w:numPr>
                <w:ilvl w:val="0"/>
                <w:numId w:val="10"/>
              </w:numPr>
              <w:ind w:firstLineChars="0"/>
              <w:rPr>
                <w:rFonts w:ascii="Times New Roman" w:hAnsi="Times New Roman"/>
                <w:szCs w:val="21"/>
              </w:rPr>
            </w:pPr>
          </w:p>
        </w:tc>
        <w:tc>
          <w:tcPr>
            <w:tcW w:w="90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4" w:type="dxa"/>
            <w:shd w:val="clear" w:color="auto" w:fill="D8D8D8"/>
            <w:vAlign w:val="center"/>
          </w:tcPr>
          <w:p>
            <w:pPr>
              <w:ind w:left="992"/>
              <w:rPr>
                <w:szCs w:val="21"/>
              </w:rPr>
            </w:pPr>
            <w:permStart w:id="29" w:edGrp="everyone"/>
          </w:p>
        </w:tc>
        <w:tc>
          <w:tcPr>
            <w:tcW w:w="9053" w:type="dxa"/>
            <w:gridSpan w:val="2"/>
            <w:vAlign w:val="center"/>
          </w:tcPr>
          <w:p>
            <w:pPr>
              <w:jc w:val="center"/>
              <w:rPr>
                <w:szCs w:val="21"/>
                <w:lang w:eastAsia="zh-CN"/>
              </w:rPr>
            </w:pPr>
            <w:r>
              <w:rPr>
                <w:rFonts w:ascii="宋体" w:hAnsi="宋体"/>
                <w:color w:val="000000"/>
                <w:szCs w:val="21"/>
                <w:lang w:eastAsia="zh-CN"/>
              </w:rPr>
              <w:t>N/A</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4" w:type="dxa"/>
            <w:shd w:val="clear" w:color="auto" w:fill="D9D9D9"/>
            <w:vAlign w:val="center"/>
          </w:tcPr>
          <w:p>
            <w:pPr>
              <w:pStyle w:val="32"/>
              <w:numPr>
                <w:ilvl w:val="0"/>
                <w:numId w:val="10"/>
              </w:numPr>
              <w:ind w:firstLineChars="0"/>
              <w:rPr>
                <w:rFonts w:ascii="Times New Roman" w:hAnsi="Times New Roman"/>
                <w:szCs w:val="21"/>
              </w:rPr>
            </w:pPr>
          </w:p>
        </w:tc>
        <w:tc>
          <w:tcPr>
            <w:tcW w:w="6972" w:type="dxa"/>
            <w:shd w:val="clear" w:color="auto" w:fill="D9D9D9"/>
            <w:vAlign w:val="center"/>
          </w:tcPr>
          <w:p>
            <w:pPr>
              <w:jc w:val="both"/>
              <w:rPr>
                <w:szCs w:val="21"/>
                <w:lang w:eastAsia="zh-CN"/>
              </w:rPr>
            </w:pPr>
            <w:r>
              <w:rPr>
                <w:szCs w:val="21"/>
                <w:lang w:eastAsia="zh-CN"/>
              </w:rPr>
              <w:t>电气保护</w:t>
            </w:r>
          </w:p>
        </w:tc>
        <w:tc>
          <w:tcPr>
            <w:tcW w:w="2081"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4" w:type="dxa"/>
            <w:vAlign w:val="center"/>
          </w:tcPr>
          <w:p>
            <w:pPr>
              <w:pStyle w:val="32"/>
              <w:numPr>
                <w:ilvl w:val="0"/>
                <w:numId w:val="7"/>
              </w:numPr>
              <w:ind w:left="470" w:hanging="120" w:firstLineChars="0"/>
              <w:rPr>
                <w:rFonts w:ascii="Times New Roman" w:hAnsi="Times New Roman"/>
                <w:szCs w:val="21"/>
              </w:rPr>
            </w:pPr>
            <w:permStart w:id="30" w:edGrp="everyone"/>
          </w:p>
        </w:tc>
        <w:tc>
          <w:tcPr>
            <w:tcW w:w="6972" w:type="dxa"/>
            <w:vAlign w:val="center"/>
          </w:tcPr>
          <w:p>
            <w:pPr>
              <w:pStyle w:val="8"/>
              <w:rPr>
                <w:rFonts w:ascii="宋体" w:hAnsi="宋体"/>
                <w:sz w:val="21"/>
                <w:szCs w:val="21"/>
                <w:lang w:val="en-US" w:eastAsia="zh-CN"/>
              </w:rPr>
            </w:pPr>
            <w:r>
              <w:rPr>
                <w:rFonts w:hint="eastAsia" w:ascii="宋体" w:hAnsi="宋体"/>
                <w:sz w:val="21"/>
                <w:szCs w:val="21"/>
                <w:lang w:eastAsia="zh-CN"/>
              </w:rPr>
              <w:t>电气安全应符合</w:t>
            </w:r>
            <w:r>
              <w:rPr>
                <w:rFonts w:ascii="宋体" w:hAnsi="宋体"/>
                <w:sz w:val="21"/>
                <w:szCs w:val="21"/>
                <w:lang w:eastAsia="zh-CN"/>
              </w:rPr>
              <w:t>GB4793.1</w:t>
            </w:r>
            <w:r>
              <w:rPr>
                <w:rFonts w:hint="eastAsia" w:ascii="宋体" w:hAnsi="宋体"/>
                <w:sz w:val="21"/>
                <w:szCs w:val="21"/>
                <w:lang w:eastAsia="zh-CN"/>
              </w:rPr>
              <w:t>和</w:t>
            </w:r>
            <w:r>
              <w:rPr>
                <w:rFonts w:ascii="宋体" w:hAnsi="宋体"/>
                <w:sz w:val="21"/>
                <w:szCs w:val="21"/>
                <w:lang w:eastAsia="zh-CN"/>
              </w:rPr>
              <w:t>GB4793.4</w:t>
            </w:r>
            <w:r>
              <w:rPr>
                <w:rFonts w:hint="eastAsia" w:ascii="宋体" w:hAnsi="宋体"/>
                <w:sz w:val="21"/>
                <w:szCs w:val="21"/>
                <w:lang w:eastAsia="zh-CN"/>
              </w:rPr>
              <w:t>的要求</w:t>
            </w:r>
          </w:p>
        </w:tc>
        <w:tc>
          <w:tcPr>
            <w:tcW w:w="2081"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4" w:type="dxa"/>
            <w:vAlign w:val="center"/>
          </w:tcPr>
          <w:p>
            <w:pPr>
              <w:pStyle w:val="32"/>
              <w:numPr>
                <w:ilvl w:val="0"/>
                <w:numId w:val="7"/>
              </w:numPr>
              <w:ind w:left="470" w:hanging="120" w:firstLineChars="0"/>
              <w:rPr>
                <w:rFonts w:ascii="Times New Roman" w:hAnsi="Times New Roman"/>
                <w:szCs w:val="21"/>
              </w:rPr>
            </w:pPr>
          </w:p>
        </w:tc>
        <w:tc>
          <w:tcPr>
            <w:tcW w:w="6972" w:type="dxa"/>
            <w:vAlign w:val="center"/>
          </w:tcPr>
          <w:p>
            <w:pPr>
              <w:pStyle w:val="8"/>
              <w:rPr>
                <w:rFonts w:ascii="宋体" w:hAnsi="宋体"/>
                <w:sz w:val="21"/>
                <w:szCs w:val="21"/>
                <w:lang w:eastAsia="zh-CN"/>
              </w:rPr>
            </w:pPr>
            <w:r>
              <w:rPr>
                <w:rFonts w:hint="eastAsia" w:ascii="宋体" w:hAnsi="宋体"/>
                <w:sz w:val="21"/>
                <w:szCs w:val="21"/>
                <w:lang w:eastAsia="zh-CN"/>
              </w:rPr>
              <w:t>电磁兼容性应符合</w:t>
            </w:r>
            <w:r>
              <w:rPr>
                <w:rFonts w:ascii="宋体" w:hAnsi="宋体"/>
                <w:sz w:val="21"/>
                <w:szCs w:val="21"/>
                <w:lang w:eastAsia="zh-CN"/>
              </w:rPr>
              <w:t>GB/T18268—2000</w:t>
            </w:r>
            <w:r>
              <w:rPr>
                <w:rFonts w:hint="eastAsia" w:ascii="宋体" w:hAnsi="宋体"/>
                <w:sz w:val="21"/>
                <w:szCs w:val="21"/>
                <w:lang w:eastAsia="zh-CN"/>
              </w:rPr>
              <w:t>的要求</w:t>
            </w:r>
          </w:p>
        </w:tc>
        <w:tc>
          <w:tcPr>
            <w:tcW w:w="2081" w:type="dxa"/>
            <w:vAlign w:val="center"/>
          </w:tcPr>
          <w:p>
            <w:pPr>
              <w:pStyle w:val="8"/>
              <w:jc w:val="center"/>
              <w:rPr>
                <w:rFonts w:ascii="宋体" w:hAnsi="宋体"/>
                <w:sz w:val="21"/>
                <w:szCs w:val="21"/>
                <w:lang w:eastAsia="zh-CN"/>
              </w:rPr>
            </w:pPr>
            <w:r>
              <w:rPr>
                <w:rFonts w:hint="eastAsia" w:ascii="宋体" w:hAnsi="宋体"/>
                <w:color w:val="000000"/>
                <w:sz w:val="21"/>
                <w:szCs w:val="21"/>
                <w:lang w:eastAsia="zh-CN"/>
              </w:rPr>
              <w:t>关键</w:t>
            </w:r>
          </w:p>
        </w:tc>
      </w:tr>
      <w:permEnd w:id="30"/>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1" w:edGrp="everyone"/>
            <w:permEnd w:id="3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2" w:edGrp="everyone"/>
          </w:p>
        </w:tc>
        <w:tc>
          <w:tcPr>
            <w:tcW w:w="6970" w:type="dxa"/>
            <w:vAlign w:val="center"/>
          </w:tcPr>
          <w:p>
            <w:pPr>
              <w:pStyle w:val="8"/>
              <w:rPr>
                <w:rFonts w:ascii="宋体" w:hAnsi="宋体"/>
                <w:sz w:val="21"/>
                <w:szCs w:val="21"/>
                <w:lang w:val="en-US" w:eastAsia="zh-CN"/>
              </w:rPr>
            </w:pPr>
            <w:r>
              <w:rPr>
                <w:rFonts w:hint="eastAsia" w:ascii="宋体" w:hAnsi="宋体"/>
                <w:sz w:val="21"/>
                <w:szCs w:val="21"/>
                <w:lang w:val="en-US" w:eastAsia="zh-CN"/>
              </w:rPr>
              <w:t>设备使用说明书与维护手册。提交</w:t>
            </w:r>
            <w:r>
              <w:rPr>
                <w:rFonts w:ascii="宋体" w:hAnsi="宋体"/>
                <w:sz w:val="21"/>
                <w:szCs w:val="21"/>
                <w:lang w:val="en-US" w:eastAsia="zh-CN"/>
              </w:rPr>
              <w:t>时限：</w:t>
            </w:r>
            <w:r>
              <w:rPr>
                <w:rFonts w:hint="eastAsia" w:ascii="宋体" w:hAnsi="宋体"/>
                <w:sz w:val="21"/>
                <w:szCs w:val="21"/>
                <w:lang w:val="en-US" w:eastAsia="zh-CN"/>
              </w:rPr>
              <w:t>设备开箱验收</w:t>
            </w:r>
          </w:p>
        </w:tc>
        <w:tc>
          <w:tcPr>
            <w:tcW w:w="2082" w:type="dxa"/>
            <w:vAlign w:val="center"/>
          </w:tcPr>
          <w:p>
            <w:pPr>
              <w:jc w:val="center"/>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3" w:edGrp="everyone"/>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投标文件、合同及订单。</w:t>
            </w:r>
            <w:r>
              <w:rPr>
                <w:rFonts w:ascii="宋体" w:hAnsi="宋体"/>
                <w:sz w:val="21"/>
                <w:szCs w:val="21"/>
                <w:lang w:eastAsia="zh-CN"/>
              </w:rPr>
              <w:t>提交</w:t>
            </w:r>
            <w:r>
              <w:rPr>
                <w:rFonts w:hint="eastAsia" w:ascii="宋体" w:hAnsi="宋体"/>
                <w:sz w:val="21"/>
                <w:szCs w:val="21"/>
                <w:lang w:eastAsia="zh-CN"/>
              </w:rPr>
              <w:t>时限</w:t>
            </w:r>
            <w:r>
              <w:rPr>
                <w:rFonts w:ascii="宋体" w:hAnsi="宋体"/>
                <w:sz w:val="21"/>
                <w:szCs w:val="21"/>
                <w:lang w:eastAsia="zh-CN"/>
              </w:rPr>
              <w:t>：</w:t>
            </w:r>
            <w:r>
              <w:rPr>
                <w:rFonts w:hint="eastAsia" w:ascii="宋体" w:hAnsi="宋体"/>
                <w:sz w:val="21"/>
                <w:szCs w:val="21"/>
                <w:lang w:eastAsia="zh-CN"/>
              </w:rPr>
              <w:t>设备开箱验收。</w:t>
            </w:r>
          </w:p>
        </w:tc>
        <w:tc>
          <w:tcPr>
            <w:tcW w:w="2082" w:type="dxa"/>
            <w:vAlign w:val="center"/>
          </w:tcPr>
          <w:p>
            <w:pPr>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4" w:edGrp="everyone"/>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卖方发运清单及相关检验报告。</w:t>
            </w:r>
            <w:r>
              <w:rPr>
                <w:rFonts w:ascii="宋体" w:hAnsi="宋体"/>
                <w:sz w:val="21"/>
                <w:szCs w:val="21"/>
                <w:lang w:eastAsia="zh-CN"/>
              </w:rPr>
              <w:t>提交</w:t>
            </w:r>
            <w:r>
              <w:rPr>
                <w:rFonts w:hint="eastAsia" w:ascii="宋体" w:hAnsi="宋体"/>
                <w:sz w:val="21"/>
                <w:szCs w:val="21"/>
                <w:lang w:eastAsia="zh-CN"/>
              </w:rPr>
              <w:t>时限</w:t>
            </w:r>
            <w:r>
              <w:rPr>
                <w:rFonts w:ascii="宋体" w:hAnsi="宋体"/>
                <w:sz w:val="21"/>
                <w:szCs w:val="21"/>
                <w:lang w:eastAsia="zh-CN"/>
              </w:rPr>
              <w:t>：</w:t>
            </w:r>
            <w:r>
              <w:rPr>
                <w:rFonts w:hint="eastAsia" w:ascii="宋体" w:hAnsi="宋体"/>
                <w:sz w:val="21"/>
                <w:szCs w:val="21"/>
                <w:lang w:eastAsia="zh-CN"/>
              </w:rPr>
              <w:t>设备开箱验收。</w:t>
            </w:r>
          </w:p>
        </w:tc>
        <w:tc>
          <w:tcPr>
            <w:tcW w:w="2082" w:type="dxa"/>
            <w:vAlign w:val="center"/>
          </w:tcPr>
          <w:p>
            <w:pPr>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5" w:edGrp="everyone"/>
          </w:p>
        </w:tc>
        <w:tc>
          <w:tcPr>
            <w:tcW w:w="6970" w:type="dxa"/>
            <w:vAlign w:val="center"/>
          </w:tcPr>
          <w:p>
            <w:pPr>
              <w:pStyle w:val="8"/>
              <w:rPr>
                <w:rFonts w:ascii="宋体" w:hAnsi="宋体"/>
                <w:sz w:val="21"/>
                <w:szCs w:val="21"/>
                <w:lang w:eastAsia="zh-CN"/>
              </w:rPr>
            </w:pPr>
            <w:r>
              <w:rPr>
                <w:rFonts w:hint="eastAsia" w:ascii="宋体" w:hAnsi="宋体"/>
                <w:bCs/>
                <w:sz w:val="21"/>
                <w:szCs w:val="21"/>
                <w:lang w:eastAsia="zh-CN"/>
              </w:rPr>
              <w:t>图纸：实物图；各种确认、维修等活动所需的电子版及打印版图纸（</w:t>
            </w:r>
            <w:r>
              <w:rPr>
                <w:rFonts w:ascii="宋体" w:hAnsi="宋体"/>
                <w:bCs/>
                <w:sz w:val="21"/>
                <w:szCs w:val="21"/>
                <w:lang w:eastAsia="zh-CN"/>
              </w:rPr>
              <w:t>P&amp;ID</w:t>
            </w:r>
            <w:r>
              <w:rPr>
                <w:rFonts w:hint="eastAsia" w:ascii="宋体" w:hAnsi="宋体"/>
                <w:bCs/>
                <w:sz w:val="21"/>
                <w:szCs w:val="21"/>
                <w:lang w:eastAsia="zh-CN"/>
              </w:rPr>
              <w:t>图、尺寸图、安装图、必要的细节图、控制原理图、设备装配图、设备工作原理图、气动原理图、电气原理图，电气接线图；注释参考等；图纸清单。提交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期望</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6" w:edGrp="everyone"/>
          </w:p>
        </w:tc>
        <w:tc>
          <w:tcPr>
            <w:tcW w:w="6970" w:type="dxa"/>
            <w:vAlign w:val="center"/>
          </w:tcPr>
          <w:p>
            <w:pPr>
              <w:pStyle w:val="8"/>
              <w:rPr>
                <w:rFonts w:ascii="宋体" w:hAnsi="宋体"/>
                <w:sz w:val="21"/>
                <w:szCs w:val="21"/>
                <w:lang w:eastAsia="zh-CN"/>
              </w:rPr>
            </w:pPr>
            <w:r>
              <w:rPr>
                <w:rFonts w:hint="eastAsia" w:ascii="宋体" w:hAnsi="宋体"/>
                <w:bCs/>
                <w:sz w:val="21"/>
                <w:szCs w:val="21"/>
                <w:lang w:eastAsia="zh-CN"/>
              </w:rPr>
              <w:t>组件、备件、消耗品、仪表清单：包括名称、编号、对应厂家名称、生产地、规格及必要说明</w:t>
            </w:r>
            <w:r>
              <w:rPr>
                <w:rFonts w:hint="eastAsia" w:ascii="宋体" w:hAnsi="宋体"/>
                <w:sz w:val="21"/>
                <w:szCs w:val="21"/>
                <w:lang w:eastAsia="zh-CN"/>
              </w:rPr>
              <w:t>。</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7" w:edGrp="everyone"/>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设备制造文件：工厂相关检测报告、材质清单及材质证书（写明材料有效期）、清洁处理程序、各种标示、出厂合格证、校验合格报告、各组件相关报告及合格证。</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sz w:val="21"/>
                <w:szCs w:val="21"/>
                <w:lang w:val="en-US" w:eastAsia="zh-CN"/>
              </w:rPr>
            </w:pPr>
            <w:r>
              <w:rPr>
                <w:rFonts w:hint="eastAsia" w:ascii="宋体" w:hAnsi="宋体"/>
                <w:sz w:val="21"/>
                <w:szCs w:val="21"/>
                <w:lang w:eastAsia="zh-CN"/>
              </w:rPr>
              <w:t>设计确认（DQ）:图纸</w:t>
            </w:r>
            <w:r>
              <w:rPr>
                <w:rFonts w:ascii="宋体" w:hAnsi="宋体"/>
                <w:sz w:val="21"/>
                <w:szCs w:val="21"/>
                <w:lang w:eastAsia="zh-CN"/>
              </w:rPr>
              <w:t>与</w:t>
            </w:r>
            <w:r>
              <w:rPr>
                <w:rFonts w:hint="eastAsia" w:ascii="宋体" w:hAnsi="宋体"/>
                <w:sz w:val="21"/>
                <w:szCs w:val="21"/>
                <w:lang w:eastAsia="zh-CN"/>
              </w:rPr>
              <w:t>文件</w:t>
            </w:r>
            <w:r>
              <w:rPr>
                <w:rFonts w:ascii="宋体" w:hAnsi="宋体"/>
                <w:sz w:val="21"/>
                <w:szCs w:val="21"/>
                <w:lang w:eastAsia="zh-CN"/>
              </w:rPr>
              <w:t>一起提交</w:t>
            </w:r>
            <w:r>
              <w:rPr>
                <w:rFonts w:hint="eastAsia" w:ascii="宋体" w:hAnsi="宋体"/>
                <w:sz w:val="21"/>
                <w:szCs w:val="21"/>
                <w:lang w:eastAsia="zh-CN"/>
              </w:rPr>
              <w:t>, 设计参数应与我方进行确认并认可.提交</w:t>
            </w:r>
            <w:r>
              <w:rPr>
                <w:rFonts w:ascii="宋体" w:hAnsi="宋体"/>
                <w:sz w:val="21"/>
                <w:szCs w:val="21"/>
                <w:lang w:eastAsia="zh-CN"/>
              </w:rPr>
              <w:t>时限</w:t>
            </w:r>
            <w:r>
              <w:rPr>
                <w:rFonts w:hint="eastAsia" w:ascii="宋体" w:hAnsi="宋体"/>
                <w:sz w:val="21"/>
                <w:szCs w:val="21"/>
                <w:lang w:eastAsia="zh-CN"/>
              </w:rPr>
              <w:t>:</w:t>
            </w:r>
            <w:r>
              <w:rPr>
                <w:rFonts w:hint="eastAsia"/>
                <w:lang w:eastAsia="zh-CN"/>
              </w:rPr>
              <w:t xml:space="preserve"> </w:t>
            </w:r>
            <w:r>
              <w:rPr>
                <w:rFonts w:hint="eastAsia" w:ascii="宋体" w:hAnsi="宋体"/>
                <w:sz w:val="21"/>
                <w:szCs w:val="21"/>
                <w:lang w:eastAsia="zh-CN"/>
              </w:rPr>
              <w:t>设计完成后，制造及安装开始前完成审批并提交</w:t>
            </w:r>
            <w:r>
              <w:rPr>
                <w:rFonts w:hint="eastAsia" w:ascii="宋体" w:hAnsi="宋体"/>
                <w:sz w:val="21"/>
                <w:szCs w:val="21"/>
                <w:lang w:val="en-US" w:eastAsia="zh-CN"/>
              </w:rPr>
              <w:t>。</w:t>
            </w:r>
          </w:p>
        </w:tc>
        <w:tc>
          <w:tcPr>
            <w:tcW w:w="2082"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spacing w:line="460" w:lineRule="exact"/>
              <w:rPr>
                <w:rFonts w:ascii="宋体" w:hAnsi="宋体"/>
                <w:sz w:val="21"/>
                <w:szCs w:val="21"/>
                <w:lang w:eastAsia="zh-CN"/>
              </w:rPr>
            </w:pPr>
            <w:r>
              <w:rPr>
                <w:rFonts w:hint="eastAsia" w:ascii="宋体" w:hAnsi="宋体"/>
                <w:sz w:val="21"/>
                <w:szCs w:val="21"/>
                <w:lang w:eastAsia="zh-CN"/>
              </w:rPr>
              <w:t>验证文件：安装确认及文件（</w:t>
            </w:r>
            <w:r>
              <w:rPr>
                <w:rFonts w:ascii="宋体" w:hAnsi="宋体"/>
                <w:sz w:val="21"/>
                <w:szCs w:val="21"/>
                <w:lang w:eastAsia="zh-CN"/>
              </w:rPr>
              <w:t>IQ</w:t>
            </w:r>
            <w:r>
              <w:rPr>
                <w:rFonts w:hint="eastAsia" w:ascii="宋体" w:hAnsi="宋体"/>
                <w:sz w:val="21"/>
                <w:szCs w:val="21"/>
                <w:lang w:eastAsia="zh-CN"/>
              </w:rPr>
              <w:t>）。提交</w:t>
            </w:r>
            <w:r>
              <w:rPr>
                <w:rFonts w:ascii="宋体" w:hAnsi="宋体"/>
                <w:sz w:val="21"/>
                <w:szCs w:val="21"/>
                <w:lang w:eastAsia="zh-CN"/>
              </w:rPr>
              <w:t>时限：</w:t>
            </w:r>
            <w:r>
              <w:rPr>
                <w:rFonts w:hint="eastAsia" w:ascii="宋体" w:hAnsi="宋体"/>
                <w:sz w:val="21"/>
                <w:szCs w:val="21"/>
                <w:lang w:eastAsia="zh-CN"/>
              </w:rPr>
              <w:t>OQ开始前完成审批并提交。</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spacing w:line="460" w:lineRule="exact"/>
              <w:rPr>
                <w:rFonts w:ascii="宋体" w:hAnsi="宋体"/>
                <w:sz w:val="21"/>
                <w:szCs w:val="21"/>
                <w:lang w:eastAsia="zh-CN"/>
              </w:rPr>
            </w:pPr>
            <w:r>
              <w:rPr>
                <w:rFonts w:hint="eastAsia" w:ascii="宋体" w:hAnsi="宋体"/>
                <w:sz w:val="21"/>
                <w:szCs w:val="21"/>
                <w:lang w:eastAsia="zh-CN"/>
              </w:rPr>
              <w:t>验证文件：运行确认及文件（</w:t>
            </w:r>
            <w:r>
              <w:rPr>
                <w:rFonts w:ascii="宋体" w:hAnsi="宋体"/>
                <w:sz w:val="21"/>
                <w:szCs w:val="21"/>
                <w:lang w:eastAsia="zh-CN"/>
              </w:rPr>
              <w:t>OQ</w:t>
            </w:r>
            <w:r>
              <w:rPr>
                <w:rFonts w:hint="eastAsia" w:ascii="宋体" w:hAnsi="宋体"/>
                <w:sz w:val="21"/>
                <w:szCs w:val="21"/>
                <w:lang w:eastAsia="zh-CN"/>
              </w:rPr>
              <w:t>）。提交</w:t>
            </w:r>
            <w:r>
              <w:rPr>
                <w:rFonts w:ascii="宋体" w:hAnsi="宋体"/>
                <w:sz w:val="21"/>
                <w:szCs w:val="21"/>
                <w:lang w:eastAsia="zh-CN"/>
              </w:rPr>
              <w:t>时限：P</w:t>
            </w:r>
            <w:r>
              <w:rPr>
                <w:rFonts w:hint="eastAsia" w:ascii="宋体" w:hAnsi="宋体"/>
                <w:sz w:val="21"/>
                <w:szCs w:val="21"/>
                <w:lang w:eastAsia="zh-CN"/>
              </w:rPr>
              <w:t>Q开始前完成审批并提交。</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spacing w:line="460" w:lineRule="exact"/>
              <w:rPr>
                <w:rFonts w:ascii="宋体" w:hAnsi="宋体"/>
                <w:sz w:val="21"/>
                <w:szCs w:val="21"/>
                <w:lang w:eastAsia="zh-CN"/>
              </w:rPr>
            </w:pPr>
            <w:r>
              <w:rPr>
                <w:rFonts w:hint="eastAsia" w:ascii="宋体" w:hAnsi="宋体"/>
                <w:sz w:val="21"/>
                <w:szCs w:val="21"/>
                <w:lang w:eastAsia="zh-CN"/>
              </w:rPr>
              <w:t>温度</w:t>
            </w:r>
            <w:r>
              <w:rPr>
                <w:rFonts w:ascii="宋体" w:hAnsi="宋体"/>
                <w:sz w:val="21"/>
                <w:szCs w:val="21"/>
                <w:lang w:eastAsia="zh-CN"/>
              </w:rPr>
              <w:t>、转速</w:t>
            </w:r>
            <w:r>
              <w:rPr>
                <w:rFonts w:hint="eastAsia" w:ascii="宋体" w:hAnsi="宋体"/>
                <w:sz w:val="21"/>
                <w:szCs w:val="21"/>
                <w:lang w:eastAsia="zh-CN"/>
              </w:rPr>
              <w:t>校准证书。提交</w:t>
            </w:r>
            <w:r>
              <w:rPr>
                <w:rFonts w:ascii="宋体" w:hAnsi="宋体"/>
                <w:sz w:val="21"/>
                <w:szCs w:val="21"/>
                <w:lang w:eastAsia="zh-CN"/>
              </w:rPr>
              <w:t>时限：</w:t>
            </w:r>
            <w:r>
              <w:rPr>
                <w:rFonts w:hint="eastAsia" w:ascii="宋体" w:hAnsi="宋体"/>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eastAsia="宋体"/>
                <w:sz w:val="21"/>
                <w:szCs w:val="21"/>
                <w:lang w:eastAsia="zh-CN"/>
              </w:rPr>
            </w:pPr>
            <w:r>
              <w:rPr>
                <w:rFonts w:hint="eastAsia" w:ascii="微软雅黑" w:hAnsi="微软雅黑" w:eastAsia="宋体"/>
                <w:color w:val="111111"/>
                <w:sz w:val="21"/>
                <w:szCs w:val="21"/>
                <w:shd w:val="clear" w:color="auto" w:fill="FFFFFF"/>
                <w:lang w:eastAsia="zh-CN"/>
              </w:rPr>
              <w:t>上述条款规定的文件需提供电子版，并在设备开箱验收时将最终批准的电子版及纸质版全套资料交工程技术部存档。</w:t>
            </w:r>
          </w:p>
        </w:tc>
        <w:tc>
          <w:tcPr>
            <w:tcW w:w="2082" w:type="dxa"/>
            <w:vAlign w:val="center"/>
          </w:tcPr>
          <w:p>
            <w:pPr>
              <w:jc w:val="center"/>
              <w:rPr>
                <w:szCs w:val="21"/>
                <w:lang w:eastAsia="zh-CN"/>
              </w:rPr>
            </w:pPr>
            <w:r>
              <w:rPr>
                <w:rFonts w:hint="eastAsia"/>
                <w:szCs w:val="21"/>
                <w:lang w:eastAsia="zh-CN"/>
              </w:rPr>
              <w:t>关键</w:t>
            </w:r>
          </w:p>
        </w:tc>
      </w:tr>
      <w:permEnd w:id="37"/>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15"/>
        <w:gridCol w:w="55"/>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8" w:edGrp="everyone"/>
            <w:permEnd w:id="38"/>
            <w:r>
              <w:rPr>
                <w:b/>
                <w:szCs w:val="21"/>
              </w:rPr>
              <w:t>编号</w:t>
            </w:r>
          </w:p>
        </w:tc>
        <w:tc>
          <w:tcPr>
            <w:tcW w:w="6970" w:type="dxa"/>
            <w:gridSpan w:val="2"/>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9" w:edGrp="everyone"/>
          </w:p>
        </w:tc>
        <w:tc>
          <w:tcPr>
            <w:tcW w:w="6970" w:type="dxa"/>
            <w:gridSpan w:val="2"/>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082" w:type="dxa"/>
            <w:vAlign w:val="center"/>
          </w:tcPr>
          <w:p>
            <w:pPr>
              <w:jc w:val="center"/>
              <w:rPr>
                <w:szCs w:val="21"/>
                <w:lang w:eastAsia="zh-CN"/>
              </w:rPr>
            </w:pPr>
            <w:r>
              <w:rPr>
                <w:rFonts w:hint="eastAsia"/>
                <w:szCs w:val="21"/>
                <w:lang w:eastAsia="zh-CN"/>
              </w:rPr>
              <w:t>期望</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0" w:edGrp="everyone"/>
          </w:p>
        </w:tc>
        <w:tc>
          <w:tcPr>
            <w:tcW w:w="6970" w:type="dxa"/>
            <w:gridSpan w:val="2"/>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082" w:type="dxa"/>
            <w:vAlign w:val="center"/>
          </w:tcPr>
          <w:p>
            <w:pPr>
              <w:jc w:val="center"/>
              <w:rPr>
                <w:szCs w:val="21"/>
                <w:lang w:eastAsia="zh-CN"/>
              </w:rPr>
            </w:pPr>
            <w:r>
              <w:rPr>
                <w:rFonts w:hint="eastAsia"/>
                <w:szCs w:val="21"/>
                <w:lang w:eastAsia="zh-CN"/>
              </w:rPr>
              <w:t>期望</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1" w:edGrp="everyone"/>
          </w:p>
        </w:tc>
        <w:tc>
          <w:tcPr>
            <w:tcW w:w="6970" w:type="dxa"/>
            <w:gridSpan w:val="2"/>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vAlign w:val="center"/>
          </w:tcPr>
          <w:p>
            <w:pPr>
              <w:jc w:val="center"/>
              <w:rPr>
                <w:szCs w:val="21"/>
                <w:lang w:eastAsia="zh-CN"/>
              </w:rPr>
            </w:pPr>
            <w:r>
              <w:rPr>
                <w:rFonts w:hint="eastAsia"/>
                <w:szCs w:val="21"/>
                <w:lang w:eastAsia="zh-CN"/>
              </w:rPr>
              <w:t>期望</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2" w:edGrp="everyone"/>
          </w:p>
        </w:tc>
        <w:tc>
          <w:tcPr>
            <w:tcW w:w="6970" w:type="dxa"/>
            <w:gridSpan w:val="2"/>
            <w:vAlign w:val="center"/>
          </w:tcPr>
          <w:p>
            <w:pPr>
              <w:jc w:val="both"/>
              <w:rPr>
                <w:szCs w:val="21"/>
                <w:lang w:eastAsia="zh-CN"/>
              </w:rPr>
            </w:pPr>
            <w:r>
              <w:rPr>
                <w:lang w:eastAsia="zh-CN"/>
              </w:rPr>
              <w:t>设备运输在运输途中需做好防护措施，不得有任何损伤。</w:t>
            </w:r>
          </w:p>
        </w:tc>
        <w:tc>
          <w:tcPr>
            <w:tcW w:w="2082" w:type="dxa"/>
            <w:vAlign w:val="center"/>
          </w:tcPr>
          <w:p>
            <w:pPr>
              <w:jc w:val="cente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3" w:edGrp="everyone"/>
          </w:p>
        </w:tc>
        <w:tc>
          <w:tcPr>
            <w:tcW w:w="6915" w:type="dxa"/>
            <w:vAlign w:val="center"/>
          </w:tcPr>
          <w:p>
            <w:pPr>
              <w:pStyle w:val="8"/>
              <w:rPr>
                <w:sz w:val="21"/>
                <w:szCs w:val="21"/>
                <w:lang w:eastAsia="zh-CN"/>
              </w:rPr>
            </w:pPr>
            <w:r>
              <w:rPr>
                <w:rFonts w:hint="eastAsia" w:ascii="宋体" w:hAnsi="宋体"/>
                <w:sz w:val="21"/>
                <w:szCs w:val="21"/>
                <w:lang w:eastAsia="zh-CN"/>
              </w:rPr>
              <w:t>验证包括</w:t>
            </w:r>
            <w:r>
              <w:rPr>
                <w:rFonts w:ascii="宋体" w:hAnsi="宋体"/>
                <w:color w:val="000000"/>
                <w:sz w:val="21"/>
                <w:szCs w:val="21"/>
                <w:lang w:eastAsia="zh-CN"/>
              </w:rPr>
              <w:t>IQ</w:t>
            </w:r>
            <w:r>
              <w:rPr>
                <w:rFonts w:hint="eastAsia" w:ascii="宋体" w:hAnsi="宋体"/>
                <w:color w:val="000000"/>
                <w:sz w:val="21"/>
                <w:szCs w:val="21"/>
                <w:lang w:eastAsia="zh-CN"/>
              </w:rPr>
              <w:t>、</w:t>
            </w:r>
            <w:r>
              <w:rPr>
                <w:rFonts w:ascii="宋体" w:hAnsi="宋体"/>
                <w:color w:val="000000"/>
                <w:sz w:val="21"/>
                <w:szCs w:val="21"/>
                <w:lang w:eastAsia="zh-CN"/>
              </w:rPr>
              <w:t>OQ</w:t>
            </w:r>
            <w:r>
              <w:rPr>
                <w:rFonts w:hint="eastAsia" w:ascii="宋体" w:hAnsi="宋体"/>
                <w:color w:val="000000"/>
                <w:sz w:val="21"/>
                <w:szCs w:val="21"/>
                <w:lang w:eastAsia="zh-CN"/>
              </w:rPr>
              <w:t>，供应商必须保证设备验证符合我公司要求。</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rPr>
                <w:rFonts w:ascii="宋体" w:hAnsi="宋体"/>
                <w:sz w:val="21"/>
                <w:szCs w:val="21"/>
                <w:lang w:eastAsia="zh-CN"/>
              </w:rPr>
            </w:pPr>
            <w:r>
              <w:rPr>
                <w:rFonts w:hint="eastAsia" w:ascii="宋体" w:hAnsi="宋体"/>
                <w:color w:val="000000"/>
                <w:sz w:val="21"/>
                <w:szCs w:val="21"/>
                <w:lang w:eastAsia="zh-CN"/>
              </w:rPr>
              <w:t>各验证工作开始前验证方案需经过本公司相关部门审核，并经质量保证部批准。</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color w:val="000000"/>
                <w:sz w:val="21"/>
                <w:szCs w:val="21"/>
                <w:lang w:eastAsia="zh-CN"/>
              </w:rPr>
            </w:pPr>
            <w:r>
              <w:rPr>
                <w:rFonts w:hint="eastAsia" w:ascii="宋体" w:hAnsi="宋体"/>
                <w:color w:val="000000"/>
                <w:sz w:val="21"/>
                <w:szCs w:val="21"/>
                <w:lang w:eastAsia="zh-CN"/>
              </w:rPr>
              <w:t>验证工作应按时保质完成，供应商需提供验证工作计划表。</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hAnsi="宋体"/>
                <w:color w:val="000000"/>
                <w:sz w:val="21"/>
                <w:szCs w:val="21"/>
                <w:lang w:eastAsia="zh-CN"/>
              </w:rPr>
            </w:pPr>
            <w:r>
              <w:rPr>
                <w:rFonts w:hint="eastAsia" w:ascii="宋体" w:hAnsi="宋体"/>
                <w:color w:val="000000"/>
                <w:sz w:val="21"/>
                <w:szCs w:val="21"/>
                <w:lang w:eastAsia="zh-CN"/>
              </w:rPr>
              <w:t>验证项目应包含法规要求的测试项目，以及本公司提出的测试项目。</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hAnsi="宋体"/>
                <w:color w:val="000000"/>
                <w:sz w:val="21"/>
                <w:szCs w:val="21"/>
                <w:lang w:eastAsia="zh-CN"/>
              </w:rPr>
            </w:pPr>
            <w:r>
              <w:rPr>
                <w:rFonts w:hint="eastAsia" w:ascii="宋体" w:hAnsi="宋体"/>
                <w:color w:val="000000"/>
                <w:sz w:val="21"/>
                <w:szCs w:val="21"/>
                <w:lang w:eastAsia="zh-CN"/>
              </w:rPr>
              <w:t>验证工作完成后，验证记录经本公司相关部门审核，并经质量保证部批准。</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color w:val="000000"/>
                <w:sz w:val="21"/>
                <w:szCs w:val="21"/>
                <w:lang w:eastAsia="zh-CN"/>
              </w:rPr>
            </w:pPr>
            <w:r>
              <w:rPr>
                <w:rFonts w:hint="eastAsia" w:ascii="宋体" w:hAnsi="宋体"/>
                <w:color w:val="000000"/>
                <w:sz w:val="21"/>
                <w:szCs w:val="21"/>
                <w:lang w:eastAsia="zh-CN"/>
              </w:rPr>
              <w:t>设备</w:t>
            </w:r>
            <w:r>
              <w:rPr>
                <w:rFonts w:ascii="宋体" w:hAnsi="宋体"/>
                <w:color w:val="000000"/>
                <w:sz w:val="21"/>
                <w:szCs w:val="21"/>
                <w:lang w:eastAsia="zh-CN"/>
              </w:rPr>
              <w:t>IQ</w:t>
            </w:r>
            <w:r>
              <w:rPr>
                <w:rFonts w:hint="eastAsia" w:ascii="宋体" w:hAnsi="宋体"/>
                <w:color w:val="000000"/>
                <w:sz w:val="21"/>
                <w:szCs w:val="21"/>
                <w:lang w:eastAsia="zh-CN"/>
              </w:rPr>
              <w:t>、</w:t>
            </w:r>
            <w:r>
              <w:rPr>
                <w:rFonts w:ascii="宋体" w:hAnsi="宋体"/>
                <w:color w:val="000000"/>
                <w:sz w:val="21"/>
                <w:szCs w:val="21"/>
                <w:lang w:eastAsia="zh-CN"/>
              </w:rPr>
              <w:t>OQ</w:t>
            </w:r>
            <w:r>
              <w:rPr>
                <w:rFonts w:hint="eastAsia" w:ascii="宋体" w:hAnsi="宋体"/>
                <w:color w:val="000000"/>
                <w:sz w:val="21"/>
                <w:szCs w:val="21"/>
                <w:lang w:eastAsia="zh-CN"/>
              </w:rPr>
              <w:t>等验证工作必须在供应商、我公司操作人员及我公司验证人员在场的情况下进行。</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hAnsi="宋体"/>
                <w:color w:val="000000"/>
                <w:sz w:val="21"/>
                <w:szCs w:val="21"/>
                <w:lang w:eastAsia="zh-CN"/>
              </w:rPr>
            </w:pPr>
            <w:r>
              <w:rPr>
                <w:rFonts w:hint="eastAsia" w:ascii="宋体" w:hAnsi="宋体"/>
                <w:color w:val="000000"/>
                <w:sz w:val="21"/>
                <w:szCs w:val="21"/>
                <w:lang w:eastAsia="zh-CN"/>
              </w:rPr>
              <w:t>设备完成</w:t>
            </w:r>
            <w:r>
              <w:rPr>
                <w:rFonts w:ascii="宋体" w:hAnsi="宋体"/>
                <w:color w:val="000000"/>
                <w:sz w:val="21"/>
                <w:szCs w:val="21"/>
                <w:lang w:eastAsia="zh-CN"/>
              </w:rPr>
              <w:t>IQ</w:t>
            </w:r>
            <w:r>
              <w:rPr>
                <w:rFonts w:hint="eastAsia" w:ascii="宋体" w:hAnsi="宋体"/>
                <w:color w:val="000000"/>
                <w:sz w:val="21"/>
                <w:szCs w:val="21"/>
                <w:lang w:eastAsia="zh-CN"/>
              </w:rPr>
              <w:t>、</w:t>
            </w:r>
            <w:r>
              <w:rPr>
                <w:rFonts w:ascii="宋体" w:hAnsi="宋体"/>
                <w:color w:val="000000"/>
                <w:sz w:val="21"/>
                <w:szCs w:val="21"/>
                <w:lang w:eastAsia="zh-CN"/>
              </w:rPr>
              <w:t>OQ</w:t>
            </w:r>
            <w:r>
              <w:rPr>
                <w:rFonts w:hint="eastAsia" w:ascii="宋体" w:hAnsi="宋体"/>
                <w:color w:val="000000"/>
                <w:sz w:val="21"/>
                <w:szCs w:val="21"/>
                <w:lang w:eastAsia="zh-CN"/>
              </w:rPr>
              <w:t>等验证，且验证合格之后才能签署《设备开箱验收单》。</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hAnsi="宋体"/>
                <w:color w:val="000000"/>
                <w:sz w:val="21"/>
                <w:szCs w:val="21"/>
                <w:lang w:eastAsia="zh-CN"/>
              </w:rPr>
            </w:pPr>
            <w:r>
              <w:rPr>
                <w:rFonts w:hint="eastAsia" w:ascii="宋体" w:hAnsi="宋体"/>
                <w:sz w:val="21"/>
                <w:szCs w:val="21"/>
                <w:lang w:eastAsia="zh-CN"/>
              </w:rPr>
              <w:t>各种制造材料要有可追溯的材质证明；</w:t>
            </w:r>
          </w:p>
        </w:tc>
        <w:tc>
          <w:tcPr>
            <w:tcW w:w="2137" w:type="dxa"/>
            <w:gridSpan w:val="2"/>
            <w:vAlign w:val="center"/>
          </w:tcPr>
          <w:p>
            <w:pPr>
              <w:jc w:val="cente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4" w:edGrp="everyone"/>
          </w:p>
        </w:tc>
        <w:tc>
          <w:tcPr>
            <w:tcW w:w="6970" w:type="dxa"/>
            <w:gridSpan w:val="2"/>
            <w:vAlign w:val="center"/>
          </w:tcPr>
          <w:p>
            <w:pPr>
              <w:pStyle w:val="8"/>
              <w:rPr>
                <w:szCs w:val="21"/>
                <w:lang w:eastAsia="zh-CN"/>
              </w:rPr>
            </w:pPr>
            <w:r>
              <w:rPr>
                <w:rFonts w:hint="eastAsia" w:ascii="宋体" w:hAnsi="宋体"/>
                <w:sz w:val="21"/>
                <w:szCs w:val="21"/>
                <w:lang w:eastAsia="zh-CN"/>
              </w:rPr>
              <w:t>设备保质期从确认验收文件签署之后开始计算。</w:t>
            </w:r>
          </w:p>
        </w:tc>
        <w:tc>
          <w:tcPr>
            <w:tcW w:w="2082" w:type="dxa"/>
            <w:vAlign w:val="center"/>
          </w:tcPr>
          <w:p>
            <w:pPr>
              <w:jc w:val="cente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5" w:edGrp="everyone"/>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设备质保期为</w:t>
            </w:r>
            <w:r>
              <w:rPr>
                <w:rFonts w:hint="eastAsia" w:ascii="宋体" w:hAnsi="宋体"/>
                <w:sz w:val="21"/>
                <w:szCs w:val="21"/>
                <w:lang w:val="en-US" w:eastAsia="zh-CN"/>
              </w:rPr>
              <w:t>3</w:t>
            </w:r>
            <w:r>
              <w:rPr>
                <w:rFonts w:hint="eastAsia" w:ascii="宋体" w:hAnsi="宋体"/>
                <w:sz w:val="21"/>
                <w:szCs w:val="21"/>
                <w:lang w:eastAsia="zh-CN"/>
              </w:rPr>
              <w:t>年，</w:t>
            </w:r>
            <w:r>
              <w:rPr>
                <w:rFonts w:ascii="宋体" w:hAnsi="宋体"/>
                <w:sz w:val="21"/>
                <w:szCs w:val="21"/>
                <w:lang w:eastAsia="zh-CN"/>
              </w:rPr>
              <w:t>3</w:t>
            </w:r>
            <w:r>
              <w:rPr>
                <w:rFonts w:hint="eastAsia" w:ascii="宋体" w:hAnsi="宋体"/>
                <w:sz w:val="21"/>
                <w:szCs w:val="21"/>
                <w:lang w:eastAsia="zh-CN"/>
              </w:rPr>
              <w:t>年内免费保修，</w:t>
            </w:r>
            <w:r>
              <w:rPr>
                <w:rFonts w:ascii="宋体" w:hAnsi="宋体"/>
                <w:sz w:val="21"/>
                <w:szCs w:val="21"/>
                <w:lang w:eastAsia="zh-CN"/>
              </w:rPr>
              <w:t>3</w:t>
            </w:r>
            <w:r>
              <w:rPr>
                <w:rFonts w:hint="eastAsia" w:ascii="宋体" w:hAnsi="宋体"/>
                <w:sz w:val="21"/>
                <w:szCs w:val="21"/>
                <w:lang w:eastAsia="zh-CN"/>
              </w:rPr>
              <w:t>年后应提供良好的售后服务。</w:t>
            </w:r>
          </w:p>
        </w:tc>
        <w:tc>
          <w:tcPr>
            <w:tcW w:w="2082" w:type="dxa"/>
            <w:vAlign w:val="center"/>
          </w:tcPr>
          <w:p>
            <w:pPr>
              <w:jc w:val="cente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6" w:edGrp="everyone"/>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售后服务必须响应及时，要求设备出现须厂家维修的故障后，应在</w:t>
            </w:r>
            <w:r>
              <w:rPr>
                <w:rFonts w:ascii="宋体" w:hAnsi="宋体"/>
                <w:sz w:val="21"/>
                <w:szCs w:val="21"/>
                <w:lang w:eastAsia="zh-CN"/>
              </w:rPr>
              <w:t>4</w:t>
            </w:r>
            <w:r>
              <w:rPr>
                <w:rFonts w:hint="eastAsia" w:ascii="宋体" w:hAnsi="宋体"/>
                <w:sz w:val="21"/>
                <w:szCs w:val="21"/>
                <w:lang w:eastAsia="zh-CN"/>
              </w:rPr>
              <w:t>小时内明确答复，当电话沟通无法解决时，须</w:t>
            </w:r>
            <w:r>
              <w:rPr>
                <w:rFonts w:ascii="宋体" w:hAnsi="宋体"/>
                <w:sz w:val="21"/>
                <w:szCs w:val="21"/>
                <w:lang w:eastAsia="zh-CN"/>
              </w:rPr>
              <w:t>24</w:t>
            </w:r>
            <w:r>
              <w:rPr>
                <w:rFonts w:hint="eastAsia" w:ascii="宋体" w:hAnsi="宋体"/>
                <w:sz w:val="21"/>
                <w:szCs w:val="21"/>
                <w:lang w:eastAsia="zh-CN"/>
              </w:rPr>
              <w:t>小时内派人至现场解决。</w:t>
            </w:r>
          </w:p>
        </w:tc>
        <w:tc>
          <w:tcPr>
            <w:tcW w:w="2082" w:type="dxa"/>
            <w:vAlign w:val="center"/>
          </w:tcPr>
          <w:p>
            <w:pPr>
              <w:jc w:val="center"/>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7" w:edGrp="everyone"/>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三年免费保修期后，厂家应终生提供及时的维修、维护，厂家应定期回访，解决设备运行当中可能出现的疑问，排除潜在故障，使设备保持良好工作状态。</w:t>
            </w:r>
          </w:p>
        </w:tc>
        <w:tc>
          <w:tcPr>
            <w:tcW w:w="2082" w:type="dxa"/>
            <w:vAlign w:val="center"/>
          </w:tcPr>
          <w:p>
            <w:pPr>
              <w:jc w:val="center"/>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8" w:edGrp="everyone"/>
          </w:p>
        </w:tc>
        <w:tc>
          <w:tcPr>
            <w:tcW w:w="6970" w:type="dxa"/>
            <w:gridSpan w:val="2"/>
            <w:vAlign w:val="center"/>
          </w:tcPr>
          <w:p>
            <w:pPr>
              <w:pStyle w:val="8"/>
              <w:rPr>
                <w:szCs w:val="21"/>
                <w:lang w:eastAsia="zh-CN"/>
              </w:rPr>
            </w:pPr>
            <w:r>
              <w:rPr>
                <w:rFonts w:hint="eastAsia" w:ascii="宋体" w:hAnsi="宋体"/>
                <w:sz w:val="21"/>
                <w:szCs w:val="21"/>
                <w:lang w:val="en-US" w:eastAsia="zh-CN"/>
              </w:rPr>
              <w:t>1.</w:t>
            </w:r>
            <w:r>
              <w:rPr>
                <w:rFonts w:hint="eastAsia" w:ascii="宋体" w:hAnsi="宋体"/>
                <w:sz w:val="21"/>
                <w:szCs w:val="21"/>
                <w:lang w:eastAsia="zh-CN"/>
              </w:rPr>
              <w:t>货物到达买方使用现场后，由买卖双方共同验收，卖方工程师免费为买方提供调试。</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供应商进厂安装需遵守安全和安装规定。</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最后验收前必须保证所有的验证工作已完成和达到要求。</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确认并验证合格后，买卖双方签订验收报告。</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确认验收合格应包含所有附件及备件。</w:t>
            </w:r>
          </w:p>
        </w:tc>
        <w:tc>
          <w:tcPr>
            <w:tcW w:w="2082" w:type="dxa"/>
            <w:vAlign w:val="center"/>
          </w:tcPr>
          <w:p>
            <w:pPr>
              <w:jc w:val="center"/>
              <w:rPr>
                <w:szCs w:val="21"/>
                <w:lang w:eastAsia="zh-CN"/>
              </w:rPr>
            </w:pPr>
            <w:r>
              <w:rPr>
                <w:rFonts w:hint="eastAsia"/>
                <w:szCs w:val="21"/>
                <w:lang w:eastAsia="zh-CN"/>
              </w:rPr>
              <w:t>关键</w:t>
            </w:r>
          </w:p>
        </w:tc>
      </w:tr>
      <w:permEnd w:id="48"/>
    </w:tbl>
    <w:p/>
    <w:p>
      <w:pPr>
        <w:pStyle w:val="32"/>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6"/>
        <w:spacing w:before="0" w:line="360" w:lineRule="auto"/>
        <w:ind w:left="357"/>
        <w:jc w:val="left"/>
        <w:rPr>
          <w:szCs w:val="21"/>
          <w:lang w:eastAsia="zh-CN"/>
        </w:rPr>
      </w:pPr>
      <w:permStart w:id="49" w:edGrp="everyone"/>
      <w:r>
        <w:rPr>
          <w:rFonts w:hint="eastAsia"/>
          <w:szCs w:val="21"/>
          <w:lang w:eastAsia="zh-CN"/>
        </w:rPr>
        <w:t>不适用</w:t>
      </w:r>
      <w:permEnd w:id="49"/>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2"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A7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6780"/>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1915"/>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5B3B"/>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5DA4"/>
    <w:rsid w:val="001560AD"/>
    <w:rsid w:val="0015633E"/>
    <w:rsid w:val="0015752C"/>
    <w:rsid w:val="0016077F"/>
    <w:rsid w:val="00161486"/>
    <w:rsid w:val="0016194A"/>
    <w:rsid w:val="00161F7F"/>
    <w:rsid w:val="00162A78"/>
    <w:rsid w:val="0016319A"/>
    <w:rsid w:val="00163A08"/>
    <w:rsid w:val="00164CDC"/>
    <w:rsid w:val="00164E0D"/>
    <w:rsid w:val="00166311"/>
    <w:rsid w:val="00166478"/>
    <w:rsid w:val="00167B0E"/>
    <w:rsid w:val="00171A51"/>
    <w:rsid w:val="001746E7"/>
    <w:rsid w:val="001757AB"/>
    <w:rsid w:val="001769A8"/>
    <w:rsid w:val="001814FA"/>
    <w:rsid w:val="001815A9"/>
    <w:rsid w:val="001816C0"/>
    <w:rsid w:val="00182A27"/>
    <w:rsid w:val="0018427E"/>
    <w:rsid w:val="00184DDD"/>
    <w:rsid w:val="00184FFD"/>
    <w:rsid w:val="00185449"/>
    <w:rsid w:val="00186314"/>
    <w:rsid w:val="00187B04"/>
    <w:rsid w:val="00190000"/>
    <w:rsid w:val="001929C2"/>
    <w:rsid w:val="00192B8F"/>
    <w:rsid w:val="00193D66"/>
    <w:rsid w:val="00194BB7"/>
    <w:rsid w:val="00195E32"/>
    <w:rsid w:val="001A1DE7"/>
    <w:rsid w:val="001A3BB0"/>
    <w:rsid w:val="001A4947"/>
    <w:rsid w:val="001A64C0"/>
    <w:rsid w:val="001A685F"/>
    <w:rsid w:val="001A7EB6"/>
    <w:rsid w:val="001A7FE4"/>
    <w:rsid w:val="001B0278"/>
    <w:rsid w:val="001B28C8"/>
    <w:rsid w:val="001B4654"/>
    <w:rsid w:val="001C017B"/>
    <w:rsid w:val="001C239E"/>
    <w:rsid w:val="001C2D7E"/>
    <w:rsid w:val="001D02C1"/>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6719"/>
    <w:rsid w:val="001F6AE2"/>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4AA3"/>
    <w:rsid w:val="0025531B"/>
    <w:rsid w:val="002560F9"/>
    <w:rsid w:val="00257517"/>
    <w:rsid w:val="00257FA9"/>
    <w:rsid w:val="00261CD0"/>
    <w:rsid w:val="00261F30"/>
    <w:rsid w:val="002630C1"/>
    <w:rsid w:val="002637FB"/>
    <w:rsid w:val="00263CB5"/>
    <w:rsid w:val="0026571F"/>
    <w:rsid w:val="0027137F"/>
    <w:rsid w:val="002723D2"/>
    <w:rsid w:val="002732E5"/>
    <w:rsid w:val="002745D9"/>
    <w:rsid w:val="00274823"/>
    <w:rsid w:val="0027577D"/>
    <w:rsid w:val="00275F43"/>
    <w:rsid w:val="002810E3"/>
    <w:rsid w:val="00281A11"/>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A7AEF"/>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5B03"/>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21D1"/>
    <w:rsid w:val="0038326A"/>
    <w:rsid w:val="0038367F"/>
    <w:rsid w:val="00383F80"/>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535F"/>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B92"/>
    <w:rsid w:val="003D5F4A"/>
    <w:rsid w:val="003D662C"/>
    <w:rsid w:val="003D77E5"/>
    <w:rsid w:val="003E49F8"/>
    <w:rsid w:val="003E5109"/>
    <w:rsid w:val="003E60EE"/>
    <w:rsid w:val="003E6B48"/>
    <w:rsid w:val="003E748F"/>
    <w:rsid w:val="003F3F47"/>
    <w:rsid w:val="003F6E0C"/>
    <w:rsid w:val="004003A8"/>
    <w:rsid w:val="00400CCF"/>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2A3"/>
    <w:rsid w:val="00444D2D"/>
    <w:rsid w:val="004510B1"/>
    <w:rsid w:val="00451C5D"/>
    <w:rsid w:val="00451D74"/>
    <w:rsid w:val="00452E73"/>
    <w:rsid w:val="004565EF"/>
    <w:rsid w:val="00457FF9"/>
    <w:rsid w:val="004601ED"/>
    <w:rsid w:val="00460711"/>
    <w:rsid w:val="0046108B"/>
    <w:rsid w:val="00467AE6"/>
    <w:rsid w:val="00467EC9"/>
    <w:rsid w:val="00474CC4"/>
    <w:rsid w:val="00477791"/>
    <w:rsid w:val="00477B18"/>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BEB"/>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2A5B"/>
    <w:rsid w:val="00514EA4"/>
    <w:rsid w:val="00516BB4"/>
    <w:rsid w:val="00516F93"/>
    <w:rsid w:val="00517A5D"/>
    <w:rsid w:val="00517E1E"/>
    <w:rsid w:val="005204AC"/>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2B"/>
    <w:rsid w:val="00582DB0"/>
    <w:rsid w:val="00584B8E"/>
    <w:rsid w:val="00586EFD"/>
    <w:rsid w:val="00587587"/>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0858"/>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1D22"/>
    <w:rsid w:val="006632B2"/>
    <w:rsid w:val="00664084"/>
    <w:rsid w:val="0066445E"/>
    <w:rsid w:val="00667045"/>
    <w:rsid w:val="00670A00"/>
    <w:rsid w:val="00670C23"/>
    <w:rsid w:val="00672B86"/>
    <w:rsid w:val="00673031"/>
    <w:rsid w:val="00673EB3"/>
    <w:rsid w:val="00680BE8"/>
    <w:rsid w:val="00686409"/>
    <w:rsid w:val="00686D19"/>
    <w:rsid w:val="0068777F"/>
    <w:rsid w:val="00691F9A"/>
    <w:rsid w:val="00693018"/>
    <w:rsid w:val="006A0059"/>
    <w:rsid w:val="006A7425"/>
    <w:rsid w:val="006B058A"/>
    <w:rsid w:val="006B1299"/>
    <w:rsid w:val="006B26D9"/>
    <w:rsid w:val="006B2BD8"/>
    <w:rsid w:val="006B310C"/>
    <w:rsid w:val="006B664C"/>
    <w:rsid w:val="006B7287"/>
    <w:rsid w:val="006C1125"/>
    <w:rsid w:val="006C1C83"/>
    <w:rsid w:val="006C3E78"/>
    <w:rsid w:val="006C54E6"/>
    <w:rsid w:val="006C5762"/>
    <w:rsid w:val="006C5986"/>
    <w:rsid w:val="006C690D"/>
    <w:rsid w:val="006D149F"/>
    <w:rsid w:val="006D3396"/>
    <w:rsid w:val="006D5AFF"/>
    <w:rsid w:val="006E050C"/>
    <w:rsid w:val="006E152B"/>
    <w:rsid w:val="006E36D1"/>
    <w:rsid w:val="006E3A24"/>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4F6"/>
    <w:rsid w:val="007615CA"/>
    <w:rsid w:val="00761ADD"/>
    <w:rsid w:val="007627D9"/>
    <w:rsid w:val="00762B3A"/>
    <w:rsid w:val="0076507D"/>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2708"/>
    <w:rsid w:val="0079280E"/>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4173"/>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76DF3"/>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44FC"/>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0A21"/>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0DE7"/>
    <w:rsid w:val="0096203D"/>
    <w:rsid w:val="0096224A"/>
    <w:rsid w:val="00963289"/>
    <w:rsid w:val="00964A78"/>
    <w:rsid w:val="009656B4"/>
    <w:rsid w:val="00966CA0"/>
    <w:rsid w:val="00966D74"/>
    <w:rsid w:val="00967F9D"/>
    <w:rsid w:val="00970275"/>
    <w:rsid w:val="00970343"/>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0125"/>
    <w:rsid w:val="009A345F"/>
    <w:rsid w:val="009A4AE5"/>
    <w:rsid w:val="009A5218"/>
    <w:rsid w:val="009A5AA1"/>
    <w:rsid w:val="009A6806"/>
    <w:rsid w:val="009B1717"/>
    <w:rsid w:val="009B22D2"/>
    <w:rsid w:val="009B2839"/>
    <w:rsid w:val="009B4C17"/>
    <w:rsid w:val="009B5BF6"/>
    <w:rsid w:val="009C1C79"/>
    <w:rsid w:val="009C339C"/>
    <w:rsid w:val="009C33B8"/>
    <w:rsid w:val="009C73AC"/>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E7419"/>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564B"/>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6C3"/>
    <w:rsid w:val="00A509EA"/>
    <w:rsid w:val="00A51476"/>
    <w:rsid w:val="00A5193C"/>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0B0E"/>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5C83"/>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3F20"/>
    <w:rsid w:val="00B24F44"/>
    <w:rsid w:val="00B25428"/>
    <w:rsid w:val="00B255BB"/>
    <w:rsid w:val="00B25E24"/>
    <w:rsid w:val="00B2609A"/>
    <w:rsid w:val="00B301B1"/>
    <w:rsid w:val="00B34664"/>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042"/>
    <w:rsid w:val="00B8115B"/>
    <w:rsid w:val="00B81AE2"/>
    <w:rsid w:val="00B81D84"/>
    <w:rsid w:val="00B82D30"/>
    <w:rsid w:val="00B87F62"/>
    <w:rsid w:val="00B914A4"/>
    <w:rsid w:val="00B915BC"/>
    <w:rsid w:val="00B9163A"/>
    <w:rsid w:val="00B92497"/>
    <w:rsid w:val="00B92D41"/>
    <w:rsid w:val="00B93679"/>
    <w:rsid w:val="00B9422D"/>
    <w:rsid w:val="00B95A1D"/>
    <w:rsid w:val="00B9634B"/>
    <w:rsid w:val="00BA5072"/>
    <w:rsid w:val="00BA5B65"/>
    <w:rsid w:val="00BA7BFE"/>
    <w:rsid w:val="00BB0475"/>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1DB"/>
    <w:rsid w:val="00BD337A"/>
    <w:rsid w:val="00BD558D"/>
    <w:rsid w:val="00BD5CC3"/>
    <w:rsid w:val="00BE1F47"/>
    <w:rsid w:val="00BE24AD"/>
    <w:rsid w:val="00BE2787"/>
    <w:rsid w:val="00BE51BB"/>
    <w:rsid w:val="00BE7ECD"/>
    <w:rsid w:val="00BF1682"/>
    <w:rsid w:val="00BF241A"/>
    <w:rsid w:val="00BF3AFB"/>
    <w:rsid w:val="00BF3DD2"/>
    <w:rsid w:val="00BF3F40"/>
    <w:rsid w:val="00BF4344"/>
    <w:rsid w:val="00BF6970"/>
    <w:rsid w:val="00BF69C6"/>
    <w:rsid w:val="00C005D8"/>
    <w:rsid w:val="00C02F31"/>
    <w:rsid w:val="00C04DA5"/>
    <w:rsid w:val="00C050FC"/>
    <w:rsid w:val="00C05D40"/>
    <w:rsid w:val="00C06582"/>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639"/>
    <w:rsid w:val="00C66D15"/>
    <w:rsid w:val="00C671D0"/>
    <w:rsid w:val="00C70449"/>
    <w:rsid w:val="00C7071B"/>
    <w:rsid w:val="00C73904"/>
    <w:rsid w:val="00C73BAE"/>
    <w:rsid w:val="00C73F7B"/>
    <w:rsid w:val="00C74055"/>
    <w:rsid w:val="00C7421D"/>
    <w:rsid w:val="00C76481"/>
    <w:rsid w:val="00C76511"/>
    <w:rsid w:val="00C76812"/>
    <w:rsid w:val="00C83D88"/>
    <w:rsid w:val="00C84961"/>
    <w:rsid w:val="00C84B06"/>
    <w:rsid w:val="00C87100"/>
    <w:rsid w:val="00C87CAC"/>
    <w:rsid w:val="00C913A1"/>
    <w:rsid w:val="00C950D6"/>
    <w:rsid w:val="00C97646"/>
    <w:rsid w:val="00C97672"/>
    <w:rsid w:val="00CA55BD"/>
    <w:rsid w:val="00CA63A7"/>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558"/>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6AC"/>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DA2"/>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598D"/>
    <w:rsid w:val="00D66D42"/>
    <w:rsid w:val="00D6733D"/>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107"/>
    <w:rsid w:val="00E078BD"/>
    <w:rsid w:val="00E078F8"/>
    <w:rsid w:val="00E1142B"/>
    <w:rsid w:val="00E11F10"/>
    <w:rsid w:val="00E12B9B"/>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0F76"/>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588"/>
    <w:rsid w:val="00F0674D"/>
    <w:rsid w:val="00F06AC1"/>
    <w:rsid w:val="00F07BA8"/>
    <w:rsid w:val="00F10287"/>
    <w:rsid w:val="00F10C82"/>
    <w:rsid w:val="00F10E51"/>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DF2"/>
    <w:rsid w:val="00F67E23"/>
    <w:rsid w:val="00F71601"/>
    <w:rsid w:val="00F72C75"/>
    <w:rsid w:val="00F73A87"/>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5008"/>
    <w:rsid w:val="00FC63E5"/>
    <w:rsid w:val="00FD0E54"/>
    <w:rsid w:val="00FD2B71"/>
    <w:rsid w:val="00FD3576"/>
    <w:rsid w:val="00FD52D6"/>
    <w:rsid w:val="00FD56FC"/>
    <w:rsid w:val="00FD752B"/>
    <w:rsid w:val="00FD7DD7"/>
    <w:rsid w:val="00FD7EB3"/>
    <w:rsid w:val="00FE033E"/>
    <w:rsid w:val="00FE0D2F"/>
    <w:rsid w:val="00FE31C6"/>
    <w:rsid w:val="00FE325B"/>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77375E1"/>
    <w:rsid w:val="0AA71A24"/>
    <w:rsid w:val="0D8903EA"/>
    <w:rsid w:val="12741632"/>
    <w:rsid w:val="134672CA"/>
    <w:rsid w:val="13AB6218"/>
    <w:rsid w:val="140D01C9"/>
    <w:rsid w:val="15B94BA2"/>
    <w:rsid w:val="196C2160"/>
    <w:rsid w:val="1ABA4AA6"/>
    <w:rsid w:val="1BC14834"/>
    <w:rsid w:val="1C8308F5"/>
    <w:rsid w:val="1E8A5482"/>
    <w:rsid w:val="21226CC3"/>
    <w:rsid w:val="265973F2"/>
    <w:rsid w:val="29E75E19"/>
    <w:rsid w:val="2B127771"/>
    <w:rsid w:val="2BE764CC"/>
    <w:rsid w:val="2E4D77FF"/>
    <w:rsid w:val="2EE5323B"/>
    <w:rsid w:val="307323C4"/>
    <w:rsid w:val="31F75082"/>
    <w:rsid w:val="39DD2846"/>
    <w:rsid w:val="3A7C2487"/>
    <w:rsid w:val="3BB1031A"/>
    <w:rsid w:val="40254E32"/>
    <w:rsid w:val="40273A0D"/>
    <w:rsid w:val="49657CAB"/>
    <w:rsid w:val="4D530A1E"/>
    <w:rsid w:val="4F9534D2"/>
    <w:rsid w:val="51054BE5"/>
    <w:rsid w:val="5F136E57"/>
    <w:rsid w:val="6007728D"/>
    <w:rsid w:val="638803C3"/>
    <w:rsid w:val="7040198F"/>
    <w:rsid w:val="70F16473"/>
    <w:rsid w:val="71A249B6"/>
    <w:rsid w:val="76A72608"/>
    <w:rsid w:val="770726D0"/>
    <w:rsid w:val="7837304C"/>
    <w:rsid w:val="78750F2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5">
    <w:name w:val="Normal Table"/>
    <w:unhideWhenUsed/>
    <w:uiPriority w:val="99"/>
    <w:tblPr>
      <w:tblStyle w:val="25"/>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1"/>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42"/>
    <w:qFormat/>
    <w:uiPriority w:val="99"/>
    <w:pPr>
      <w:tabs>
        <w:tab w:val="center" w:pos="4320"/>
        <w:tab w:val="right" w:pos="8640"/>
      </w:tabs>
    </w:pPr>
  </w:style>
  <w:style w:type="paragraph" w:styleId="15">
    <w:name w:val="header"/>
    <w:basedOn w:val="1"/>
    <w:link w:val="40"/>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unhideWhenUsed/>
    <w:uiPriority w:val="0"/>
    <w:pPr>
      <w:spacing w:beforeAutospacing="1" w:afterAutospacing="1"/>
    </w:pPr>
    <w:rPr>
      <w:sz w:val="24"/>
      <w:lang w:val="en-US" w:eastAsia="zh-CN"/>
    </w:rPr>
  </w:style>
  <w:style w:type="paragraph" w:styleId="19">
    <w:name w:val="Title"/>
    <w:basedOn w:val="1"/>
    <w:next w:val="1"/>
    <w:link w:val="49"/>
    <w:qFormat/>
    <w:uiPriority w:val="0"/>
    <w:pPr>
      <w:spacing w:before="240" w:after="60"/>
      <w:jc w:val="center"/>
      <w:outlineLvl w:val="0"/>
    </w:pPr>
    <w:rPr>
      <w:rFonts w:ascii="Calibri Light" w:hAnsi="Calibri Light"/>
      <w:b/>
      <w:bCs/>
      <w:sz w:val="32"/>
      <w:szCs w:val="32"/>
    </w:rPr>
  </w:style>
  <w:style w:type="character" w:styleId="21">
    <w:name w:val="Strong"/>
    <w:basedOn w:val="20"/>
    <w:qFormat/>
    <w:uiPriority w:val="0"/>
    <w:rPr>
      <w:b/>
    </w:rPr>
  </w:style>
  <w:style w:type="character" w:styleId="22">
    <w:name w:val="page number"/>
    <w:basedOn w:val="20"/>
    <w:qFormat/>
    <w:uiPriority w:val="0"/>
    <w:rPr/>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table" w:styleId="26">
    <w:name w:val="Table Grid"/>
    <w:basedOn w:val="25"/>
    <w:qFormat/>
    <w:uiPriority w:val="59"/>
    <w:pPr>
      <w:overflowPunct w:val="0"/>
      <w:autoSpaceDE w:val="0"/>
      <w:autoSpaceDN w:val="0"/>
      <w:adjustRightInd w:val="0"/>
      <w:textAlignment w:val="baseline"/>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7">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8">
    <w:name w:val="Default Text"/>
    <w:basedOn w:val="1"/>
    <w:qFormat/>
    <w:uiPriority w:val="0"/>
    <w:pPr>
      <w:textAlignment w:val="auto"/>
    </w:pPr>
    <w:rPr>
      <w:rFonts w:ascii="Arial" w:hAnsi="Arial"/>
      <w:szCs w:val="24"/>
      <w:lang w:val="en-US"/>
    </w:rPr>
  </w:style>
  <w:style w:type="paragraph" w:customStyle="1" w:styleId="29">
    <w:name w:val="Style"/>
    <w:basedOn w:val="1"/>
    <w:qFormat/>
    <w:uiPriority w:val="0"/>
    <w:pPr>
      <w:textAlignment w:val="auto"/>
    </w:pPr>
    <w:rPr>
      <w:rFonts w:ascii="Arial" w:hAnsi="Arial"/>
      <w:szCs w:val="24"/>
      <w:lang w:val="en-US"/>
    </w:rPr>
  </w:style>
  <w:style w:type="paragraph" w:customStyle="1" w:styleId="30">
    <w:name w:val="正文1"/>
    <w:basedOn w:val="1"/>
    <w:qFormat/>
    <w:uiPriority w:val="0"/>
    <w:pPr>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eastAsia="en-US" w:bidi="ar-SA"/>
    </w:rPr>
  </w:style>
  <w:style w:type="paragraph" w:customStyle="1" w:styleId="32">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3">
    <w:name w:val="TOC 标题1"/>
    <w:basedOn w:val="2"/>
    <w:next w:val="1"/>
    <w:qFormat/>
    <w:uiPriority w:val="39"/>
    <w:pPr>
      <w:numPr>
        <w:ilvl w:val="0"/>
        <w:numId w:val="0"/>
      </w:numPr>
      <w:outlineLvl w:val="9"/>
    </w:pPr>
  </w:style>
  <w:style w:type="paragraph" w:customStyle="1" w:styleId="34">
    <w:name w:val="numbering blue"/>
    <w:basedOn w:val="1"/>
    <w:link w:val="45"/>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6">
    <w:name w:val="Text"/>
    <w:basedOn w:val="1"/>
    <w:link w:val="46"/>
    <w:qFormat/>
    <w:uiPriority w:val="0"/>
    <w:pPr>
      <w:adjustRightInd/>
      <w:spacing w:before="120"/>
      <w:jc w:val="both"/>
      <w:textAlignment w:val="auto"/>
    </w:pPr>
    <w:rPr>
      <w:lang w:val="en-US"/>
    </w:rPr>
  </w:style>
  <w:style w:type="paragraph" w:customStyle="1" w:styleId="37">
    <w:name w:val="Table text"/>
    <w:basedOn w:val="1"/>
    <w:qFormat/>
    <w:uiPriority w:val="0"/>
    <w:pPr>
      <w:adjustRightInd/>
      <w:spacing w:before="120" w:after="120"/>
      <w:jc w:val="both"/>
      <w:textAlignment w:val="auto"/>
    </w:pPr>
    <w:rPr>
      <w:lang w:val="en-US"/>
    </w:rPr>
  </w:style>
  <w:style w:type="paragraph" w:customStyle="1" w:styleId="38">
    <w:name w:val="正文文本 31"/>
    <w:basedOn w:val="1"/>
    <w:qFormat/>
    <w:uiPriority w:val="0"/>
    <w:rPr>
      <w:sz w:val="28"/>
    </w:rPr>
  </w:style>
  <w:style w:type="paragraph" w:customStyle="1" w:styleId="39">
    <w:name w:val="Revision"/>
    <w:hidden/>
    <w:semiHidden/>
    <w:uiPriority w:val="99"/>
    <w:rPr>
      <w:rFonts w:ascii="Times New Roman" w:hAnsi="Times New Roman" w:eastAsia="宋体" w:cs="Times New Roman"/>
      <w:sz w:val="21"/>
      <w:lang w:eastAsia="en-US" w:bidi="ar-SA"/>
    </w:rPr>
  </w:style>
  <w:style w:type="character" w:customStyle="1" w:styleId="40">
    <w:name w:val="页眉 字符"/>
    <w:link w:val="15"/>
    <w:qFormat/>
    <w:uiPriority w:val="0"/>
    <w:rPr>
      <w:rFonts w:eastAsia="宋体"/>
      <w:sz w:val="24"/>
      <w:lang w:eastAsia="en-US" w:bidi="ar-SA"/>
    </w:rPr>
  </w:style>
  <w:style w:type="character" w:customStyle="1" w:styleId="41">
    <w:name w:val="批注文字 字符"/>
    <w:link w:val="7"/>
    <w:semiHidden/>
    <w:qFormat/>
    <w:uiPriority w:val="0"/>
    <w:rPr>
      <w:sz w:val="24"/>
      <w:lang w:eastAsia="en-US"/>
    </w:rPr>
  </w:style>
  <w:style w:type="character" w:customStyle="1" w:styleId="42">
    <w:name w:val="页脚 字符"/>
    <w:link w:val="14"/>
    <w:qFormat/>
    <w:uiPriority w:val="99"/>
    <w:rPr>
      <w:sz w:val="24"/>
      <w:lang w:eastAsia="en-US"/>
    </w:rPr>
  </w:style>
  <w:style w:type="character" w:customStyle="1" w:styleId="43">
    <w:name w:val="instruction standard blue"/>
    <w:qFormat/>
    <w:uiPriority w:val="1"/>
    <w:rPr>
      <w:rFonts w:cs="Arial"/>
      <w:i/>
      <w:color w:val="0070C0"/>
    </w:rPr>
  </w:style>
  <w:style w:type="character" w:customStyle="1" w:styleId="44">
    <w:name w:val="keyword"/>
    <w:basedOn w:val="20"/>
    <w:qFormat/>
    <w:uiPriority w:val="0"/>
    <w:rPr/>
  </w:style>
  <w:style w:type="character" w:customStyle="1" w:styleId="45">
    <w:name w:val="numbering blue Zchn"/>
    <w:link w:val="34"/>
    <w:qFormat/>
    <w:uiPriority w:val="0"/>
    <w:rPr>
      <w:rFonts w:ascii="Arial" w:hAnsi="Arial" w:eastAsia="PMingLiU"/>
      <w:color w:val="0070C0"/>
      <w:lang w:eastAsia="zh-TW"/>
    </w:rPr>
  </w:style>
  <w:style w:type="character" w:customStyle="1" w:styleId="46">
    <w:name w:val="Text Char"/>
    <w:link w:val="36"/>
    <w:qFormat/>
    <w:locked/>
    <w:uiPriority w:val="0"/>
    <w:rPr>
      <w:sz w:val="24"/>
      <w:lang w:eastAsia="en-US"/>
    </w:rPr>
  </w:style>
  <w:style w:type="character" w:customStyle="1" w:styleId="47">
    <w:name w:val="ordinary-span-edit2"/>
    <w:qFormat/>
    <w:uiPriority w:val="0"/>
  </w:style>
  <w:style w:type="character" w:customStyle="1" w:styleId="48">
    <w:name w:val="apple-converted-space"/>
    <w:basedOn w:val="20"/>
    <w:qFormat/>
    <w:uiPriority w:val="0"/>
    <w:rPr/>
  </w:style>
  <w:style w:type="character" w:customStyle="1" w:styleId="49">
    <w:name w:val="标题 字符"/>
    <w:link w:val="19"/>
    <w:qFormat/>
    <w:uiPriority w:val="0"/>
    <w:rPr>
      <w:rFonts w:ascii="Calibri Light" w:hAnsi="Calibri Light" w:cs="Times New Roman"/>
      <w:b/>
      <w:bCs/>
      <w:sz w:val="32"/>
      <w:szCs w:val="32"/>
      <w:lang w:eastAsia="en-US"/>
    </w:rPr>
  </w:style>
  <w:style w:type="character" w:customStyle="1" w:styleId="50">
    <w:name w:val="Footer Char"/>
    <w:basedOn w:val="20"/>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727</Words>
  <Characters>4146</Characters>
  <Lines>34</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2020-01-15T18:49:00Z</dcterms:created>
  <dc:creator>Lilly</dc:creator>
  <cp:lastModifiedBy>汪洋</cp:lastModifiedBy>
  <cp:lastPrinted>2019-10-15T06:28:00Z</cp:lastPrinted>
  <dcterms:modified xsi:type="dcterms:W3CDTF">2020-06-16T01:36:52Z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