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bookmarkStart w:id="0" w:name="_Toc483666358"/>
      <w:bookmarkStart w:id="1" w:name="_Toc483400307"/>
      <w:bookmarkStart w:id="2" w:name="_Toc482717189"/>
      <w:bookmarkStart w:id="3" w:name="_Toc483227223"/>
      <w:bookmarkStart w:id="4" w:name="_Toc484532399"/>
    </w:p>
    <w:p>
      <w:pPr>
        <w:spacing w:after="158" w:afterLines="50"/>
        <w:jc w:val="center"/>
        <w:rPr>
          <w:b/>
          <w:szCs w:val="21"/>
          <w:lang w:eastAsia="zh-CN"/>
        </w:rPr>
      </w:pPr>
      <w:permStart w:id="0" w:edGrp="everyone"/>
      <w:r>
        <w:rPr>
          <w:rFonts w:hint="eastAsia"/>
          <w:b/>
          <w:color w:val="000000"/>
          <w:sz w:val="28"/>
          <w:szCs w:val="28"/>
          <w:lang w:val="en-US" w:eastAsia="zh-CN"/>
        </w:rPr>
        <w:t>病毒性疫苗研究二室细胞流感课题组梯度PCR仪</w:t>
      </w:r>
      <w:permEnd w:id="0"/>
      <w:r>
        <w:rPr>
          <w:b/>
          <w:sz w:val="28"/>
          <w:szCs w:val="28"/>
          <w:lang w:eastAsia="zh-CN"/>
        </w:rPr>
        <w:t>用户需求说明（URS</w:t>
      </w:r>
      <w:r>
        <w:rPr>
          <w:b/>
          <w:szCs w:val="21"/>
          <w:lang w:eastAsia="zh-CN"/>
        </w:rPr>
        <w:t>）</w:t>
      </w:r>
      <w:bookmarkEnd w:id="0"/>
      <w:bookmarkEnd w:id="1"/>
      <w:bookmarkEnd w:id="2"/>
      <w:bookmarkEnd w:id="3"/>
      <w:bookmarkEnd w:id="4"/>
    </w:p>
    <w:p>
      <w:pPr>
        <w:tabs>
          <w:tab w:val="left" w:pos="1365"/>
        </w:tabs>
        <w:spacing w:after="158" w:afterLines="50"/>
        <w:jc w:val="both"/>
        <w:rPr>
          <w:b/>
          <w:i/>
          <w:color w:val="4472C4"/>
          <w:szCs w:val="21"/>
          <w:lang w:eastAsia="zh-CN"/>
        </w:rPr>
      </w:pPr>
      <w:bookmarkStart w:id="5" w:name="OLE_LINK4"/>
      <w:permStart w:id="1" w:edGrp="everyone"/>
      <w:permEnd w:id="1"/>
    </w:p>
    <w:bookmarkEnd w:id="5"/>
    <w:p>
      <w:pPr>
        <w:pStyle w:val="31"/>
        <w:widowControl w:val="0"/>
        <w:spacing w:after="158" w:afterLines="50" w:line="240" w:lineRule="auto"/>
        <w:jc w:val="center"/>
        <w:rPr>
          <w:sz w:val="21"/>
          <w:szCs w:val="21"/>
          <w:lang w:val="zh-CN" w:eastAsia="zh-CN"/>
        </w:rPr>
      </w:pPr>
      <w:r>
        <w:rPr>
          <w:sz w:val="21"/>
          <w:szCs w:val="21"/>
          <w:lang w:val="zh-CN" w:eastAsia="zh-CN"/>
        </w:rPr>
        <w:t xml:space="preserve">目录 </w:t>
      </w:r>
    </w:p>
    <w:p>
      <w:pPr>
        <w:pStyle w:val="16"/>
        <w:rPr>
          <w:b w:val="0"/>
          <w:bCs w:val="0"/>
          <w:caps w:val="0"/>
          <w:szCs w:val="22"/>
        </w:rPr>
      </w:pPr>
      <w:permStart w:id="2" w:edGrp="everyone"/>
      <w:r>
        <w:fldChar w:fldCharType="begin"/>
      </w:r>
      <w:r>
        <w:instrText xml:space="preserve"> TOC \o "1-2" \h \z \u </w:instrText>
      </w:r>
      <w:r>
        <w:fldChar w:fldCharType="separate"/>
      </w:r>
      <w:r>
        <w:fldChar w:fldCharType="begin"/>
      </w:r>
      <w:r>
        <w:instrText xml:space="preserve">HYPERLINK  \l "_Toc522716114" </w:instrText>
      </w:r>
      <w:r>
        <w:fldChar w:fldCharType="separate"/>
      </w:r>
      <w:r>
        <w:rPr>
          <w:rStyle w:val="21"/>
        </w:rPr>
        <w:t>修订历史</w:t>
      </w:r>
      <w:r>
        <w:tab/>
      </w:r>
      <w:r>
        <w:fldChar w:fldCharType="begin"/>
      </w:r>
      <w:r>
        <w:instrText xml:space="preserve"> PAGEREF _Toc522716114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"_Toc522716115" </w:instrText>
      </w:r>
      <w:r>
        <w:fldChar w:fldCharType="separate"/>
      </w:r>
      <w:r>
        <w:rPr>
          <w:rStyle w:val="21"/>
        </w:rPr>
        <w:t>1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目的</w:t>
      </w:r>
      <w:r>
        <w:tab/>
      </w:r>
      <w:r>
        <w:fldChar w:fldCharType="begin"/>
      </w:r>
      <w:r>
        <w:instrText xml:space="preserve"> PAGEREF _Toc522716115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"_Toc522716116" </w:instrText>
      </w:r>
      <w:r>
        <w:fldChar w:fldCharType="separate"/>
      </w:r>
      <w:r>
        <w:rPr>
          <w:rStyle w:val="21"/>
        </w:rPr>
        <w:t>2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范围</w:t>
      </w:r>
      <w:r>
        <w:tab/>
      </w:r>
      <w:r>
        <w:fldChar w:fldCharType="begin"/>
      </w:r>
      <w:r>
        <w:instrText xml:space="preserve"> PAGEREF _Toc522716116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"_Toc522716117" </w:instrText>
      </w:r>
      <w:r>
        <w:fldChar w:fldCharType="separate"/>
      </w:r>
      <w:r>
        <w:rPr>
          <w:rStyle w:val="21"/>
        </w:rPr>
        <w:t>3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参考文件</w:t>
      </w:r>
      <w:r>
        <w:tab/>
      </w:r>
      <w:r>
        <w:fldChar w:fldCharType="begin"/>
      </w:r>
      <w:r>
        <w:instrText xml:space="preserve"> PAGEREF _Toc522716117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"_Toc522716118" </w:instrText>
      </w:r>
      <w:r>
        <w:fldChar w:fldCharType="separate"/>
      </w:r>
      <w:r>
        <w:rPr>
          <w:rStyle w:val="21"/>
        </w:rPr>
        <w:t>4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职责</w:t>
      </w:r>
      <w:r>
        <w:tab/>
      </w:r>
      <w:r>
        <w:fldChar w:fldCharType="begin"/>
      </w:r>
      <w:r>
        <w:instrText xml:space="preserve"> PAGEREF _Toc522716118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"_Toc522716119" </w:instrText>
      </w:r>
      <w:r>
        <w:fldChar w:fldCharType="separate"/>
      </w:r>
      <w:r>
        <w:rPr>
          <w:rStyle w:val="21"/>
        </w:rPr>
        <w:t>5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系统描述</w:t>
      </w:r>
      <w:r>
        <w:tab/>
      </w:r>
      <w:r>
        <w:fldChar w:fldCharType="begin"/>
      </w:r>
      <w:r>
        <w:instrText xml:space="preserve"> PAGEREF _Toc522716119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"_Toc522716120" </w:instrText>
      </w:r>
      <w:r>
        <w:fldChar w:fldCharType="separate"/>
      </w:r>
      <w:r>
        <w:rPr>
          <w:rStyle w:val="21"/>
        </w:rPr>
        <w:t>6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安装要求</w:t>
      </w:r>
      <w:r>
        <w:tab/>
      </w:r>
      <w:r>
        <w:fldChar w:fldCharType="begin"/>
      </w:r>
      <w:r>
        <w:instrText xml:space="preserve"> PAGEREF _Toc522716120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"_Toc522716121" </w:instrText>
      </w:r>
      <w:r>
        <w:fldChar w:fldCharType="separate"/>
      </w:r>
      <w:r>
        <w:rPr>
          <w:rStyle w:val="21"/>
        </w:rPr>
        <w:t>7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运行要求</w:t>
      </w:r>
      <w:r>
        <w:tab/>
      </w:r>
      <w:r>
        <w:fldChar w:fldCharType="begin"/>
      </w:r>
      <w:r>
        <w:instrText xml:space="preserve"> PAGEREF _Toc522716121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"_Toc522716122" </w:instrText>
      </w:r>
      <w:r>
        <w:fldChar w:fldCharType="separate"/>
      </w:r>
      <w:r>
        <w:rPr>
          <w:rStyle w:val="21"/>
        </w:rPr>
        <w:t>8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电气、自动控制要求</w:t>
      </w:r>
      <w:r>
        <w:tab/>
      </w:r>
      <w:r>
        <w:fldChar w:fldCharType="begin"/>
      </w:r>
      <w:r>
        <w:instrText xml:space="preserve"> PAGEREF _Toc522716122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"_Toc522716123" </w:instrText>
      </w:r>
      <w:r>
        <w:fldChar w:fldCharType="separate"/>
      </w:r>
      <w:r>
        <w:rPr>
          <w:rStyle w:val="21"/>
        </w:rPr>
        <w:t>9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安全要求</w:t>
      </w:r>
      <w:r>
        <w:tab/>
      </w:r>
      <w:r>
        <w:fldChar w:fldCharType="begin"/>
      </w:r>
      <w:r>
        <w:instrText xml:space="preserve"> PAGEREF _Toc522716123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"_Toc522716124" </w:instrText>
      </w:r>
      <w:r>
        <w:fldChar w:fldCharType="separate"/>
      </w:r>
      <w:r>
        <w:rPr>
          <w:rStyle w:val="21"/>
        </w:rPr>
        <w:t>10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文件要求</w:t>
      </w:r>
      <w:r>
        <w:tab/>
      </w:r>
      <w:r>
        <w:fldChar w:fldCharType="begin"/>
      </w:r>
      <w:r>
        <w:instrText xml:space="preserve"> PAGEREF _Toc522716124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"_Toc522716125" </w:instrText>
      </w:r>
      <w:r>
        <w:fldChar w:fldCharType="separate"/>
      </w:r>
      <w:r>
        <w:rPr>
          <w:rStyle w:val="21"/>
        </w:rPr>
        <w:t>11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服务要求</w:t>
      </w:r>
      <w:r>
        <w:tab/>
      </w:r>
      <w:r>
        <w:fldChar w:fldCharType="begin"/>
      </w:r>
      <w:r>
        <w:instrText xml:space="preserve"> PAGEREF _Toc522716125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"_Toc522716126" </w:instrText>
      </w:r>
      <w:r>
        <w:fldChar w:fldCharType="separate"/>
      </w:r>
      <w:r>
        <w:rPr>
          <w:rStyle w:val="21"/>
        </w:rPr>
        <w:t>12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附件</w:t>
      </w:r>
      <w:r>
        <w:tab/>
      </w:r>
      <w:r>
        <w:fldChar w:fldCharType="begin"/>
      </w:r>
      <w:r>
        <w:instrText xml:space="preserve"> PAGEREF _Toc522716126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r>
        <w:fldChar w:fldCharType="end"/>
      </w:r>
      <w:permEnd w:id="2"/>
    </w:p>
    <w:p>
      <w:pPr>
        <w:rPr>
          <w:lang w:val="en-US" w:eastAsia="zh-CN"/>
        </w:rPr>
      </w:pPr>
      <w:bookmarkStart w:id="6" w:name="_Toc522107734"/>
    </w:p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bookmarkEnd w:id="6"/>
    <w:p>
      <w:pPr>
        <w:pStyle w:val="30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7" w:name="_Toc522716115"/>
      <w:bookmarkStart w:id="8" w:name="_Toc522107735"/>
      <w:r>
        <w:rPr>
          <w:rFonts w:ascii="Times New Roman" w:hAnsi="Times New Roman"/>
          <w:b/>
        </w:rPr>
        <w:t>目的</w:t>
      </w:r>
      <w:bookmarkEnd w:id="7"/>
      <w:bookmarkEnd w:id="8"/>
    </w:p>
    <w:p>
      <w:pPr>
        <w:pStyle w:val="34"/>
        <w:spacing w:before="0" w:line="360" w:lineRule="auto"/>
        <w:ind w:left="357"/>
        <w:jc w:val="left"/>
        <w:rPr>
          <w:szCs w:val="21"/>
          <w:lang w:eastAsia="zh-CN"/>
        </w:rPr>
      </w:pPr>
      <w:bookmarkStart w:id="9" w:name="_Toc482370061"/>
      <w:bookmarkStart w:id="10" w:name="_Toc481702475"/>
      <w:bookmarkStart w:id="11" w:name="_Toc482625279"/>
      <w:bookmarkStart w:id="12" w:name="_Toc482370141"/>
      <w:bookmarkStart w:id="13" w:name="_Toc482370349"/>
      <w:bookmarkStart w:id="14" w:name="_Toc482359936"/>
      <w:bookmarkStart w:id="15" w:name="_Toc482360281"/>
      <w:bookmarkStart w:id="16" w:name="_Toc482369805"/>
      <w:bookmarkStart w:id="17" w:name="_Toc482370757"/>
      <w:r>
        <w:rPr>
          <w:szCs w:val="21"/>
          <w:lang w:eastAsia="zh-CN"/>
        </w:rPr>
        <w:t>本文件的目的是描述武汉生物制品研究所有限责任公司</w:t>
      </w:r>
      <w:permStart w:id="3" w:edGrp="everyone"/>
      <w:r>
        <w:rPr>
          <w:rFonts w:hint="eastAsia"/>
          <w:iCs/>
          <w:color w:val="000000"/>
          <w:szCs w:val="21"/>
          <w:lang w:eastAsia="zh-CN"/>
        </w:rPr>
        <w:t>病毒性疫苗研究二室细胞流感课题组梯度PCR仪</w:t>
      </w:r>
      <w:permEnd w:id="3"/>
      <w:r>
        <w:rPr>
          <w:szCs w:val="21"/>
          <w:lang w:eastAsia="zh-CN"/>
        </w:rPr>
        <w:t>的用户需求说明（URS），以确保最终用户的需求在项目设计阶段得以实现，并作为后续验证工作的基础。</w:t>
      </w:r>
    </w:p>
    <w:p>
      <w:pPr>
        <w:pStyle w:val="34"/>
        <w:spacing w:before="0"/>
        <w:ind w:left="360"/>
        <w:rPr>
          <w:szCs w:val="21"/>
          <w:lang w:eastAsia="zh-CN"/>
        </w:rPr>
      </w:pPr>
    </w:p>
    <w:p>
      <w:pPr>
        <w:pStyle w:val="30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18" w:name="_Toc522107736"/>
      <w:bookmarkStart w:id="19" w:name="_Toc522716116"/>
      <w:r>
        <w:rPr>
          <w:rFonts w:ascii="Times New Roman" w:hAnsi="Times New Roman"/>
          <w:b/>
        </w:rPr>
        <w:t>范围</w:t>
      </w:r>
      <w:bookmarkEnd w:id="18"/>
      <w:bookmarkEnd w:id="19"/>
    </w:p>
    <w:p>
      <w:pPr>
        <w:pStyle w:val="34"/>
        <w:spacing w:before="0" w:line="360" w:lineRule="auto"/>
        <w:ind w:left="357"/>
        <w:jc w:val="left"/>
        <w:rPr>
          <w:szCs w:val="21"/>
          <w:lang w:eastAsia="zh-CN"/>
        </w:rPr>
      </w:pPr>
      <w:r>
        <w:rPr>
          <w:szCs w:val="21"/>
          <w:lang w:eastAsia="zh-CN"/>
        </w:rPr>
        <w:t>本URS适用于武汉生物制品研究所有限责任公司</w:t>
      </w:r>
      <w:permStart w:id="4" w:edGrp="everyone"/>
      <w:r>
        <w:rPr>
          <w:rFonts w:hint="eastAsia"/>
          <w:iCs/>
          <w:color w:val="000000"/>
          <w:szCs w:val="21"/>
          <w:lang w:eastAsia="zh-CN"/>
        </w:rPr>
        <w:t>病毒性疫苗研究二室细胞流感课题组梯度PCR仪</w:t>
      </w:r>
      <w:permEnd w:id="4"/>
      <w:r>
        <w:rPr>
          <w:szCs w:val="21"/>
          <w:lang w:eastAsia="zh-CN"/>
        </w:rPr>
        <w:t>。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>
      <w:pPr>
        <w:pStyle w:val="34"/>
        <w:spacing w:before="0" w:line="360" w:lineRule="auto"/>
        <w:ind w:left="357"/>
        <w:jc w:val="left"/>
        <w:rPr>
          <w:szCs w:val="21"/>
          <w:lang w:eastAsia="zh-CN"/>
        </w:rPr>
      </w:pPr>
    </w:p>
    <w:p>
      <w:pPr>
        <w:pStyle w:val="30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20" w:name="_Toc522107737"/>
      <w:bookmarkStart w:id="21" w:name="_Toc522716117"/>
      <w:r>
        <w:rPr>
          <w:rFonts w:ascii="Times New Roman" w:hAnsi="Times New Roman"/>
          <w:b/>
        </w:rPr>
        <w:t>参考文件</w:t>
      </w:r>
      <w:bookmarkEnd w:id="20"/>
      <w:bookmarkEnd w:id="21"/>
    </w:p>
    <w:p>
      <w:pPr>
        <w:pStyle w:val="34"/>
        <w:numPr>
          <w:ilvl w:val="0"/>
          <w:numId w:val="4"/>
        </w:numPr>
        <w:spacing w:before="0" w:line="360" w:lineRule="auto"/>
        <w:jc w:val="left"/>
        <w:rPr>
          <w:color w:val="000000"/>
          <w:szCs w:val="21"/>
          <w:lang w:eastAsia="zh-CN"/>
        </w:rPr>
      </w:pPr>
      <w:r>
        <w:rPr>
          <w:color w:val="000000"/>
          <w:szCs w:val="21"/>
          <w:lang w:eastAsia="zh-CN"/>
        </w:rPr>
        <w:t>GMP法规指南和SOP</w:t>
      </w:r>
    </w:p>
    <w:p>
      <w:pPr>
        <w:pStyle w:val="34"/>
        <w:numPr>
          <w:ilvl w:val="0"/>
          <w:numId w:val="5"/>
        </w:numPr>
        <w:spacing w:before="0" w:line="360" w:lineRule="auto"/>
        <w:ind w:left="777"/>
        <w:jc w:val="left"/>
        <w:rPr>
          <w:color w:val="4472C4"/>
          <w:szCs w:val="21"/>
          <w:lang w:eastAsia="zh-CN"/>
        </w:rPr>
      </w:pPr>
      <w:r>
        <w:rPr>
          <w:color w:val="000000"/>
          <w:szCs w:val="21"/>
          <w:lang w:eastAsia="zh-CN"/>
        </w:rPr>
        <w:t>SOP-06-12-0005 用户需求编写审批SOP</w:t>
      </w:r>
    </w:p>
    <w:p>
      <w:pPr>
        <w:pStyle w:val="34"/>
        <w:numPr>
          <w:ilvl w:val="0"/>
          <w:numId w:val="5"/>
        </w:numPr>
        <w:spacing w:before="0" w:line="360" w:lineRule="auto"/>
        <w:ind w:left="777"/>
        <w:jc w:val="left"/>
        <w:rPr>
          <w:iCs/>
          <w:szCs w:val="21"/>
          <w:lang w:eastAsia="zh-CN"/>
        </w:rPr>
      </w:pPr>
      <w:permStart w:id="5" w:edGrp="everyone"/>
      <w:r>
        <w:rPr>
          <w:iCs/>
          <w:szCs w:val="21"/>
          <w:lang w:eastAsia="zh-CN"/>
        </w:rPr>
        <w:t xml:space="preserve">中国药典 </w:t>
      </w:r>
      <w:r>
        <w:rPr>
          <w:iCs/>
          <w:szCs w:val="21"/>
        </w:rPr>
        <w:t>2015年版</w:t>
      </w:r>
    </w:p>
    <w:permEnd w:id="5"/>
    <w:p>
      <w:pPr>
        <w:pStyle w:val="34"/>
        <w:numPr>
          <w:ilvl w:val="0"/>
          <w:numId w:val="4"/>
        </w:numPr>
        <w:spacing w:before="0" w:line="360" w:lineRule="auto"/>
        <w:jc w:val="left"/>
        <w:rPr>
          <w:color w:val="000000"/>
          <w:szCs w:val="21"/>
          <w:lang w:eastAsia="zh-CN"/>
        </w:rPr>
      </w:pPr>
      <w:r>
        <w:rPr>
          <w:color w:val="000000"/>
          <w:szCs w:val="21"/>
          <w:lang w:eastAsia="zh-CN"/>
        </w:rPr>
        <w:t>安全及环保法规指南</w:t>
      </w:r>
    </w:p>
    <w:p>
      <w:pPr>
        <w:pStyle w:val="34"/>
        <w:numPr>
          <w:ilvl w:val="0"/>
          <w:numId w:val="5"/>
        </w:numPr>
        <w:spacing w:before="0" w:line="360" w:lineRule="auto"/>
        <w:ind w:left="777"/>
        <w:jc w:val="left"/>
        <w:rPr>
          <w:i/>
          <w:szCs w:val="21"/>
          <w:lang w:eastAsia="zh-CN"/>
        </w:rPr>
      </w:pPr>
      <w:permStart w:id="6" w:edGrp="everyone"/>
      <w:r>
        <w:rPr>
          <w:iCs/>
          <w:szCs w:val="21"/>
          <w:lang w:eastAsia="zh-CN"/>
        </w:rPr>
        <w:t>电气安全应符合GB4793.1和GB4793.4的要求。</w:t>
      </w:r>
    </w:p>
    <w:permEnd w:id="6"/>
    <w:p>
      <w:pPr>
        <w:pStyle w:val="34"/>
        <w:spacing w:before="0" w:line="360" w:lineRule="auto"/>
        <w:ind w:left="357"/>
        <w:jc w:val="left"/>
        <w:rPr>
          <w:i/>
          <w:szCs w:val="21"/>
          <w:lang w:eastAsia="zh-CN"/>
        </w:rPr>
      </w:pPr>
    </w:p>
    <w:p>
      <w:pPr>
        <w:pStyle w:val="30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22" w:name="_Toc522716119"/>
      <w:bookmarkStart w:id="23" w:name="_Toc522107739"/>
      <w:permStart w:id="7" w:edGrp="everyone"/>
      <w:permEnd w:id="7"/>
      <w:r>
        <w:rPr>
          <w:rFonts w:ascii="Times New Roman" w:hAnsi="Times New Roman"/>
          <w:b/>
        </w:rPr>
        <w:t>系统描述</w:t>
      </w:r>
      <w:bookmarkEnd w:id="22"/>
      <w:bookmarkEnd w:id="23"/>
    </w:p>
    <w:p>
      <w:pPr>
        <w:spacing w:line="315" w:lineRule="atLeast"/>
        <w:ind w:firstLine="420" w:firstLineChars="200"/>
        <w:rPr>
          <w:iCs/>
          <w:szCs w:val="21"/>
          <w:lang w:val="en-US" w:eastAsia="zh-CN"/>
        </w:rPr>
      </w:pPr>
      <w:permStart w:id="8" w:edGrp="everyone"/>
      <w:r>
        <w:rPr>
          <w:rFonts w:hint="eastAsia"/>
          <w:iCs/>
          <w:szCs w:val="21"/>
          <w:lang w:val="en-US" w:eastAsia="zh-CN"/>
        </w:rPr>
        <w:t>病毒性疫苗研究二室细胞流感课题组需购买一台进口PCR仪，用于扩增DNA等一系列分子生物学实验</w:t>
      </w:r>
      <w:r>
        <w:rPr>
          <w:iCs/>
          <w:szCs w:val="21"/>
          <w:lang w:val="en-US" w:eastAsia="zh-CN"/>
        </w:rPr>
        <w:t>。经过市场调查，进口PCR仪符合本实验室使用需求。</w:t>
      </w:r>
    </w:p>
    <w:permEnd w:id="8"/>
    <w:p>
      <w:pPr>
        <w:pStyle w:val="34"/>
        <w:spacing w:before="0" w:line="360" w:lineRule="auto"/>
        <w:ind w:left="357"/>
        <w:jc w:val="left"/>
        <w:rPr>
          <w:i/>
          <w:color w:val="4472C4"/>
          <w:szCs w:val="21"/>
          <w:lang w:eastAsia="zh-CN"/>
        </w:rPr>
      </w:pPr>
    </w:p>
    <w:p>
      <w:pPr>
        <w:pStyle w:val="30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szCs w:val="21"/>
        </w:rPr>
      </w:pPr>
      <w:bookmarkStart w:id="24" w:name="_Toc522716120"/>
      <w:r>
        <w:rPr>
          <w:rFonts w:ascii="Times New Roman" w:hAnsi="Times New Roman"/>
          <w:b/>
          <w:szCs w:val="21"/>
        </w:rPr>
        <w:t>安装要求</w:t>
      </w:r>
      <w:bookmarkEnd w:id="24"/>
      <w:permStart w:id="9" w:edGrp="everyone"/>
      <w:permEnd w:id="9"/>
      <w:bookmarkStart w:id="53" w:name="_GoBack"/>
      <w:bookmarkEnd w:id="53"/>
    </w:p>
    <w:tbl>
      <w:tblPr>
        <w:tblStyle w:val="23"/>
        <w:tblW w:w="10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bookmarkStart w:id="25" w:name="OLE_LINK2"/>
            <w:bookmarkStart w:id="26" w:name="OLE_LINK1"/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 xml:space="preserve"> 安装位置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0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i/>
                <w:color w:val="0070C0"/>
                <w:szCs w:val="21"/>
                <w:lang w:val="en-US" w:eastAsia="zh-CN"/>
              </w:rPr>
            </w:pPr>
            <w:r>
              <w:rPr>
                <w:rFonts w:hint="eastAsia"/>
                <w:iCs/>
                <w:color w:val="000000"/>
                <w:szCs w:val="21"/>
                <w:lang w:val="en-US" w:eastAsia="zh-CN"/>
              </w:rPr>
              <w:t>病毒性疫苗研究二室</w:t>
            </w:r>
            <w:r>
              <w:rPr>
                <w:rFonts w:hint="eastAsia"/>
                <w:szCs w:val="21"/>
                <w:lang w:eastAsia="zh-CN"/>
              </w:rPr>
              <w:t>-科研楼A区一楼实验室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i/>
                <w:szCs w:val="21"/>
                <w:lang w:val="en-US" w:eastAsia="zh-CN"/>
              </w:rPr>
            </w:pPr>
            <w:r>
              <w:rPr>
                <w:rFonts w:hint="eastAsia"/>
                <w:iCs/>
                <w:szCs w:val="21"/>
                <w:lang w:val="en-US" w:eastAsia="zh-CN"/>
              </w:rPr>
              <w:t>关键</w:t>
            </w:r>
          </w:p>
        </w:tc>
      </w:tr>
      <w:permEnd w:id="1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安装尺寸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1" w:edGrp="everyone"/>
          </w:p>
        </w:tc>
        <w:tc>
          <w:tcPr>
            <w:tcW w:w="7128" w:type="dxa"/>
            <w:vAlign w:val="center"/>
          </w:tcPr>
          <w:p>
            <w:pPr>
              <w:spacing w:line="360" w:lineRule="auto"/>
              <w:outlineLvl w:val="0"/>
              <w:rPr>
                <w:i/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安装桌面的尺寸不少于</w:t>
            </w:r>
            <w:r>
              <w:rPr>
                <w:szCs w:val="21"/>
                <w:lang w:val="en-US" w:eastAsia="zh-CN"/>
              </w:rPr>
              <w:t>0.6m宽，1.5m长，设备</w:t>
            </w:r>
            <w:r>
              <w:rPr>
                <w:szCs w:val="21"/>
                <w:lang w:eastAsia="zh-CN"/>
              </w:rPr>
              <w:t>尺寸：27.2 cm (高) x 33.0 cm (宽) x 56.5 cm (深)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1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2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color w:val="0070C0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设备的形式尺寸应符合制造商说明书及技术文件规定的要求。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color w:val="0070C0"/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供应商必须给出设备选型方案及相应附件选型方案，并交给我公司使用部门及工程类部门审核。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1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承重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3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i/>
                <w:color w:val="0070C0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整机不超过20</w:t>
            </w:r>
            <w:r>
              <w:rPr>
                <w:szCs w:val="21"/>
                <w:lang w:val="en-US" w:eastAsia="zh-CN"/>
              </w:rPr>
              <w:t>kg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1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可用的公用系统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ind w:firstLine="0" w:firstLineChars="0"/>
              <w:rPr>
                <w:rFonts w:ascii="Times New Roman" w:hAnsi="Times New Roman"/>
                <w:szCs w:val="21"/>
              </w:rPr>
            </w:pPr>
            <w:permStart w:id="14" w:edGrp="everyone"/>
          </w:p>
        </w:tc>
        <w:tc>
          <w:tcPr>
            <w:tcW w:w="9253" w:type="dxa"/>
            <w:gridSpan w:val="2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N/A</w:t>
            </w:r>
          </w:p>
        </w:tc>
      </w:tr>
      <w:permEnd w:id="1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  <w:permStart w:id="15" w:edGrp="everyone"/>
            <w:permEnd w:id="15"/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洁净级别和房间环境条件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6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lang w:eastAsia="zh-CN"/>
              </w:rPr>
              <w:t>工作环境温度：能适应10</w:t>
            </w:r>
            <w:r>
              <w:rPr>
                <w:rFonts w:hint="eastAsia" w:ascii="宋体" w:hAnsi="宋体" w:cs="宋体"/>
                <w:lang w:eastAsia="zh-CN"/>
              </w:rPr>
              <w:t>℃</w:t>
            </w:r>
            <w:r>
              <w:rPr>
                <w:lang w:eastAsia="zh-CN"/>
              </w:rPr>
              <w:t>～32</w:t>
            </w:r>
            <w:r>
              <w:rPr>
                <w:rFonts w:hint="eastAsia" w:ascii="宋体" w:hAnsi="宋体" w:cs="宋体"/>
                <w:lang w:eastAsia="zh-CN"/>
              </w:rPr>
              <w:t>℃</w:t>
            </w:r>
            <w:r>
              <w:rPr>
                <w:lang w:eastAsia="zh-CN"/>
              </w:rPr>
              <w:t xml:space="preserve">环境 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期望</w:t>
            </w:r>
          </w:p>
        </w:tc>
      </w:tr>
      <w:permEnd w:id="1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7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lang w:eastAsia="zh-CN"/>
              </w:rPr>
              <w:t>工</w:t>
            </w:r>
            <w:r>
              <w:rPr>
                <w:lang w:eastAsia="zh-CN"/>
              </w:rPr>
              <w:t>作环境湿度：至少包括45%～65%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期望</w:t>
            </w:r>
          </w:p>
        </w:tc>
      </w:tr>
      <w:permEnd w:id="1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8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工作环境洁净级别：</w:t>
            </w:r>
            <w:r>
              <w:rPr>
                <w:lang w:eastAsia="zh-CN"/>
              </w:rPr>
              <w:t>普通区域</w:t>
            </w:r>
            <w:r>
              <w:rPr>
                <w:rFonts w:hint="eastAsia"/>
                <w:lang w:eastAsia="zh-CN"/>
              </w:rPr>
              <w:t xml:space="preserve"> 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期望</w:t>
            </w:r>
          </w:p>
        </w:tc>
      </w:tr>
      <w:permEnd w:id="1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lang w:eastAsia="zh-CN"/>
              </w:rPr>
              <w:t>可用的能源配置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9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交流电电源</w:t>
            </w:r>
            <w:r>
              <w:rPr>
                <w:lang w:eastAsia="zh-CN"/>
              </w:rPr>
              <w:t>：～220±10%V，50±1Hz</w:t>
            </w:r>
            <w:r>
              <w:rPr>
                <w:i/>
                <w:color w:val="0070C0"/>
                <w:lang w:eastAsia="zh-CN"/>
              </w:rPr>
              <w:t xml:space="preserve"> 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19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lang w:eastAsia="zh-CN"/>
              </w:rPr>
              <w:t>外观材质要求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0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i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仪器外观应端正、整齐，不得有明显的偏歪、毛刺和锈蚀等缺陷，且仪器内部表面不得有凹陷、毛刺和锈蚀等缺陷。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val="en-US" w:eastAsia="zh-CN"/>
              </w:rPr>
              <w:t>标识</w:t>
            </w:r>
            <w:r>
              <w:rPr>
                <w:szCs w:val="21"/>
                <w:lang w:eastAsia="zh-CN"/>
              </w:rPr>
              <w:t xml:space="preserve">：至少应有以下永久贴牢和清楚易认的标识： </w:t>
            </w:r>
          </w:p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（1）制造/供应单位；</w:t>
            </w:r>
          </w:p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（2）产品注册号；</w:t>
            </w:r>
          </w:p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（3）型号；</w:t>
            </w:r>
          </w:p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（4）生产日期或编号；</w:t>
            </w:r>
          </w:p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（5）对设备必要的说明；</w:t>
            </w:r>
          </w:p>
          <w:p>
            <w:pPr>
              <w:pStyle w:val="8"/>
              <w:spacing w:line="276" w:lineRule="auto"/>
              <w:rPr>
                <w:color w:val="0070C0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（</w:t>
            </w:r>
            <w:r>
              <w:rPr>
                <w:sz w:val="21"/>
                <w:szCs w:val="21"/>
                <w:lang w:eastAsia="zh-CN"/>
              </w:rPr>
              <w:t>6</w:t>
            </w:r>
            <w:r>
              <w:rPr>
                <w:sz w:val="21"/>
                <w:szCs w:val="21"/>
              </w:rPr>
              <w:t>）安全标识。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bookmarkEnd w:id="25"/>
      <w:bookmarkEnd w:id="26"/>
      <w:permEnd w:id="20"/>
    </w:tbl>
    <w:p>
      <w:pPr>
        <w:pStyle w:val="30"/>
        <w:spacing w:after="158" w:afterLines="50"/>
        <w:ind w:left="425" w:firstLine="0" w:firstLineChars="0"/>
        <w:rPr>
          <w:rFonts w:ascii="Times New Roman" w:hAnsi="Times New Roman"/>
          <w:szCs w:val="21"/>
        </w:rPr>
      </w:pPr>
    </w:p>
    <w:p>
      <w:pPr>
        <w:pStyle w:val="30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27" w:name="_Toc522716121"/>
      <w:bookmarkStart w:id="28" w:name="_Toc522107740"/>
      <w:r>
        <w:rPr>
          <w:rFonts w:ascii="Times New Roman" w:hAnsi="Times New Roman"/>
          <w:b/>
        </w:rPr>
        <w:t>运行要求</w:t>
      </w:r>
      <w:bookmarkEnd w:id="27"/>
      <w:bookmarkEnd w:id="28"/>
    </w:p>
    <w:p>
      <w:pPr>
        <w:pStyle w:val="34"/>
        <w:spacing w:before="0" w:line="360" w:lineRule="auto"/>
        <w:ind w:left="357"/>
        <w:jc w:val="left"/>
        <w:rPr>
          <w:bCs/>
          <w:i/>
          <w:color w:val="4472C4"/>
          <w:kern w:val="44"/>
          <w:szCs w:val="21"/>
          <w:lang w:eastAsia="zh-CN"/>
        </w:rPr>
      </w:pPr>
      <w:permStart w:id="21" w:edGrp="everyone"/>
    </w:p>
    <w:tbl>
      <w:tblPr>
        <w:tblStyle w:val="23"/>
        <w:tblW w:w="10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</w:t>
            </w:r>
            <w:permEnd w:id="21"/>
            <w:r>
              <w:rPr>
                <w:b/>
                <w:szCs w:val="21"/>
              </w:rPr>
              <w:t>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>原辅料、包装材料、产品的规格标准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ind w:firstLine="0" w:firstLineChars="0"/>
              <w:rPr>
                <w:rFonts w:ascii="Times New Roman" w:hAnsi="Times New Roman"/>
                <w:szCs w:val="21"/>
              </w:rPr>
            </w:pPr>
            <w:permStart w:id="22" w:edGrp="everyone"/>
          </w:p>
        </w:tc>
        <w:tc>
          <w:tcPr>
            <w:tcW w:w="9253" w:type="dxa"/>
            <w:gridSpan w:val="2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N</w:t>
            </w:r>
            <w:r>
              <w:rPr>
                <w:szCs w:val="21"/>
                <w:lang w:eastAsia="zh-CN"/>
              </w:rPr>
              <w:t>/A</w:t>
            </w:r>
          </w:p>
        </w:tc>
      </w:tr>
      <w:permEnd w:id="2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设备效率、产能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3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lang w:eastAsia="zh-CN"/>
              </w:rPr>
              <w:t>内置</w:t>
            </w:r>
            <w:r>
              <w:rPr>
                <w:szCs w:val="21"/>
                <w:lang w:eastAsia="zh-CN"/>
              </w:rPr>
              <w:t>3×32</w:t>
            </w:r>
            <w:r>
              <w:rPr>
                <w:lang w:eastAsia="zh-CN"/>
              </w:rPr>
              <w:t>孔或1×96半导体控温PCR仪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2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工艺参数范围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4" w:edGrp="everyone"/>
          </w:p>
        </w:tc>
        <w:tc>
          <w:tcPr>
            <w:tcW w:w="7128" w:type="dxa"/>
            <w:vAlign w:val="center"/>
          </w:tcPr>
          <w:p>
            <w:pPr>
              <w:rPr>
                <w:i/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样品基座：3×32孔0.2mL，三个独立的模块单元，可利用三个独立控制的加热模块同时完成三个不同的实验，或者在三个不同的时间分别开始实验；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2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5" w:edGrp="everyone" w:colFirst="1" w:colLast="1"/>
            <w:permStart w:id="26" w:edGrp="everyone" w:colFirst="2" w:colLast="2"/>
            <w:permStart w:id="27" w:edGrp="everyone" w:colFirst="3" w:colLast="3"/>
          </w:p>
        </w:tc>
        <w:tc>
          <w:tcPr>
            <w:tcW w:w="7128" w:type="dxa"/>
            <w:vAlign w:val="center"/>
          </w:tcPr>
          <w:p>
            <w:pPr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最大模块变温速率：6</w:t>
            </w:r>
            <w:r>
              <w:rPr>
                <w:rFonts w:ascii="宋体" w:hAnsi="宋体"/>
                <w:szCs w:val="21"/>
                <w:lang w:eastAsia="zh-CN"/>
              </w:rPr>
              <w:t>.0</w:t>
            </w:r>
            <w:r>
              <w:rPr>
                <w:rFonts w:hint="eastAsia" w:ascii="宋体" w:hAnsi="宋体"/>
                <w:szCs w:val="21"/>
                <w:lang w:eastAsia="zh-CN"/>
              </w:rPr>
              <w:t>℃/秒，最大样本变温速率：4.4℃/秒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关键</w:t>
            </w:r>
          </w:p>
        </w:tc>
      </w:tr>
      <w:permEnd w:id="25"/>
      <w:permEnd w:id="26"/>
      <w:permEnd w:id="2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8" w:edGrp="everyone"/>
          </w:p>
        </w:tc>
        <w:tc>
          <w:tcPr>
            <w:tcW w:w="7128" w:type="dxa"/>
            <w:vAlign w:val="center"/>
          </w:tcPr>
          <w:p>
            <w:pPr>
              <w:rPr>
                <w:szCs w:val="21"/>
                <w:lang w:val="en-US" w:eastAsia="zh-CN"/>
              </w:rPr>
            </w:pPr>
            <w:r>
              <w:rPr>
                <w:szCs w:val="21"/>
                <w:lang w:eastAsia="zh-CN"/>
              </w:rPr>
              <w:t>温度范围：0</w:t>
            </w:r>
            <w:bookmarkStart w:id="29" w:name="OLE_LINK7"/>
            <w:bookmarkStart w:id="30" w:name="OLE_LINK8"/>
            <w:r>
              <w:rPr>
                <w:szCs w:val="21"/>
                <w:lang w:eastAsia="zh-CN"/>
              </w:rPr>
              <w:t>-</w:t>
            </w:r>
            <w:bookmarkEnd w:id="29"/>
            <w:bookmarkEnd w:id="30"/>
            <w:r>
              <w:rPr>
                <w:szCs w:val="21"/>
                <w:lang w:eastAsia="zh-CN"/>
              </w:rPr>
              <w:t>100℃，温度均一性：＜0.5℃(达到95℃后20秒)，温度精确性：±0.25℃（35.0-99.9℃之间）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2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9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szCs w:val="21"/>
                <w:lang w:eastAsia="zh-CN"/>
              </w:rPr>
              <w:t xml:space="preserve">支持0.2mL PCR管、八联管和32孔板，PCR反应体积：10～80 </w:t>
            </w:r>
            <w:r>
              <w:rPr>
                <w:szCs w:val="21"/>
              </w:rPr>
              <w:t>μ</w:t>
            </w:r>
            <w:r>
              <w:rPr>
                <w:szCs w:val="21"/>
                <w:lang w:eastAsia="zh-CN"/>
              </w:rPr>
              <w:t>L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29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0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控温单元使用半导体模块控温，可以设定6个独立控温区域；温度梯度可以设定为二维梯度，横向12列和纵向8排温度梯度。可以在一次反应中同时对退火温度（从下向上）和变性温度（从左向右）进行优化，大幅缩短单次实验的反应时间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3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1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bookmarkStart w:id="31" w:name="OLE_LINK12"/>
            <w:bookmarkStart w:id="32" w:name="OLE_LINK11"/>
            <w:r>
              <w:rPr>
                <w:szCs w:val="21"/>
                <w:lang w:eastAsia="zh-CN"/>
              </w:rPr>
              <w:t>内置热学模拟模式，可模拟市面主流PCR仪热学性能，保证平稳过渡新旧仪器</w:t>
            </w:r>
            <w:r>
              <w:rPr>
                <w:szCs w:val="21"/>
                <w:lang w:val="en-US" w:eastAsia="zh-CN"/>
              </w:rPr>
              <w:t>的</w:t>
            </w:r>
            <w:r>
              <w:rPr>
                <w:szCs w:val="21"/>
                <w:lang w:eastAsia="zh-CN"/>
              </w:rPr>
              <w:t>更换</w:t>
            </w:r>
            <w:bookmarkEnd w:id="31"/>
            <w:bookmarkEnd w:id="32"/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3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2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szCs w:val="21"/>
              </w:rPr>
              <w:t>内置多种PCR程序模板，可直接调用，包括基础PCR、热启动PCR、测序PCR、优化PCR、 RT-PCR、高保真PCR、高特异PCR和Long PCR等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3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  <w:permStart w:id="33" w:edGrp="everyone"/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其他运行要求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配备Wi-Fi连接装置，仪器可通过下载手机</w:t>
            </w:r>
            <w:r>
              <w:rPr>
                <w:szCs w:val="21"/>
                <w:lang w:val="en-US" w:eastAsia="zh-CN"/>
              </w:rPr>
              <w:t>或电脑</w:t>
            </w:r>
            <w:r>
              <w:rPr>
                <w:szCs w:val="21"/>
                <w:lang w:eastAsia="zh-CN"/>
              </w:rPr>
              <w:t>应用程序到</w:t>
            </w:r>
            <w:r>
              <w:rPr>
                <w:szCs w:val="21"/>
                <w:lang w:val="en-US" w:eastAsia="zh-CN"/>
              </w:rPr>
              <w:t>移动手机或PC端</w:t>
            </w:r>
            <w:r>
              <w:rPr>
                <w:szCs w:val="21"/>
                <w:lang w:eastAsia="zh-CN"/>
              </w:rPr>
              <w:t>，随时随地查看仪器状态，启动或控制运行，</w:t>
            </w:r>
            <w:r>
              <w:rPr>
                <w:szCs w:val="21"/>
                <w:lang w:val="en-US" w:eastAsia="zh-CN"/>
              </w:rPr>
              <w:t>可在电脑端</w:t>
            </w:r>
            <w:r>
              <w:rPr>
                <w:szCs w:val="21"/>
                <w:lang w:eastAsia="zh-CN"/>
              </w:rPr>
              <w:t>编辑程序、启动或终止运行、设置Email提醒或通过Cloud共享程序文件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触</w:t>
            </w:r>
            <w:r>
              <w:rPr>
                <w:rFonts w:hint="eastAsia" w:ascii="宋体" w:hAnsi="宋体"/>
                <w:szCs w:val="21"/>
                <w:lang w:eastAsia="zh-CN"/>
              </w:rPr>
              <w:t>摸式显示屏，设置参数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需</w:t>
            </w:r>
            <w:r>
              <w:rPr>
                <w:rFonts w:hint="eastAsia" w:ascii="宋体" w:hAnsi="宋体"/>
                <w:szCs w:val="21"/>
                <w:lang w:eastAsia="zh-CN"/>
              </w:rPr>
              <w:t>简单方便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其他功能：自动断电重启、多重用户权限管理、实验中编辑或暂停程序、仪器自检测试、热盖温度可调或关闭、变温速率可调、一键孵育、自动休眠、查看运行日志并导出等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33"/>
    </w:tbl>
    <w:p>
      <w:pPr>
        <w:pStyle w:val="30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33" w:name="_Toc522716122"/>
      <w:bookmarkStart w:id="34" w:name="_Toc522107742"/>
      <w:bookmarkStart w:id="35" w:name="_Toc482370151"/>
      <w:bookmarkStart w:id="36" w:name="_Toc482625289"/>
      <w:bookmarkStart w:id="37" w:name="_Toc483227237"/>
      <w:bookmarkStart w:id="38" w:name="_Toc482370359"/>
      <w:bookmarkStart w:id="39" w:name="_Toc482370071"/>
      <w:bookmarkStart w:id="40" w:name="_Toc483400317"/>
      <w:bookmarkStart w:id="41" w:name="_Toc482370767"/>
      <w:bookmarkStart w:id="42" w:name="_Toc482359946"/>
      <w:bookmarkStart w:id="43" w:name="_Toc482717202"/>
      <w:bookmarkStart w:id="44" w:name="_Toc481702480"/>
      <w:bookmarkStart w:id="45" w:name="_Toc482369815"/>
      <w:bookmarkStart w:id="46" w:name="_Toc482360291"/>
      <w:r>
        <w:rPr>
          <w:rFonts w:ascii="Times New Roman" w:hAnsi="Times New Roman"/>
          <w:b/>
        </w:rPr>
        <w:t>电气、自动控制要求</w:t>
      </w:r>
      <w:bookmarkEnd w:id="33"/>
    </w:p>
    <w:tbl>
      <w:tblPr>
        <w:tblStyle w:val="23"/>
        <w:tblW w:w="10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permStart w:id="34" w:edGrp="everyone"/>
            <w:permEnd w:id="34"/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2"/>
                <w:numId w:val="9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自动控制要求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5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i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联机操控：允许多台机器在同一局域网内相互连接，并设置由其中一台来操控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3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6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断电保护，断电重启。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3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7" w:edGrp="everyone"/>
          </w:p>
        </w:tc>
        <w:tc>
          <w:tcPr>
            <w:tcW w:w="7128" w:type="dxa"/>
            <w:vAlign w:val="center"/>
          </w:tcPr>
          <w:p>
            <w:pPr>
              <w:tabs>
                <w:tab w:val="left" w:pos="973"/>
              </w:tabs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程序存储：机载存储，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也需</w:t>
            </w:r>
            <w:r>
              <w:rPr>
                <w:rFonts w:hint="eastAsia" w:ascii="宋体" w:hAnsi="宋体"/>
                <w:szCs w:val="21"/>
                <w:lang w:eastAsia="zh-CN"/>
              </w:rPr>
              <w:t>具有U盘插槽，用于转移程序，存储不限数量的程序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3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2"/>
                <w:numId w:val="9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</w:rPr>
            </w:pPr>
            <w:r>
              <w:rPr>
                <w:szCs w:val="21"/>
                <w:lang w:eastAsia="zh-CN"/>
              </w:rPr>
              <w:t>计算机化系统要求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ind w:firstLine="0" w:firstLineChars="0"/>
              <w:rPr>
                <w:rFonts w:ascii="Times New Roman" w:hAnsi="Times New Roman"/>
                <w:szCs w:val="21"/>
              </w:rPr>
            </w:pPr>
            <w:permStart w:id="38" w:edGrp="everyone"/>
          </w:p>
        </w:tc>
        <w:tc>
          <w:tcPr>
            <w:tcW w:w="9253" w:type="dxa"/>
            <w:gridSpan w:val="2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N/A</w:t>
            </w:r>
          </w:p>
        </w:tc>
      </w:tr>
      <w:permEnd w:id="38"/>
    </w:tbl>
    <w:p>
      <w:pPr>
        <w:spacing w:after="158" w:afterLines="50"/>
        <w:rPr>
          <w:b/>
          <w:lang w:eastAsia="zh-CN"/>
        </w:rPr>
      </w:pPr>
    </w:p>
    <w:p>
      <w:pPr>
        <w:pStyle w:val="30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7" w:name="_Toc522716123"/>
      <w:r>
        <w:rPr>
          <w:rFonts w:ascii="Times New Roman" w:hAnsi="Times New Roman"/>
          <w:b/>
        </w:rPr>
        <w:t>安全要求</w:t>
      </w:r>
      <w:bookmarkEnd w:id="34"/>
      <w:bookmarkEnd w:id="47"/>
    </w:p>
    <w:p>
      <w:pPr>
        <w:pStyle w:val="34"/>
        <w:spacing w:before="0" w:line="360" w:lineRule="auto"/>
        <w:ind w:left="357"/>
        <w:jc w:val="left"/>
        <w:rPr>
          <w:i/>
          <w:color w:val="4472C4"/>
          <w:szCs w:val="21"/>
          <w:lang w:eastAsia="zh-CN"/>
        </w:rPr>
      </w:pPr>
      <w:permStart w:id="39" w:edGrp="everyone"/>
    </w:p>
    <w:tbl>
      <w:tblPr>
        <w:tblStyle w:val="23"/>
        <w:tblW w:w="10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</w:t>
            </w:r>
            <w:permEnd w:id="39"/>
            <w:r>
              <w:rPr>
                <w:b/>
                <w:szCs w:val="21"/>
              </w:rPr>
              <w:t>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10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 xml:space="preserve"> 密封连锁及压力保护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ind w:firstLine="0" w:firstLineChars="0"/>
              <w:rPr>
                <w:rFonts w:ascii="Times New Roman" w:hAnsi="Times New Roman"/>
                <w:szCs w:val="21"/>
              </w:rPr>
            </w:pPr>
            <w:permStart w:id="40" w:edGrp="everyone"/>
          </w:p>
        </w:tc>
        <w:tc>
          <w:tcPr>
            <w:tcW w:w="9253" w:type="dxa"/>
            <w:gridSpan w:val="2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N</w:t>
            </w:r>
            <w:r>
              <w:rPr>
                <w:szCs w:val="21"/>
                <w:lang w:eastAsia="zh-CN"/>
              </w:rPr>
              <w:t>/A</w:t>
            </w:r>
          </w:p>
        </w:tc>
      </w:tr>
      <w:permEnd w:id="4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10"/>
              </w:numPr>
              <w:ind w:firstLineChars="0"/>
              <w:rPr>
                <w:rFonts w:ascii="Times New Roman" w:hAnsi="Times New Roman"/>
                <w:szCs w:val="21"/>
              </w:rPr>
            </w:pPr>
            <w:permStart w:id="41" w:edGrp="everyone"/>
            <w:permEnd w:id="41"/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电气保护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2" w:edGrp="everyone"/>
          </w:p>
        </w:tc>
        <w:tc>
          <w:tcPr>
            <w:tcW w:w="7128" w:type="dxa"/>
            <w:vAlign w:val="center"/>
          </w:tcPr>
          <w:p>
            <w:pPr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有断电保护和漏电保护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42"/>
    </w:tbl>
    <w:p>
      <w:pPr>
        <w:rPr>
          <w:szCs w:val="21"/>
          <w:lang w:eastAsia="zh-CN"/>
        </w:rPr>
      </w:pPr>
    </w:p>
    <w:p>
      <w:pPr>
        <w:pStyle w:val="30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8" w:name="_Toc522716124"/>
      <w:bookmarkStart w:id="49" w:name="_Toc522107743"/>
      <w:r>
        <w:rPr>
          <w:rFonts w:ascii="Times New Roman" w:hAnsi="Times New Roman"/>
          <w:b/>
        </w:rPr>
        <w:t>文件要求</w:t>
      </w:r>
      <w:bookmarkEnd w:id="48"/>
      <w:bookmarkEnd w:id="49"/>
    </w:p>
    <w:p>
      <w:pPr>
        <w:pStyle w:val="34"/>
        <w:spacing w:before="0" w:line="360" w:lineRule="auto"/>
        <w:ind w:left="357"/>
        <w:jc w:val="left"/>
        <w:rPr>
          <w:i/>
          <w:szCs w:val="21"/>
          <w:lang w:eastAsia="zh-CN"/>
        </w:rPr>
      </w:pPr>
      <w:permStart w:id="43" w:edGrp="everyone"/>
    </w:p>
    <w:tbl>
      <w:tblPr>
        <w:tblStyle w:val="23"/>
        <w:tblW w:w="10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</w:t>
            </w:r>
            <w:permEnd w:id="43"/>
            <w:r>
              <w:rPr>
                <w:b/>
                <w:szCs w:val="21"/>
              </w:rPr>
              <w:t>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4" w:edGrp="everyone"/>
          </w:p>
        </w:tc>
        <w:tc>
          <w:tcPr>
            <w:tcW w:w="7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 xml:space="preserve"> </w:t>
            </w:r>
            <w:r>
              <w:rPr>
                <w:rFonts w:hint="eastAsia"/>
                <w:szCs w:val="21"/>
                <w:lang w:eastAsia="zh-CN"/>
              </w:rPr>
              <w:t>投标文件、合同及订单。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提交时限：设备开箱验收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4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5" w:edGrp="everyone"/>
          </w:p>
        </w:tc>
        <w:tc>
          <w:tcPr>
            <w:tcW w:w="7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卖方发运清单及相关检验报告。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提交时限：设备开箱验收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系统功能配置清单及说明，包含各组件名称、编号、型号、规格、品牌、材质等。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提交时限：设备开箱验收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 xml:space="preserve">设备操作手册（SOP）：语言为中文，应说明校准周期，并能提供校准服务（此项服务可付费）。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提交时限：设备开箱验收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各种必要的合格证，包括部件合格证、第三方校验合格报告、材质证书等。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提交时限：设备开箱验收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45"/>
    </w:tbl>
    <w:p>
      <w:pPr>
        <w:rPr>
          <w:szCs w:val="21"/>
          <w:lang w:eastAsia="zh-CN"/>
        </w:rPr>
      </w:pPr>
    </w:p>
    <w:p>
      <w:pPr>
        <w:pStyle w:val="30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50" w:name="_Toc522716125"/>
      <w:r>
        <w:rPr>
          <w:rFonts w:ascii="Times New Roman" w:hAnsi="Times New Roman"/>
          <w:b/>
          <w:szCs w:val="21"/>
        </w:rPr>
        <w:t>服务要求</w:t>
      </w:r>
      <w:bookmarkEnd w:id="50"/>
    </w:p>
    <w:tbl>
      <w:tblPr>
        <w:tblStyle w:val="23"/>
        <w:tblW w:w="10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permStart w:id="46" w:edGrp="everyone"/>
            <w:permEnd w:id="46"/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 xml:space="preserve"> 培训要求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7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color w:val="0070C0"/>
                <w:szCs w:val="21"/>
                <w:lang w:eastAsia="zh-CN"/>
              </w:rPr>
            </w:pPr>
            <w:r>
              <w:rPr>
                <w:color w:val="000000"/>
                <w:lang w:eastAsia="zh-CN"/>
              </w:rPr>
              <w:t>设备供应商应免费对设备使用方人员进行全面培训，包括对生产操作人员及设备维护、维修人员，并填写培训记录。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4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8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color w:val="0070C0"/>
                <w:szCs w:val="21"/>
                <w:lang w:eastAsia="zh-CN"/>
              </w:rPr>
            </w:pPr>
            <w:r>
              <w:rPr>
                <w:color w:val="000000"/>
                <w:lang w:eastAsia="zh-CN"/>
              </w:rPr>
              <w:t>生产操作人员培训包括设备结构原理、性能、操作、清洗消毒、故障排除等基本</w:t>
            </w:r>
            <w:r>
              <w:rPr>
                <w:color w:val="000000"/>
                <w:szCs w:val="21"/>
                <w:lang w:eastAsia="zh-CN"/>
              </w:rPr>
              <w:t>知识</w:t>
            </w:r>
            <w:r>
              <w:rPr>
                <w:color w:val="000000"/>
                <w:lang w:eastAsia="zh-CN"/>
              </w:rPr>
              <w:t>。合格标准为用户参加培训人员能够独立正确操作设备，会排除常见故障。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4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9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color w:val="0070C0"/>
                <w:lang w:eastAsia="zh-CN"/>
              </w:rPr>
            </w:pPr>
            <w:r>
              <w:rPr>
                <w:color w:val="000000"/>
                <w:lang w:eastAsia="zh-CN"/>
              </w:rPr>
              <w:t>设备维护、维修人员培训应包括设备结构原理、基本操作、维修、日常保养内容、故障排除等基本知识。合格标准为维修人员能对机械、电器部分进行基本维修，能够了解设备日常保养内容，能对造成常见故障的易损部件有明确认识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49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运输要求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50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lang w:eastAsia="zh-CN"/>
              </w:rPr>
              <w:t>设备运输在运输途中需做好防护措施，不得有任何损伤。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5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验证要求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ind w:left="1134"/>
              <w:rPr>
                <w:szCs w:val="21"/>
              </w:rPr>
            </w:pPr>
            <w:permStart w:id="51" w:edGrp="everyone" w:colFirst="0" w:colLast="0"/>
            <w:permStart w:id="52" w:edGrp="everyone" w:colFirst="1" w:colLast="1"/>
          </w:p>
        </w:tc>
        <w:tc>
          <w:tcPr>
            <w:tcW w:w="9253" w:type="dxa"/>
            <w:gridSpan w:val="2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N</w:t>
            </w:r>
            <w:r>
              <w:rPr>
                <w:szCs w:val="21"/>
                <w:lang w:eastAsia="zh-CN"/>
              </w:rPr>
              <w:t>/A</w:t>
            </w:r>
          </w:p>
        </w:tc>
      </w:tr>
      <w:permEnd w:id="51"/>
      <w:permEnd w:id="5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售后服务及备件要求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pStyle w:val="8"/>
              <w:spacing w:line="360" w:lineRule="auto"/>
              <w:rPr>
                <w:sz w:val="21"/>
                <w:lang w:val="en-US" w:eastAsia="zh-CN"/>
              </w:rPr>
            </w:pPr>
            <w:r>
              <w:rPr>
                <w:sz w:val="21"/>
                <w:lang w:eastAsia="zh-CN"/>
              </w:rPr>
              <w:t>设备保质期从确认验收文件签署之后开始计算。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pStyle w:val="8"/>
              <w:spacing w:line="360" w:lineRule="auto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设备质保期为一年以上，保质期内免费保修并免费更换所有配件，保质期后</w:t>
            </w:r>
            <w:r>
              <w:rPr>
                <w:rFonts w:hint="eastAsia"/>
                <w:sz w:val="21"/>
                <w:lang w:eastAsia="zh-CN"/>
              </w:rPr>
              <w:t>乙方终生提供及时的维修、维护。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pStyle w:val="8"/>
              <w:spacing w:line="360" w:lineRule="auto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设备质保期为一年以上，保质期内免费保修并免费更换所有配件，保质期后</w:t>
            </w:r>
            <w:r>
              <w:rPr>
                <w:rFonts w:hint="eastAsia"/>
                <w:sz w:val="21"/>
                <w:lang w:eastAsia="zh-CN"/>
              </w:rPr>
              <w:t xml:space="preserve">乙方终生提供及时的维修、维护。 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pStyle w:val="8"/>
              <w:spacing w:line="360" w:lineRule="auto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售后服务必须响应及时，要求仪器出现须厂家维修的故障后，应在4小时内明确答复，当电话沟通无法解决时，须48小时内派人至现场解决。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pStyle w:val="8"/>
              <w:spacing w:line="360" w:lineRule="auto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免费保修期后，厂家应终生提供及时的维修、维护，厂家应定期回访，解决仪器运行当中可能出现的疑问，排除潜在故障，使仪器保持良好工作状态。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pStyle w:val="8"/>
              <w:spacing w:line="360" w:lineRule="auto"/>
              <w:rPr>
                <w:sz w:val="24"/>
                <w:lang w:eastAsia="zh-CN"/>
              </w:rPr>
            </w:pPr>
            <w:r>
              <w:rPr>
                <w:sz w:val="21"/>
                <w:lang w:eastAsia="zh-CN"/>
              </w:rPr>
              <w:t>厂家应</w:t>
            </w:r>
            <w:r>
              <w:rPr>
                <w:rFonts w:hint="eastAsia"/>
                <w:color w:val="000000"/>
                <w:sz w:val="21"/>
                <w:lang w:eastAsia="zh-CN"/>
              </w:rPr>
              <w:t>提供可满足两年设备运行需要的易损零部件及零部件清单，</w:t>
            </w:r>
            <w:r>
              <w:rPr>
                <w:sz w:val="21"/>
                <w:lang w:eastAsia="zh-CN"/>
              </w:rPr>
              <w:t>用于仪器相应部件的维修、更换。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pStyle w:val="8"/>
              <w:spacing w:line="360" w:lineRule="auto"/>
              <w:rPr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eastAsia="zh-CN"/>
              </w:rPr>
              <w:t>厂家能长期提供设备运行需要的零部件。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验收要求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pStyle w:val="8"/>
              <w:spacing w:line="360" w:lineRule="auto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货物到达买方使用现场后，由买卖双方共同验收，卖方工程师免费为买方提供调试。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pStyle w:val="8"/>
              <w:spacing w:line="360" w:lineRule="auto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供应商进厂安装需遵守安全和安装规定。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pStyle w:val="8"/>
              <w:spacing w:line="460" w:lineRule="exact"/>
              <w:rPr>
                <w:color w:val="000000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确认调试验收合格后，买卖双方签订验收报告。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</w:tbl>
    <w:p/>
    <w:p>
      <w:pPr>
        <w:pStyle w:val="30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51" w:name="_Toc522107746"/>
      <w:bookmarkStart w:id="52" w:name="_Toc522716126"/>
      <w:r>
        <w:rPr>
          <w:rFonts w:ascii="Times New Roman" w:hAnsi="Times New Roman"/>
          <w:b/>
        </w:rPr>
        <w:t>附件</w:t>
      </w:r>
      <w:bookmarkEnd w:id="51"/>
      <w:bookmarkEnd w:id="52"/>
    </w:p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p>
      <w:pPr>
        <w:pStyle w:val="34"/>
        <w:spacing w:before="0" w:line="360" w:lineRule="auto"/>
        <w:jc w:val="left"/>
        <w:rPr>
          <w:color w:val="4472C4"/>
          <w:szCs w:val="21"/>
          <w:lang w:eastAsia="zh-CN"/>
        </w:rPr>
      </w:pPr>
      <w:r>
        <w:rPr>
          <w:rFonts w:hint="eastAsia"/>
          <w:color w:val="4472C4"/>
          <w:szCs w:val="21"/>
          <w:lang w:eastAsia="zh-CN"/>
        </w:rPr>
        <w:t>N/A</w:t>
      </w:r>
      <w:permEnd w:id="53"/>
    </w:p>
    <w:sectPr>
      <w:headerReference r:id="rId4" w:type="default"/>
      <w:footerReference r:id="rId5" w:type="default"/>
      <w:pgSz w:w="11907" w:h="16840"/>
      <w:pgMar w:top="1134" w:right="567" w:bottom="1134" w:left="993" w:header="851" w:footer="992" w:gutter="0"/>
      <w:pgNumType w:start="1"/>
      <w:cols w:space="72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14"/>
      <w:tabs>
        <w:tab w:val="right" w:pos="9356"/>
        <w:tab w:val="clear" w:pos="8640"/>
      </w:tabs>
      <w:ind w:right="-285"/>
      <w:rPr>
        <w:sz w:val="18"/>
        <w:szCs w:val="18"/>
        <w:lang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1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653867252">
    <w:nsid w:val="629402F4"/>
    <w:multiLevelType w:val="multilevel"/>
    <w:tmpl w:val="629402F4"/>
    <w:lvl w:ilvl="0" w:tentative="1">
      <w:start w:val="1"/>
      <w:numFmt w:val="decimal"/>
      <w:lvlText w:val="3.%1"/>
      <w:lvlJc w:val="left"/>
      <w:pPr>
        <w:ind w:left="777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39589741">
    <w:nsid w:val="320B1F6D"/>
    <w:multiLevelType w:val="multilevel"/>
    <w:tmpl w:val="320B1F6D"/>
    <w:lvl w:ilvl="0" w:tentative="1">
      <w:start w:val="1"/>
      <w:numFmt w:val="decimal"/>
      <w:lvlText w:val="8.%1"/>
      <w:lvlJc w:val="left"/>
      <w:pPr>
        <w:ind w:left="777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decimal"/>
      <w:lvlText w:val="8.%3"/>
      <w:lvlJc w:val="right"/>
      <w:pPr>
        <w:ind w:left="1260" w:hanging="420"/>
      </w:pPr>
      <w:rPr>
        <w:rFonts w:hint="eastAsia"/>
      </w:r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19404300">
    <w:nsid w:val="549A640C"/>
    <w:multiLevelType w:val="multilevel"/>
    <w:tmpl w:val="549A640C"/>
    <w:lvl w:ilvl="0" w:tentative="1">
      <w:start w:val="1"/>
      <w:numFmt w:val="decimal"/>
      <w:lvlText w:val="12.%1"/>
      <w:lvlJc w:val="left"/>
      <w:pPr>
        <w:ind w:left="846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94097956">
    <w:nsid w:val="23693724"/>
    <w:multiLevelType w:val="multilevel"/>
    <w:tmpl w:val="23693724"/>
    <w:lvl w:ilvl="0" w:tentative="1">
      <w:start w:val="1"/>
      <w:numFmt w:val="decimal"/>
      <w:lvlText w:val="%1"/>
      <w:lvlJc w:val="left"/>
      <w:pPr>
        <w:ind w:left="425" w:hanging="425"/>
      </w:pPr>
    </w:lvl>
    <w:lvl w:ilvl="1" w:tentative="1">
      <w:start w:val="1"/>
      <w:numFmt w:val="decimal"/>
      <w:lvlText w:val="%1.%2"/>
      <w:lvlJc w:val="left"/>
      <w:pPr>
        <w:ind w:left="992" w:hanging="567"/>
      </w:pPr>
    </w:lvl>
    <w:lvl w:ilvl="2" w:tentative="1">
      <w:start w:val="1"/>
      <w:numFmt w:val="decimal"/>
      <w:lvlText w:val="%1.%2.%3"/>
      <w:lvlJc w:val="left"/>
      <w:pPr>
        <w:ind w:left="1418" w:hanging="567"/>
      </w:pPr>
    </w:lvl>
    <w:lvl w:ilvl="3" w:tentative="1">
      <w:start w:val="1"/>
      <w:numFmt w:val="decimal"/>
      <w:lvlText w:val="%1.%2.%3.%4"/>
      <w:lvlJc w:val="left"/>
      <w:pPr>
        <w:ind w:left="1984" w:hanging="708"/>
      </w:pPr>
    </w:lvl>
    <w:lvl w:ilvl="4" w:tentative="1">
      <w:start w:val="1"/>
      <w:numFmt w:val="decimal"/>
      <w:lvlText w:val="%1.%2.%3.%4.%5"/>
      <w:lvlJc w:val="left"/>
      <w:pPr>
        <w:ind w:left="2551" w:hanging="850"/>
      </w:pPr>
    </w:lvl>
    <w:lvl w:ilvl="5" w:tentative="1">
      <w:start w:val="1"/>
      <w:numFmt w:val="decimal"/>
      <w:lvlText w:val="%1.%2.%3.%4.%5.%6"/>
      <w:lvlJc w:val="left"/>
      <w:pPr>
        <w:ind w:left="3260" w:hanging="1134"/>
      </w:pPr>
    </w:lvl>
    <w:lvl w:ilvl="6" w:tentative="1">
      <w:start w:val="1"/>
      <w:numFmt w:val="decimal"/>
      <w:lvlText w:val="%1.%2.%3.%4.%5.%6.%7"/>
      <w:lvlJc w:val="left"/>
      <w:pPr>
        <w:ind w:left="3827" w:hanging="1276"/>
      </w:pPr>
    </w:lvl>
    <w:lvl w:ilvl="7" w:tentative="1">
      <w:start w:val="1"/>
      <w:numFmt w:val="decimal"/>
      <w:lvlText w:val="%1.%2.%3.%4.%5.%6.%7.%8"/>
      <w:lvlJc w:val="left"/>
      <w:pPr>
        <w:ind w:left="4394" w:hanging="1418"/>
      </w:pPr>
    </w:lvl>
    <w:lvl w:ilvl="8" w:tentative="1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50755389">
    <w:nsid w:val="08FC583D"/>
    <w:multiLevelType w:val="multilevel"/>
    <w:tmpl w:val="08FC583D"/>
    <w:lvl w:ilvl="0" w:tentative="1">
      <w:start w:val="1"/>
      <w:numFmt w:val="decimal"/>
      <w:pStyle w:val="2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sz w:val="22"/>
      </w:rPr>
    </w:lvl>
    <w:lvl w:ilvl="1" w:tentative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rFonts w:hint="default"/>
        <w:sz w:val="22"/>
      </w:rPr>
    </w:lvl>
    <w:lvl w:ilvl="2" w:tentative="1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rFonts w:hint="default"/>
      </w:rPr>
    </w:lvl>
    <w:lvl w:ilvl="3" w:tentative="1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default"/>
      </w:rPr>
    </w:lvl>
    <w:lvl w:ilvl="4" w:tentative="1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default"/>
      </w:rPr>
    </w:lvl>
    <w:lvl w:ilvl="5" w:tentative="1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default"/>
      </w:rPr>
    </w:lvl>
    <w:lvl w:ilvl="6" w:tentative="1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default"/>
      </w:rPr>
    </w:lvl>
    <w:lvl w:ilvl="7" w:tentative="1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default"/>
      </w:rPr>
    </w:lvl>
    <w:lvl w:ilvl="8" w:tentative="1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default"/>
      </w:rPr>
    </w:lvl>
  </w:abstractNum>
  <w:abstractNum w:abstractNumId="196115971">
    <w:nsid w:val="0BB07E03"/>
    <w:multiLevelType w:val="multilevel"/>
    <w:tmpl w:val="0BB07E03"/>
    <w:lvl w:ilvl="0" w:tentative="1">
      <w:start w:val="1"/>
      <w:numFmt w:val="decimal"/>
      <w:lvlText w:val="9.%1"/>
      <w:lvlJc w:val="left"/>
      <w:pPr>
        <w:ind w:left="102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7781897">
    <w:nsid w:val="11273409"/>
    <w:multiLevelType w:val="multilevel"/>
    <w:tmpl w:val="11273409"/>
    <w:lvl w:ilvl="0" w:tentative="1">
      <w:start w:val="1"/>
      <w:numFmt w:val="decimal"/>
      <w:lvlText w:val="7.%1"/>
      <w:lvlJc w:val="left"/>
      <w:pPr>
        <w:ind w:left="102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2943692">
    <w:nsid w:val="16D341CC"/>
    <w:multiLevelType w:val="multilevel"/>
    <w:tmpl w:val="16D341CC"/>
    <w:lvl w:ilvl="0" w:tentative="1">
      <w:start w:val="1"/>
      <w:numFmt w:val="decimal"/>
      <w:lvlText w:val="URS %1"/>
      <w:lvlJc w:val="left"/>
      <w:pPr>
        <w:ind w:left="1554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1440" w:hanging="420"/>
      </w:pPr>
    </w:lvl>
    <w:lvl w:ilvl="2" w:tentative="1">
      <w:start w:val="1"/>
      <w:numFmt w:val="lowerRoman"/>
      <w:lvlText w:val="%3."/>
      <w:lvlJc w:val="right"/>
      <w:pPr>
        <w:ind w:left="1860" w:hanging="420"/>
      </w:pPr>
    </w:lvl>
    <w:lvl w:ilvl="3" w:tentative="1">
      <w:start w:val="1"/>
      <w:numFmt w:val="decimal"/>
      <w:lvlText w:val="%4."/>
      <w:lvlJc w:val="left"/>
      <w:pPr>
        <w:ind w:left="2280" w:hanging="420"/>
      </w:pPr>
    </w:lvl>
    <w:lvl w:ilvl="4" w:tentative="1">
      <w:start w:val="1"/>
      <w:numFmt w:val="lowerLetter"/>
      <w:lvlText w:val="%5)"/>
      <w:lvlJc w:val="left"/>
      <w:pPr>
        <w:ind w:left="2700" w:hanging="420"/>
      </w:pPr>
    </w:lvl>
    <w:lvl w:ilvl="5" w:tentative="1">
      <w:start w:val="1"/>
      <w:numFmt w:val="lowerRoman"/>
      <w:lvlText w:val="%6."/>
      <w:lvlJc w:val="right"/>
      <w:pPr>
        <w:ind w:left="3120" w:hanging="420"/>
      </w:pPr>
    </w:lvl>
    <w:lvl w:ilvl="6" w:tentative="1">
      <w:start w:val="1"/>
      <w:numFmt w:val="decimal"/>
      <w:lvlText w:val="%7."/>
      <w:lvlJc w:val="left"/>
      <w:pPr>
        <w:ind w:left="3540" w:hanging="420"/>
      </w:pPr>
    </w:lvl>
    <w:lvl w:ilvl="7" w:tentative="1">
      <w:start w:val="1"/>
      <w:numFmt w:val="lowerLetter"/>
      <w:lvlText w:val="%8)"/>
      <w:lvlJc w:val="left"/>
      <w:pPr>
        <w:ind w:left="3960" w:hanging="420"/>
      </w:pPr>
    </w:lvl>
    <w:lvl w:ilvl="8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43812762">
    <w:nsid w:val="0892689A"/>
    <w:multiLevelType w:val="multilevel"/>
    <w:tmpl w:val="0892689A"/>
    <w:lvl w:ilvl="0" w:tentative="1">
      <w:start w:val="1"/>
      <w:numFmt w:val="decimal"/>
      <w:lvlText w:val="6.%1"/>
      <w:lvlJc w:val="left"/>
      <w:pPr>
        <w:ind w:left="102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12037502">
    <w:nsid w:val="1E85127E"/>
    <w:multiLevelType w:val="multilevel"/>
    <w:tmpl w:val="1E85127E"/>
    <w:lvl w:ilvl="0" w:tentative="1">
      <w:start w:val="1"/>
      <w:numFmt w:val="bullet"/>
      <w:lvlText w:val=""/>
      <w:lvlJc w:val="left"/>
      <w:pPr>
        <w:ind w:left="988" w:hanging="420"/>
      </w:pPr>
      <w:rPr>
        <w:rFonts w:hint="default" w:ascii="Wingdings" w:hAnsi="Wingdings"/>
        <w:color w:val="000000"/>
      </w:rPr>
    </w:lvl>
    <w:lvl w:ilvl="1" w:tentative="1">
      <w:start w:val="1"/>
      <w:numFmt w:val="bullet"/>
      <w:lvlText w:val=""/>
      <w:lvlJc w:val="left"/>
      <w:pPr>
        <w:ind w:left="1200" w:hanging="420"/>
      </w:pPr>
      <w:rPr>
        <w:rFonts w:hint="default" w:ascii="Wingdings" w:hAnsi="Wingdings"/>
      </w:rPr>
    </w:lvl>
    <w:lvl w:ilvl="2" w:tentative="1">
      <w:start w:val="1"/>
      <w:numFmt w:val="bullet"/>
      <w:lvlText w:val=""/>
      <w:lvlJc w:val="left"/>
      <w:pPr>
        <w:ind w:left="1620" w:hanging="420"/>
      </w:pPr>
      <w:rPr>
        <w:rFonts w:hint="default" w:ascii="Wingdings" w:hAnsi="Wingdings"/>
      </w:rPr>
    </w:lvl>
    <w:lvl w:ilvl="3" w:tentative="1">
      <w:start w:val="1"/>
      <w:numFmt w:val="bullet"/>
      <w:lvlText w:val=""/>
      <w:lvlJc w:val="left"/>
      <w:pPr>
        <w:ind w:left="2040" w:hanging="420"/>
      </w:pPr>
      <w:rPr>
        <w:rFonts w:hint="default" w:ascii="Wingdings" w:hAnsi="Wingdings"/>
      </w:rPr>
    </w:lvl>
    <w:lvl w:ilvl="4" w:tentative="1">
      <w:start w:val="1"/>
      <w:numFmt w:val="bullet"/>
      <w:lvlText w:val=""/>
      <w:lvlJc w:val="left"/>
      <w:pPr>
        <w:ind w:left="2460" w:hanging="420"/>
      </w:pPr>
      <w:rPr>
        <w:rFonts w:hint="default" w:ascii="Wingdings" w:hAnsi="Wingdings"/>
      </w:rPr>
    </w:lvl>
    <w:lvl w:ilvl="5" w:tentative="1">
      <w:start w:val="1"/>
      <w:numFmt w:val="bullet"/>
      <w:lvlText w:val=""/>
      <w:lvlJc w:val="left"/>
      <w:pPr>
        <w:ind w:left="2880" w:hanging="420"/>
      </w:pPr>
      <w:rPr>
        <w:rFonts w:hint="default" w:ascii="Wingdings" w:hAnsi="Wingdings"/>
      </w:rPr>
    </w:lvl>
    <w:lvl w:ilvl="6" w:tentative="1">
      <w:start w:val="1"/>
      <w:numFmt w:val="bullet"/>
      <w:lvlText w:val=""/>
      <w:lvlJc w:val="left"/>
      <w:pPr>
        <w:ind w:left="3300" w:hanging="420"/>
      </w:pPr>
      <w:rPr>
        <w:rFonts w:hint="default" w:ascii="Wingdings" w:hAnsi="Wingdings"/>
      </w:rPr>
    </w:lvl>
    <w:lvl w:ilvl="7" w:tentative="1">
      <w:start w:val="1"/>
      <w:numFmt w:val="bullet"/>
      <w:lvlText w:val=""/>
      <w:lvlJc w:val="left"/>
      <w:pPr>
        <w:ind w:left="3720" w:hanging="420"/>
      </w:pPr>
      <w:rPr>
        <w:rFonts w:hint="default" w:ascii="Wingdings" w:hAnsi="Wingdings"/>
      </w:rPr>
    </w:lvl>
    <w:lvl w:ilvl="8" w:tentative="1">
      <w:start w:val="1"/>
      <w:numFmt w:val="bullet"/>
      <w:lvlText w:val=""/>
      <w:lvlJc w:val="left"/>
      <w:pPr>
        <w:ind w:left="4140" w:hanging="420"/>
      </w:pPr>
      <w:rPr>
        <w:rFonts w:hint="default" w:ascii="Wingdings" w:hAnsi="Wingdings"/>
      </w:rPr>
    </w:lvl>
  </w:abstractNum>
  <w:abstractNum w:abstractNumId="1751467757">
    <w:nsid w:val="686546ED"/>
    <w:multiLevelType w:val="multilevel"/>
    <w:tmpl w:val="686546ED"/>
    <w:lvl w:ilvl="0" w:tentative="1">
      <w:start w:val="1"/>
      <w:numFmt w:val="decimal"/>
      <w:pStyle w:val="32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0755389"/>
  </w:num>
  <w:num w:numId="2">
    <w:abstractNumId w:val="1751467757"/>
  </w:num>
  <w:num w:numId="3">
    <w:abstractNumId w:val="594097956"/>
  </w:num>
  <w:num w:numId="4">
    <w:abstractNumId w:val="1653867252"/>
  </w:num>
  <w:num w:numId="5">
    <w:abstractNumId w:val="512037502"/>
  </w:num>
  <w:num w:numId="6">
    <w:abstractNumId w:val="143812762"/>
  </w:num>
  <w:num w:numId="7">
    <w:abstractNumId w:val="382943692"/>
  </w:num>
  <w:num w:numId="8">
    <w:abstractNumId w:val="287781897"/>
  </w:num>
  <w:num w:numId="9">
    <w:abstractNumId w:val="839589741"/>
  </w:num>
  <w:num w:numId="10">
    <w:abstractNumId w:val="196115971"/>
  </w:num>
  <w:num w:numId="11">
    <w:abstractNumId w:val="14194043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dit="readOnly" w:enforcement="0"/>
  <w:defaultTabStop w:val="720"/>
  <w:drawingGridHorizontalSpacing w:val="120"/>
  <w:drawingGridVerticalSpacing w:val="158"/>
  <w:displayHorizontalDrawingGridEvery w:val="0"/>
  <w:displayVerticalDrawingGridEvery w:val="0"/>
  <w:characterSpacingControl w:val="doNotCompress"/>
  <w:compat>
    <w:spaceForUL/>
    <w:doNotLeaveBackslashAlone/>
    <w:ulTrailSpac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391016"/>
    <w:rsid w:val="00001AE0"/>
    <w:rsid w:val="000021A6"/>
    <w:rsid w:val="00002F06"/>
    <w:rsid w:val="000038A4"/>
    <w:rsid w:val="0000520B"/>
    <w:rsid w:val="000059AD"/>
    <w:rsid w:val="00005CB9"/>
    <w:rsid w:val="00005E76"/>
    <w:rsid w:val="00006273"/>
    <w:rsid w:val="00006FD5"/>
    <w:rsid w:val="00010678"/>
    <w:rsid w:val="0001160E"/>
    <w:rsid w:val="000117C7"/>
    <w:rsid w:val="000169DD"/>
    <w:rsid w:val="00020FEA"/>
    <w:rsid w:val="00022818"/>
    <w:rsid w:val="000233DE"/>
    <w:rsid w:val="00023B07"/>
    <w:rsid w:val="00023CAD"/>
    <w:rsid w:val="0002457E"/>
    <w:rsid w:val="000275E7"/>
    <w:rsid w:val="000303D0"/>
    <w:rsid w:val="00031243"/>
    <w:rsid w:val="00031900"/>
    <w:rsid w:val="000355F3"/>
    <w:rsid w:val="00037987"/>
    <w:rsid w:val="00037F15"/>
    <w:rsid w:val="00037F55"/>
    <w:rsid w:val="000404F1"/>
    <w:rsid w:val="00041104"/>
    <w:rsid w:val="00041A2A"/>
    <w:rsid w:val="00041D89"/>
    <w:rsid w:val="00044DFD"/>
    <w:rsid w:val="000467C2"/>
    <w:rsid w:val="00046B5E"/>
    <w:rsid w:val="00047038"/>
    <w:rsid w:val="00047BA8"/>
    <w:rsid w:val="00047CAF"/>
    <w:rsid w:val="00053A4C"/>
    <w:rsid w:val="00054BB1"/>
    <w:rsid w:val="00055ED6"/>
    <w:rsid w:val="00056478"/>
    <w:rsid w:val="00056AE2"/>
    <w:rsid w:val="00056E9E"/>
    <w:rsid w:val="00057046"/>
    <w:rsid w:val="000576C2"/>
    <w:rsid w:val="00063572"/>
    <w:rsid w:val="00063B90"/>
    <w:rsid w:val="00064A43"/>
    <w:rsid w:val="000662D2"/>
    <w:rsid w:val="00071DD4"/>
    <w:rsid w:val="00072340"/>
    <w:rsid w:val="00072945"/>
    <w:rsid w:val="00073B81"/>
    <w:rsid w:val="0007673E"/>
    <w:rsid w:val="00077AE1"/>
    <w:rsid w:val="000818AC"/>
    <w:rsid w:val="00082C13"/>
    <w:rsid w:val="00083D58"/>
    <w:rsid w:val="000844A8"/>
    <w:rsid w:val="00084F90"/>
    <w:rsid w:val="00086CA0"/>
    <w:rsid w:val="00087002"/>
    <w:rsid w:val="00092C03"/>
    <w:rsid w:val="00096510"/>
    <w:rsid w:val="00097A7D"/>
    <w:rsid w:val="00097CA2"/>
    <w:rsid w:val="000A1D9E"/>
    <w:rsid w:val="000A2664"/>
    <w:rsid w:val="000A2C3C"/>
    <w:rsid w:val="000A41DA"/>
    <w:rsid w:val="000A55CC"/>
    <w:rsid w:val="000A5CEE"/>
    <w:rsid w:val="000A6423"/>
    <w:rsid w:val="000A6661"/>
    <w:rsid w:val="000B02ED"/>
    <w:rsid w:val="000B02FD"/>
    <w:rsid w:val="000B068C"/>
    <w:rsid w:val="000B417D"/>
    <w:rsid w:val="000B45E0"/>
    <w:rsid w:val="000B4EC4"/>
    <w:rsid w:val="000B5888"/>
    <w:rsid w:val="000C0A41"/>
    <w:rsid w:val="000C0DD3"/>
    <w:rsid w:val="000C0FA5"/>
    <w:rsid w:val="000C3C81"/>
    <w:rsid w:val="000C41B6"/>
    <w:rsid w:val="000C7137"/>
    <w:rsid w:val="000D112B"/>
    <w:rsid w:val="000D1A79"/>
    <w:rsid w:val="000D3B24"/>
    <w:rsid w:val="000D43C9"/>
    <w:rsid w:val="000D517D"/>
    <w:rsid w:val="000D5BCC"/>
    <w:rsid w:val="000D6D1E"/>
    <w:rsid w:val="000D6FF9"/>
    <w:rsid w:val="000D7C49"/>
    <w:rsid w:val="000E0DDB"/>
    <w:rsid w:val="000E17B5"/>
    <w:rsid w:val="000E41B5"/>
    <w:rsid w:val="000E51FF"/>
    <w:rsid w:val="000E5684"/>
    <w:rsid w:val="000E5B57"/>
    <w:rsid w:val="000F0D08"/>
    <w:rsid w:val="000F2CD3"/>
    <w:rsid w:val="000F36B9"/>
    <w:rsid w:val="000F3A00"/>
    <w:rsid w:val="000F4E03"/>
    <w:rsid w:val="000F606A"/>
    <w:rsid w:val="000F706D"/>
    <w:rsid w:val="00100F65"/>
    <w:rsid w:val="0010110F"/>
    <w:rsid w:val="00102DC9"/>
    <w:rsid w:val="001031DF"/>
    <w:rsid w:val="00103F05"/>
    <w:rsid w:val="00104160"/>
    <w:rsid w:val="0010503D"/>
    <w:rsid w:val="00106571"/>
    <w:rsid w:val="00106B5D"/>
    <w:rsid w:val="00110CF0"/>
    <w:rsid w:val="001120B7"/>
    <w:rsid w:val="0011231F"/>
    <w:rsid w:val="00112670"/>
    <w:rsid w:val="00112DD4"/>
    <w:rsid w:val="00112F30"/>
    <w:rsid w:val="00114353"/>
    <w:rsid w:val="001144F0"/>
    <w:rsid w:val="00115728"/>
    <w:rsid w:val="001163FC"/>
    <w:rsid w:val="00116F39"/>
    <w:rsid w:val="00117A01"/>
    <w:rsid w:val="00121B6E"/>
    <w:rsid w:val="00122051"/>
    <w:rsid w:val="00124244"/>
    <w:rsid w:val="00124E69"/>
    <w:rsid w:val="00125CC1"/>
    <w:rsid w:val="001273B0"/>
    <w:rsid w:val="00127CB8"/>
    <w:rsid w:val="001313C3"/>
    <w:rsid w:val="00132F4C"/>
    <w:rsid w:val="00134C68"/>
    <w:rsid w:val="00135FD6"/>
    <w:rsid w:val="001374CF"/>
    <w:rsid w:val="00143952"/>
    <w:rsid w:val="001442AB"/>
    <w:rsid w:val="0014477D"/>
    <w:rsid w:val="00144D00"/>
    <w:rsid w:val="00145034"/>
    <w:rsid w:val="00145DC7"/>
    <w:rsid w:val="00145F74"/>
    <w:rsid w:val="00146568"/>
    <w:rsid w:val="00150BCC"/>
    <w:rsid w:val="001541A9"/>
    <w:rsid w:val="001549D1"/>
    <w:rsid w:val="00154CD3"/>
    <w:rsid w:val="001560AD"/>
    <w:rsid w:val="0015633E"/>
    <w:rsid w:val="0015752C"/>
    <w:rsid w:val="0016077F"/>
    <w:rsid w:val="00161486"/>
    <w:rsid w:val="0016194A"/>
    <w:rsid w:val="00161F7F"/>
    <w:rsid w:val="00162A78"/>
    <w:rsid w:val="00163A08"/>
    <w:rsid w:val="00164CDC"/>
    <w:rsid w:val="00164E0D"/>
    <w:rsid w:val="00166311"/>
    <w:rsid w:val="00166478"/>
    <w:rsid w:val="00167B0E"/>
    <w:rsid w:val="00171A51"/>
    <w:rsid w:val="001746E7"/>
    <w:rsid w:val="001757AB"/>
    <w:rsid w:val="001769A8"/>
    <w:rsid w:val="001814FA"/>
    <w:rsid w:val="001815A9"/>
    <w:rsid w:val="00182A27"/>
    <w:rsid w:val="00184DDD"/>
    <w:rsid w:val="00184FFD"/>
    <w:rsid w:val="00185449"/>
    <w:rsid w:val="00186314"/>
    <w:rsid w:val="00187B04"/>
    <w:rsid w:val="00190000"/>
    <w:rsid w:val="001929C2"/>
    <w:rsid w:val="00192B8F"/>
    <w:rsid w:val="00193D66"/>
    <w:rsid w:val="00194BB7"/>
    <w:rsid w:val="001A1DE7"/>
    <w:rsid w:val="001A3BB0"/>
    <w:rsid w:val="001A4947"/>
    <w:rsid w:val="001A64C0"/>
    <w:rsid w:val="001A685F"/>
    <w:rsid w:val="001A7EB6"/>
    <w:rsid w:val="001A7FE4"/>
    <w:rsid w:val="001B0278"/>
    <w:rsid w:val="001B28C8"/>
    <w:rsid w:val="001B4654"/>
    <w:rsid w:val="001C017B"/>
    <w:rsid w:val="001C239E"/>
    <w:rsid w:val="001C2D7E"/>
    <w:rsid w:val="001D1FA0"/>
    <w:rsid w:val="001D32D4"/>
    <w:rsid w:val="001D3C96"/>
    <w:rsid w:val="001D4383"/>
    <w:rsid w:val="001D4742"/>
    <w:rsid w:val="001D474B"/>
    <w:rsid w:val="001D48B0"/>
    <w:rsid w:val="001D5549"/>
    <w:rsid w:val="001E0376"/>
    <w:rsid w:val="001E13E0"/>
    <w:rsid w:val="001E2B2B"/>
    <w:rsid w:val="001E353E"/>
    <w:rsid w:val="001E3CBE"/>
    <w:rsid w:val="001E5657"/>
    <w:rsid w:val="001E5F94"/>
    <w:rsid w:val="001E744F"/>
    <w:rsid w:val="001F065A"/>
    <w:rsid w:val="001F1FE7"/>
    <w:rsid w:val="001F25DD"/>
    <w:rsid w:val="001F3552"/>
    <w:rsid w:val="001F473D"/>
    <w:rsid w:val="001F4BFD"/>
    <w:rsid w:val="001F7405"/>
    <w:rsid w:val="001F7E95"/>
    <w:rsid w:val="00201487"/>
    <w:rsid w:val="00203D68"/>
    <w:rsid w:val="0020539A"/>
    <w:rsid w:val="00205E00"/>
    <w:rsid w:val="00206107"/>
    <w:rsid w:val="002070B2"/>
    <w:rsid w:val="0020756B"/>
    <w:rsid w:val="00210177"/>
    <w:rsid w:val="00212297"/>
    <w:rsid w:val="002129BC"/>
    <w:rsid w:val="00212BD9"/>
    <w:rsid w:val="00213AA9"/>
    <w:rsid w:val="002168FE"/>
    <w:rsid w:val="00217048"/>
    <w:rsid w:val="002178C5"/>
    <w:rsid w:val="00220757"/>
    <w:rsid w:val="00222993"/>
    <w:rsid w:val="00223661"/>
    <w:rsid w:val="00224129"/>
    <w:rsid w:val="00225DD2"/>
    <w:rsid w:val="002279A2"/>
    <w:rsid w:val="00227A0D"/>
    <w:rsid w:val="002320D9"/>
    <w:rsid w:val="00234C07"/>
    <w:rsid w:val="002355FF"/>
    <w:rsid w:val="002367A6"/>
    <w:rsid w:val="00236BE9"/>
    <w:rsid w:val="00237E6C"/>
    <w:rsid w:val="00240A09"/>
    <w:rsid w:val="00240B1E"/>
    <w:rsid w:val="00241437"/>
    <w:rsid w:val="00245088"/>
    <w:rsid w:val="00253242"/>
    <w:rsid w:val="002547BF"/>
    <w:rsid w:val="002548CA"/>
    <w:rsid w:val="0025531B"/>
    <w:rsid w:val="002560F9"/>
    <w:rsid w:val="00257517"/>
    <w:rsid w:val="00257FA9"/>
    <w:rsid w:val="00261CD0"/>
    <w:rsid w:val="00261F30"/>
    <w:rsid w:val="002637FB"/>
    <w:rsid w:val="00263CB5"/>
    <w:rsid w:val="0026571F"/>
    <w:rsid w:val="0027137F"/>
    <w:rsid w:val="002723D2"/>
    <w:rsid w:val="002732E5"/>
    <w:rsid w:val="002745D9"/>
    <w:rsid w:val="00274823"/>
    <w:rsid w:val="0027577D"/>
    <w:rsid w:val="00275F43"/>
    <w:rsid w:val="002810E3"/>
    <w:rsid w:val="00282EAA"/>
    <w:rsid w:val="0028384D"/>
    <w:rsid w:val="0028525D"/>
    <w:rsid w:val="002860DB"/>
    <w:rsid w:val="00286CE5"/>
    <w:rsid w:val="0029023F"/>
    <w:rsid w:val="002913B7"/>
    <w:rsid w:val="00291541"/>
    <w:rsid w:val="00291C5E"/>
    <w:rsid w:val="002924C2"/>
    <w:rsid w:val="00293E83"/>
    <w:rsid w:val="0029741F"/>
    <w:rsid w:val="00297DDC"/>
    <w:rsid w:val="002A18C8"/>
    <w:rsid w:val="002A42F8"/>
    <w:rsid w:val="002A547B"/>
    <w:rsid w:val="002A588E"/>
    <w:rsid w:val="002A7980"/>
    <w:rsid w:val="002B0A7C"/>
    <w:rsid w:val="002B14F3"/>
    <w:rsid w:val="002B480A"/>
    <w:rsid w:val="002B67A2"/>
    <w:rsid w:val="002B6854"/>
    <w:rsid w:val="002C1817"/>
    <w:rsid w:val="002C1DAB"/>
    <w:rsid w:val="002C4FCF"/>
    <w:rsid w:val="002C527C"/>
    <w:rsid w:val="002D0253"/>
    <w:rsid w:val="002D03CD"/>
    <w:rsid w:val="002D2477"/>
    <w:rsid w:val="002D2AAB"/>
    <w:rsid w:val="002D691F"/>
    <w:rsid w:val="002D6A50"/>
    <w:rsid w:val="002D6D1C"/>
    <w:rsid w:val="002E1D21"/>
    <w:rsid w:val="002E3B36"/>
    <w:rsid w:val="002E59BF"/>
    <w:rsid w:val="002E63F6"/>
    <w:rsid w:val="002E69A1"/>
    <w:rsid w:val="002E69B8"/>
    <w:rsid w:val="002F1C5E"/>
    <w:rsid w:val="002F1D63"/>
    <w:rsid w:val="002F340E"/>
    <w:rsid w:val="002F4392"/>
    <w:rsid w:val="002F4641"/>
    <w:rsid w:val="002F4B22"/>
    <w:rsid w:val="002F79F5"/>
    <w:rsid w:val="00302176"/>
    <w:rsid w:val="00302AF8"/>
    <w:rsid w:val="00304F96"/>
    <w:rsid w:val="00306131"/>
    <w:rsid w:val="00311B2C"/>
    <w:rsid w:val="00311EE4"/>
    <w:rsid w:val="0031318B"/>
    <w:rsid w:val="003137B7"/>
    <w:rsid w:val="003148D1"/>
    <w:rsid w:val="00314CFF"/>
    <w:rsid w:val="00315038"/>
    <w:rsid w:val="00315C3E"/>
    <w:rsid w:val="00316EEF"/>
    <w:rsid w:val="003172B7"/>
    <w:rsid w:val="00321298"/>
    <w:rsid w:val="00321D97"/>
    <w:rsid w:val="00323423"/>
    <w:rsid w:val="003240E5"/>
    <w:rsid w:val="00324B23"/>
    <w:rsid w:val="003257E0"/>
    <w:rsid w:val="00325FFA"/>
    <w:rsid w:val="00330D16"/>
    <w:rsid w:val="00330FFF"/>
    <w:rsid w:val="00333C91"/>
    <w:rsid w:val="0033695C"/>
    <w:rsid w:val="00341B2F"/>
    <w:rsid w:val="00342915"/>
    <w:rsid w:val="00344B04"/>
    <w:rsid w:val="00345847"/>
    <w:rsid w:val="00347576"/>
    <w:rsid w:val="00347772"/>
    <w:rsid w:val="00347A51"/>
    <w:rsid w:val="00347B19"/>
    <w:rsid w:val="003531FA"/>
    <w:rsid w:val="0035416F"/>
    <w:rsid w:val="003549FE"/>
    <w:rsid w:val="00355AAC"/>
    <w:rsid w:val="00355D7D"/>
    <w:rsid w:val="003647CA"/>
    <w:rsid w:val="00370514"/>
    <w:rsid w:val="0037056A"/>
    <w:rsid w:val="003726DF"/>
    <w:rsid w:val="0037345A"/>
    <w:rsid w:val="00373FFA"/>
    <w:rsid w:val="0037455F"/>
    <w:rsid w:val="00376C31"/>
    <w:rsid w:val="00380EB7"/>
    <w:rsid w:val="003810F5"/>
    <w:rsid w:val="00381C39"/>
    <w:rsid w:val="00381CF6"/>
    <w:rsid w:val="0038326A"/>
    <w:rsid w:val="0038367F"/>
    <w:rsid w:val="00387B81"/>
    <w:rsid w:val="00391016"/>
    <w:rsid w:val="00393529"/>
    <w:rsid w:val="00393B6A"/>
    <w:rsid w:val="003946C3"/>
    <w:rsid w:val="00395CE1"/>
    <w:rsid w:val="00395D47"/>
    <w:rsid w:val="00396425"/>
    <w:rsid w:val="003970BE"/>
    <w:rsid w:val="00397C18"/>
    <w:rsid w:val="003A04A8"/>
    <w:rsid w:val="003A1311"/>
    <w:rsid w:val="003A2EC5"/>
    <w:rsid w:val="003A3AAC"/>
    <w:rsid w:val="003A4CAE"/>
    <w:rsid w:val="003A6DFE"/>
    <w:rsid w:val="003A6FCD"/>
    <w:rsid w:val="003B096A"/>
    <w:rsid w:val="003B0B6A"/>
    <w:rsid w:val="003B1FF2"/>
    <w:rsid w:val="003B2104"/>
    <w:rsid w:val="003B354C"/>
    <w:rsid w:val="003B355B"/>
    <w:rsid w:val="003B4A5D"/>
    <w:rsid w:val="003B5047"/>
    <w:rsid w:val="003B6E29"/>
    <w:rsid w:val="003B73AB"/>
    <w:rsid w:val="003C02C6"/>
    <w:rsid w:val="003C03D7"/>
    <w:rsid w:val="003C0712"/>
    <w:rsid w:val="003C558E"/>
    <w:rsid w:val="003C6ECF"/>
    <w:rsid w:val="003C73BC"/>
    <w:rsid w:val="003D2243"/>
    <w:rsid w:val="003D3C09"/>
    <w:rsid w:val="003D464A"/>
    <w:rsid w:val="003D4EFF"/>
    <w:rsid w:val="003D5F4A"/>
    <w:rsid w:val="003D662C"/>
    <w:rsid w:val="003D77E5"/>
    <w:rsid w:val="003E49F8"/>
    <w:rsid w:val="003E5109"/>
    <w:rsid w:val="003E60EE"/>
    <w:rsid w:val="003E6B48"/>
    <w:rsid w:val="003E748F"/>
    <w:rsid w:val="003F3F47"/>
    <w:rsid w:val="003F6E0C"/>
    <w:rsid w:val="004003A8"/>
    <w:rsid w:val="0040240E"/>
    <w:rsid w:val="00402756"/>
    <w:rsid w:val="00405B3A"/>
    <w:rsid w:val="004074DC"/>
    <w:rsid w:val="004111CC"/>
    <w:rsid w:val="004122A3"/>
    <w:rsid w:val="00416E8B"/>
    <w:rsid w:val="00420273"/>
    <w:rsid w:val="00420AA0"/>
    <w:rsid w:val="0042116C"/>
    <w:rsid w:val="00422D19"/>
    <w:rsid w:val="00422DFE"/>
    <w:rsid w:val="00424D83"/>
    <w:rsid w:val="00424E29"/>
    <w:rsid w:val="00427D22"/>
    <w:rsid w:val="00427E2D"/>
    <w:rsid w:val="00432568"/>
    <w:rsid w:val="00436C7C"/>
    <w:rsid w:val="00437440"/>
    <w:rsid w:val="00440378"/>
    <w:rsid w:val="00442B53"/>
    <w:rsid w:val="00443256"/>
    <w:rsid w:val="00444D2D"/>
    <w:rsid w:val="004510B1"/>
    <w:rsid w:val="00451C5D"/>
    <w:rsid w:val="00451D74"/>
    <w:rsid w:val="00452E73"/>
    <w:rsid w:val="004565EF"/>
    <w:rsid w:val="00457FF9"/>
    <w:rsid w:val="004601ED"/>
    <w:rsid w:val="00460711"/>
    <w:rsid w:val="0046108B"/>
    <w:rsid w:val="00467AE6"/>
    <w:rsid w:val="00467EC9"/>
    <w:rsid w:val="00477791"/>
    <w:rsid w:val="00480286"/>
    <w:rsid w:val="00480C3B"/>
    <w:rsid w:val="00480FE3"/>
    <w:rsid w:val="00481C94"/>
    <w:rsid w:val="00484A8D"/>
    <w:rsid w:val="00486A4E"/>
    <w:rsid w:val="00486B09"/>
    <w:rsid w:val="0049139F"/>
    <w:rsid w:val="00494F07"/>
    <w:rsid w:val="00496116"/>
    <w:rsid w:val="004965A0"/>
    <w:rsid w:val="00497335"/>
    <w:rsid w:val="004A05A7"/>
    <w:rsid w:val="004A3F98"/>
    <w:rsid w:val="004A5532"/>
    <w:rsid w:val="004A5958"/>
    <w:rsid w:val="004A76DF"/>
    <w:rsid w:val="004B0A75"/>
    <w:rsid w:val="004B2190"/>
    <w:rsid w:val="004B69B2"/>
    <w:rsid w:val="004B7507"/>
    <w:rsid w:val="004B7DC4"/>
    <w:rsid w:val="004B7F85"/>
    <w:rsid w:val="004C099B"/>
    <w:rsid w:val="004C42AE"/>
    <w:rsid w:val="004C49B0"/>
    <w:rsid w:val="004C4F53"/>
    <w:rsid w:val="004C4F7F"/>
    <w:rsid w:val="004C592E"/>
    <w:rsid w:val="004D050F"/>
    <w:rsid w:val="004D0E3A"/>
    <w:rsid w:val="004D1A73"/>
    <w:rsid w:val="004D48C2"/>
    <w:rsid w:val="004D67B1"/>
    <w:rsid w:val="004D7128"/>
    <w:rsid w:val="004D751D"/>
    <w:rsid w:val="004E05C2"/>
    <w:rsid w:val="004E0B02"/>
    <w:rsid w:val="004E0C0D"/>
    <w:rsid w:val="004E255F"/>
    <w:rsid w:val="004E4C2D"/>
    <w:rsid w:val="004F0539"/>
    <w:rsid w:val="004F10A4"/>
    <w:rsid w:val="004F342E"/>
    <w:rsid w:val="004F4C63"/>
    <w:rsid w:val="004F5AE6"/>
    <w:rsid w:val="004F5C19"/>
    <w:rsid w:val="004F7B6A"/>
    <w:rsid w:val="0050090F"/>
    <w:rsid w:val="0050208D"/>
    <w:rsid w:val="0050284B"/>
    <w:rsid w:val="00502F99"/>
    <w:rsid w:val="00504B71"/>
    <w:rsid w:val="00507991"/>
    <w:rsid w:val="00507C94"/>
    <w:rsid w:val="00507EB2"/>
    <w:rsid w:val="00510111"/>
    <w:rsid w:val="00511AB4"/>
    <w:rsid w:val="00512690"/>
    <w:rsid w:val="00512A4E"/>
    <w:rsid w:val="00514EA4"/>
    <w:rsid w:val="00516BB4"/>
    <w:rsid w:val="00517A5D"/>
    <w:rsid w:val="00517E1E"/>
    <w:rsid w:val="005217E8"/>
    <w:rsid w:val="005220FE"/>
    <w:rsid w:val="005247DE"/>
    <w:rsid w:val="00530B8F"/>
    <w:rsid w:val="00531434"/>
    <w:rsid w:val="00531754"/>
    <w:rsid w:val="00534840"/>
    <w:rsid w:val="00534D08"/>
    <w:rsid w:val="00536973"/>
    <w:rsid w:val="00536C6B"/>
    <w:rsid w:val="00544652"/>
    <w:rsid w:val="0054625B"/>
    <w:rsid w:val="00551539"/>
    <w:rsid w:val="00552EFE"/>
    <w:rsid w:val="00554ABB"/>
    <w:rsid w:val="0055552D"/>
    <w:rsid w:val="00555668"/>
    <w:rsid w:val="0055679E"/>
    <w:rsid w:val="0056090D"/>
    <w:rsid w:val="00561E9C"/>
    <w:rsid w:val="00565C7A"/>
    <w:rsid w:val="00567E14"/>
    <w:rsid w:val="005705A7"/>
    <w:rsid w:val="0057277E"/>
    <w:rsid w:val="00572F0E"/>
    <w:rsid w:val="00574D60"/>
    <w:rsid w:val="00575318"/>
    <w:rsid w:val="00577142"/>
    <w:rsid w:val="005773E5"/>
    <w:rsid w:val="00581AD5"/>
    <w:rsid w:val="00581C4E"/>
    <w:rsid w:val="00582DB0"/>
    <w:rsid w:val="00584B8E"/>
    <w:rsid w:val="00586EFD"/>
    <w:rsid w:val="00587AC1"/>
    <w:rsid w:val="00587DE8"/>
    <w:rsid w:val="00590694"/>
    <w:rsid w:val="00590AA6"/>
    <w:rsid w:val="00591A70"/>
    <w:rsid w:val="00592624"/>
    <w:rsid w:val="00593AF8"/>
    <w:rsid w:val="00593EC9"/>
    <w:rsid w:val="005964B1"/>
    <w:rsid w:val="005965FD"/>
    <w:rsid w:val="00597FCC"/>
    <w:rsid w:val="005A132A"/>
    <w:rsid w:val="005A337C"/>
    <w:rsid w:val="005A34B0"/>
    <w:rsid w:val="005A3ECF"/>
    <w:rsid w:val="005A6821"/>
    <w:rsid w:val="005B2393"/>
    <w:rsid w:val="005B750A"/>
    <w:rsid w:val="005C2B89"/>
    <w:rsid w:val="005C2FA7"/>
    <w:rsid w:val="005C386F"/>
    <w:rsid w:val="005C42AC"/>
    <w:rsid w:val="005C4D05"/>
    <w:rsid w:val="005C506B"/>
    <w:rsid w:val="005C71BF"/>
    <w:rsid w:val="005C723D"/>
    <w:rsid w:val="005C7601"/>
    <w:rsid w:val="005D1094"/>
    <w:rsid w:val="005D3394"/>
    <w:rsid w:val="005D3989"/>
    <w:rsid w:val="005D42FF"/>
    <w:rsid w:val="005E2725"/>
    <w:rsid w:val="005E65FA"/>
    <w:rsid w:val="005F19CE"/>
    <w:rsid w:val="005F28F4"/>
    <w:rsid w:val="005F43BB"/>
    <w:rsid w:val="005F503E"/>
    <w:rsid w:val="005F6CB3"/>
    <w:rsid w:val="005F7612"/>
    <w:rsid w:val="005F7663"/>
    <w:rsid w:val="005F7D63"/>
    <w:rsid w:val="00607170"/>
    <w:rsid w:val="00607408"/>
    <w:rsid w:val="00610AEE"/>
    <w:rsid w:val="00616BAC"/>
    <w:rsid w:val="00620598"/>
    <w:rsid w:val="00620FEC"/>
    <w:rsid w:val="006214DC"/>
    <w:rsid w:val="006215E2"/>
    <w:rsid w:val="0062168F"/>
    <w:rsid w:val="006221A2"/>
    <w:rsid w:val="00627113"/>
    <w:rsid w:val="00627B8B"/>
    <w:rsid w:val="0063106D"/>
    <w:rsid w:val="006312FF"/>
    <w:rsid w:val="00632136"/>
    <w:rsid w:val="00632C67"/>
    <w:rsid w:val="006331B6"/>
    <w:rsid w:val="00633310"/>
    <w:rsid w:val="00633315"/>
    <w:rsid w:val="006366CC"/>
    <w:rsid w:val="00637C16"/>
    <w:rsid w:val="0064048E"/>
    <w:rsid w:val="00641320"/>
    <w:rsid w:val="00641E74"/>
    <w:rsid w:val="006434E3"/>
    <w:rsid w:val="0064366A"/>
    <w:rsid w:val="00646987"/>
    <w:rsid w:val="006506CF"/>
    <w:rsid w:val="00650A76"/>
    <w:rsid w:val="00650CD0"/>
    <w:rsid w:val="00650DA4"/>
    <w:rsid w:val="00651DA5"/>
    <w:rsid w:val="00652D22"/>
    <w:rsid w:val="00656797"/>
    <w:rsid w:val="006571EC"/>
    <w:rsid w:val="0066086B"/>
    <w:rsid w:val="00660A8C"/>
    <w:rsid w:val="006632B2"/>
    <w:rsid w:val="00664084"/>
    <w:rsid w:val="0066445E"/>
    <w:rsid w:val="00667045"/>
    <w:rsid w:val="006705D3"/>
    <w:rsid w:val="00670A00"/>
    <w:rsid w:val="00670C23"/>
    <w:rsid w:val="00672B86"/>
    <w:rsid w:val="00673031"/>
    <w:rsid w:val="00673EB3"/>
    <w:rsid w:val="00680BE8"/>
    <w:rsid w:val="00686409"/>
    <w:rsid w:val="00686D19"/>
    <w:rsid w:val="0068777F"/>
    <w:rsid w:val="00693018"/>
    <w:rsid w:val="006A0059"/>
    <w:rsid w:val="006A7425"/>
    <w:rsid w:val="006B058A"/>
    <w:rsid w:val="006B1299"/>
    <w:rsid w:val="006B26D9"/>
    <w:rsid w:val="006B310C"/>
    <w:rsid w:val="006B664C"/>
    <w:rsid w:val="006C1125"/>
    <w:rsid w:val="006C1C83"/>
    <w:rsid w:val="006C3E78"/>
    <w:rsid w:val="006C54E6"/>
    <w:rsid w:val="006C5762"/>
    <w:rsid w:val="006C690D"/>
    <w:rsid w:val="006D149F"/>
    <w:rsid w:val="006D3396"/>
    <w:rsid w:val="006D5AFF"/>
    <w:rsid w:val="006E050C"/>
    <w:rsid w:val="006E152B"/>
    <w:rsid w:val="006E36D1"/>
    <w:rsid w:val="006E4002"/>
    <w:rsid w:val="006E4DB6"/>
    <w:rsid w:val="006E622E"/>
    <w:rsid w:val="006E7938"/>
    <w:rsid w:val="006E79FB"/>
    <w:rsid w:val="006F229A"/>
    <w:rsid w:val="006F3BB9"/>
    <w:rsid w:val="006F4AA6"/>
    <w:rsid w:val="007007FA"/>
    <w:rsid w:val="007036CA"/>
    <w:rsid w:val="007041CB"/>
    <w:rsid w:val="00705090"/>
    <w:rsid w:val="00705102"/>
    <w:rsid w:val="00705DDB"/>
    <w:rsid w:val="0070675E"/>
    <w:rsid w:val="00706A0E"/>
    <w:rsid w:val="00710573"/>
    <w:rsid w:val="00710808"/>
    <w:rsid w:val="007116CB"/>
    <w:rsid w:val="0071211E"/>
    <w:rsid w:val="00712B1B"/>
    <w:rsid w:val="0071622D"/>
    <w:rsid w:val="007168CC"/>
    <w:rsid w:val="007176BB"/>
    <w:rsid w:val="00717811"/>
    <w:rsid w:val="00720A17"/>
    <w:rsid w:val="00720D4B"/>
    <w:rsid w:val="00723A0F"/>
    <w:rsid w:val="00726CB6"/>
    <w:rsid w:val="00727255"/>
    <w:rsid w:val="0072779B"/>
    <w:rsid w:val="00727CCF"/>
    <w:rsid w:val="0073446D"/>
    <w:rsid w:val="007349FF"/>
    <w:rsid w:val="00734B45"/>
    <w:rsid w:val="00736FFB"/>
    <w:rsid w:val="00740080"/>
    <w:rsid w:val="00741A30"/>
    <w:rsid w:val="007504DC"/>
    <w:rsid w:val="0075142F"/>
    <w:rsid w:val="00751965"/>
    <w:rsid w:val="007524EF"/>
    <w:rsid w:val="00752689"/>
    <w:rsid w:val="00756D1D"/>
    <w:rsid w:val="00760886"/>
    <w:rsid w:val="007615CA"/>
    <w:rsid w:val="00761ADD"/>
    <w:rsid w:val="00762B3A"/>
    <w:rsid w:val="00765D6E"/>
    <w:rsid w:val="00765D7E"/>
    <w:rsid w:val="007674B6"/>
    <w:rsid w:val="00770E90"/>
    <w:rsid w:val="00772C42"/>
    <w:rsid w:val="0077302F"/>
    <w:rsid w:val="00773661"/>
    <w:rsid w:val="00774A61"/>
    <w:rsid w:val="00774E08"/>
    <w:rsid w:val="00774E72"/>
    <w:rsid w:val="0077746F"/>
    <w:rsid w:val="007775FE"/>
    <w:rsid w:val="00780A5F"/>
    <w:rsid w:val="00784913"/>
    <w:rsid w:val="00785B90"/>
    <w:rsid w:val="0078639C"/>
    <w:rsid w:val="007913D3"/>
    <w:rsid w:val="0079790C"/>
    <w:rsid w:val="007A102A"/>
    <w:rsid w:val="007A15E6"/>
    <w:rsid w:val="007A194B"/>
    <w:rsid w:val="007A4BCD"/>
    <w:rsid w:val="007A5714"/>
    <w:rsid w:val="007A5EFA"/>
    <w:rsid w:val="007A6821"/>
    <w:rsid w:val="007A75EF"/>
    <w:rsid w:val="007B03B6"/>
    <w:rsid w:val="007B1257"/>
    <w:rsid w:val="007B33CC"/>
    <w:rsid w:val="007B4133"/>
    <w:rsid w:val="007B49F4"/>
    <w:rsid w:val="007B7AB4"/>
    <w:rsid w:val="007C2405"/>
    <w:rsid w:val="007C2A54"/>
    <w:rsid w:val="007C2B69"/>
    <w:rsid w:val="007C2DC1"/>
    <w:rsid w:val="007C3B05"/>
    <w:rsid w:val="007C3D25"/>
    <w:rsid w:val="007C4998"/>
    <w:rsid w:val="007C668F"/>
    <w:rsid w:val="007C723F"/>
    <w:rsid w:val="007C778D"/>
    <w:rsid w:val="007D07D6"/>
    <w:rsid w:val="007D18A6"/>
    <w:rsid w:val="007D1CA0"/>
    <w:rsid w:val="007D2DF5"/>
    <w:rsid w:val="007D4994"/>
    <w:rsid w:val="007D4BB3"/>
    <w:rsid w:val="007D4F6E"/>
    <w:rsid w:val="007D5ECD"/>
    <w:rsid w:val="007D61CA"/>
    <w:rsid w:val="007D6DCF"/>
    <w:rsid w:val="007D6F0D"/>
    <w:rsid w:val="007D7963"/>
    <w:rsid w:val="007E3532"/>
    <w:rsid w:val="007E5FE3"/>
    <w:rsid w:val="007E64DF"/>
    <w:rsid w:val="007E657D"/>
    <w:rsid w:val="007E7119"/>
    <w:rsid w:val="007E71BB"/>
    <w:rsid w:val="007E7B90"/>
    <w:rsid w:val="007E7C13"/>
    <w:rsid w:val="007F2464"/>
    <w:rsid w:val="007F4A64"/>
    <w:rsid w:val="007F4ADE"/>
    <w:rsid w:val="007F5A5A"/>
    <w:rsid w:val="007F5EDC"/>
    <w:rsid w:val="00800AFD"/>
    <w:rsid w:val="00800C1B"/>
    <w:rsid w:val="0080239D"/>
    <w:rsid w:val="00803CF3"/>
    <w:rsid w:val="00806EAB"/>
    <w:rsid w:val="00810E52"/>
    <w:rsid w:val="008116BA"/>
    <w:rsid w:val="00811CA7"/>
    <w:rsid w:val="0081636E"/>
    <w:rsid w:val="0082112E"/>
    <w:rsid w:val="00822F2B"/>
    <w:rsid w:val="00823D9A"/>
    <w:rsid w:val="00827DEF"/>
    <w:rsid w:val="00827EA4"/>
    <w:rsid w:val="008301D6"/>
    <w:rsid w:val="0083057A"/>
    <w:rsid w:val="008305B7"/>
    <w:rsid w:val="00830C78"/>
    <w:rsid w:val="00830FB9"/>
    <w:rsid w:val="00834968"/>
    <w:rsid w:val="00834B53"/>
    <w:rsid w:val="00840298"/>
    <w:rsid w:val="00841BE4"/>
    <w:rsid w:val="00845A53"/>
    <w:rsid w:val="00847E8C"/>
    <w:rsid w:val="008505E1"/>
    <w:rsid w:val="00850B19"/>
    <w:rsid w:val="00852488"/>
    <w:rsid w:val="0085405E"/>
    <w:rsid w:val="008571DD"/>
    <w:rsid w:val="0085772E"/>
    <w:rsid w:val="00860344"/>
    <w:rsid w:val="00860E2C"/>
    <w:rsid w:val="00864BC6"/>
    <w:rsid w:val="00865EE6"/>
    <w:rsid w:val="00866598"/>
    <w:rsid w:val="00870D23"/>
    <w:rsid w:val="00872B72"/>
    <w:rsid w:val="00873022"/>
    <w:rsid w:val="00876468"/>
    <w:rsid w:val="008767E1"/>
    <w:rsid w:val="00876CC7"/>
    <w:rsid w:val="008823E4"/>
    <w:rsid w:val="008837C4"/>
    <w:rsid w:val="008849F3"/>
    <w:rsid w:val="00884E78"/>
    <w:rsid w:val="0088673B"/>
    <w:rsid w:val="00887265"/>
    <w:rsid w:val="00887500"/>
    <w:rsid w:val="008905AD"/>
    <w:rsid w:val="008920F2"/>
    <w:rsid w:val="0089348A"/>
    <w:rsid w:val="00894E9F"/>
    <w:rsid w:val="00895424"/>
    <w:rsid w:val="00896CEC"/>
    <w:rsid w:val="008A06BC"/>
    <w:rsid w:val="008A0AA3"/>
    <w:rsid w:val="008A0EAA"/>
    <w:rsid w:val="008A149F"/>
    <w:rsid w:val="008A19FD"/>
    <w:rsid w:val="008A1A25"/>
    <w:rsid w:val="008A4E05"/>
    <w:rsid w:val="008A56DB"/>
    <w:rsid w:val="008A6CFC"/>
    <w:rsid w:val="008B2125"/>
    <w:rsid w:val="008B25D4"/>
    <w:rsid w:val="008B38E5"/>
    <w:rsid w:val="008B58C4"/>
    <w:rsid w:val="008B6CD2"/>
    <w:rsid w:val="008B72DD"/>
    <w:rsid w:val="008C050B"/>
    <w:rsid w:val="008C1132"/>
    <w:rsid w:val="008C302A"/>
    <w:rsid w:val="008C3E42"/>
    <w:rsid w:val="008C4B72"/>
    <w:rsid w:val="008C5279"/>
    <w:rsid w:val="008C527D"/>
    <w:rsid w:val="008C5C9F"/>
    <w:rsid w:val="008C6773"/>
    <w:rsid w:val="008C72BB"/>
    <w:rsid w:val="008D140C"/>
    <w:rsid w:val="008D2BAE"/>
    <w:rsid w:val="008D2C9E"/>
    <w:rsid w:val="008D41F5"/>
    <w:rsid w:val="008D521F"/>
    <w:rsid w:val="008D5C06"/>
    <w:rsid w:val="008D6227"/>
    <w:rsid w:val="008D7A8B"/>
    <w:rsid w:val="008E41D3"/>
    <w:rsid w:val="008E43F1"/>
    <w:rsid w:val="008E594F"/>
    <w:rsid w:val="008E7312"/>
    <w:rsid w:val="008F297F"/>
    <w:rsid w:val="008F447E"/>
    <w:rsid w:val="00904BA9"/>
    <w:rsid w:val="00904E7E"/>
    <w:rsid w:val="0091086B"/>
    <w:rsid w:val="00911129"/>
    <w:rsid w:val="00912EA3"/>
    <w:rsid w:val="00914B6E"/>
    <w:rsid w:val="009156A2"/>
    <w:rsid w:val="0091579A"/>
    <w:rsid w:val="0091615D"/>
    <w:rsid w:val="00923F7E"/>
    <w:rsid w:val="00924C96"/>
    <w:rsid w:val="00925030"/>
    <w:rsid w:val="00925B32"/>
    <w:rsid w:val="0093000F"/>
    <w:rsid w:val="00930A64"/>
    <w:rsid w:val="00930BE5"/>
    <w:rsid w:val="00931403"/>
    <w:rsid w:val="00934991"/>
    <w:rsid w:val="009351A7"/>
    <w:rsid w:val="009426B9"/>
    <w:rsid w:val="00944E85"/>
    <w:rsid w:val="0094634C"/>
    <w:rsid w:val="009463AB"/>
    <w:rsid w:val="00950239"/>
    <w:rsid w:val="00950332"/>
    <w:rsid w:val="00955899"/>
    <w:rsid w:val="00955A03"/>
    <w:rsid w:val="0096203D"/>
    <w:rsid w:val="0096224A"/>
    <w:rsid w:val="00963289"/>
    <w:rsid w:val="00964A78"/>
    <w:rsid w:val="009656B4"/>
    <w:rsid w:val="00966CA0"/>
    <w:rsid w:val="00966D74"/>
    <w:rsid w:val="00967F9D"/>
    <w:rsid w:val="00970275"/>
    <w:rsid w:val="00970ABF"/>
    <w:rsid w:val="009710E2"/>
    <w:rsid w:val="00972E9C"/>
    <w:rsid w:val="0097391E"/>
    <w:rsid w:val="00973DF3"/>
    <w:rsid w:val="009742DA"/>
    <w:rsid w:val="009743BE"/>
    <w:rsid w:val="009753A0"/>
    <w:rsid w:val="00977437"/>
    <w:rsid w:val="00977C89"/>
    <w:rsid w:val="00980AB3"/>
    <w:rsid w:val="009848CB"/>
    <w:rsid w:val="00984D10"/>
    <w:rsid w:val="0098600B"/>
    <w:rsid w:val="009861C1"/>
    <w:rsid w:val="00987177"/>
    <w:rsid w:val="00987F11"/>
    <w:rsid w:val="0099128D"/>
    <w:rsid w:val="009917F1"/>
    <w:rsid w:val="00991E37"/>
    <w:rsid w:val="00991E74"/>
    <w:rsid w:val="009926A6"/>
    <w:rsid w:val="0099415E"/>
    <w:rsid w:val="009948BF"/>
    <w:rsid w:val="00997844"/>
    <w:rsid w:val="009978C2"/>
    <w:rsid w:val="009A345F"/>
    <w:rsid w:val="009A4AE5"/>
    <w:rsid w:val="009A5218"/>
    <w:rsid w:val="009A6806"/>
    <w:rsid w:val="009B1717"/>
    <w:rsid w:val="009B22D2"/>
    <w:rsid w:val="009B2839"/>
    <w:rsid w:val="009B4C17"/>
    <w:rsid w:val="009B5BF6"/>
    <w:rsid w:val="009C1C79"/>
    <w:rsid w:val="009C339C"/>
    <w:rsid w:val="009C33B8"/>
    <w:rsid w:val="009D07A0"/>
    <w:rsid w:val="009D107D"/>
    <w:rsid w:val="009D1871"/>
    <w:rsid w:val="009D1EB2"/>
    <w:rsid w:val="009D2985"/>
    <w:rsid w:val="009D3033"/>
    <w:rsid w:val="009D5770"/>
    <w:rsid w:val="009D6AF5"/>
    <w:rsid w:val="009D6CF1"/>
    <w:rsid w:val="009D74BA"/>
    <w:rsid w:val="009E0874"/>
    <w:rsid w:val="009E1A16"/>
    <w:rsid w:val="009E2045"/>
    <w:rsid w:val="009E4A84"/>
    <w:rsid w:val="009E6973"/>
    <w:rsid w:val="009F0466"/>
    <w:rsid w:val="009F4200"/>
    <w:rsid w:val="009F4933"/>
    <w:rsid w:val="009F5FD0"/>
    <w:rsid w:val="009F6DD5"/>
    <w:rsid w:val="009F7B12"/>
    <w:rsid w:val="00A020A2"/>
    <w:rsid w:val="00A0297B"/>
    <w:rsid w:val="00A0358E"/>
    <w:rsid w:val="00A049F9"/>
    <w:rsid w:val="00A0529B"/>
    <w:rsid w:val="00A0766F"/>
    <w:rsid w:val="00A10713"/>
    <w:rsid w:val="00A1252C"/>
    <w:rsid w:val="00A13B8B"/>
    <w:rsid w:val="00A14F59"/>
    <w:rsid w:val="00A151B7"/>
    <w:rsid w:val="00A21225"/>
    <w:rsid w:val="00A2139C"/>
    <w:rsid w:val="00A218F9"/>
    <w:rsid w:val="00A21E37"/>
    <w:rsid w:val="00A23314"/>
    <w:rsid w:val="00A235BB"/>
    <w:rsid w:val="00A23F10"/>
    <w:rsid w:val="00A23F72"/>
    <w:rsid w:val="00A26AB8"/>
    <w:rsid w:val="00A322BF"/>
    <w:rsid w:val="00A3373F"/>
    <w:rsid w:val="00A33F51"/>
    <w:rsid w:val="00A349DF"/>
    <w:rsid w:val="00A40311"/>
    <w:rsid w:val="00A41032"/>
    <w:rsid w:val="00A4106C"/>
    <w:rsid w:val="00A428E7"/>
    <w:rsid w:val="00A43E49"/>
    <w:rsid w:val="00A44018"/>
    <w:rsid w:val="00A45DE9"/>
    <w:rsid w:val="00A47471"/>
    <w:rsid w:val="00A47E22"/>
    <w:rsid w:val="00A47ED0"/>
    <w:rsid w:val="00A509EA"/>
    <w:rsid w:val="00A51476"/>
    <w:rsid w:val="00A526D2"/>
    <w:rsid w:val="00A54412"/>
    <w:rsid w:val="00A5498B"/>
    <w:rsid w:val="00A550C8"/>
    <w:rsid w:val="00A5555B"/>
    <w:rsid w:val="00A5564C"/>
    <w:rsid w:val="00A559EC"/>
    <w:rsid w:val="00A569F8"/>
    <w:rsid w:val="00A56E60"/>
    <w:rsid w:val="00A571B3"/>
    <w:rsid w:val="00A626B5"/>
    <w:rsid w:val="00A62DF0"/>
    <w:rsid w:val="00A63620"/>
    <w:rsid w:val="00A63ECE"/>
    <w:rsid w:val="00A66342"/>
    <w:rsid w:val="00A665C8"/>
    <w:rsid w:val="00A6749E"/>
    <w:rsid w:val="00A70D88"/>
    <w:rsid w:val="00A71142"/>
    <w:rsid w:val="00A72895"/>
    <w:rsid w:val="00A74589"/>
    <w:rsid w:val="00A74E1B"/>
    <w:rsid w:val="00A7513A"/>
    <w:rsid w:val="00A75AC9"/>
    <w:rsid w:val="00A75B25"/>
    <w:rsid w:val="00A76AEE"/>
    <w:rsid w:val="00A801B4"/>
    <w:rsid w:val="00A82075"/>
    <w:rsid w:val="00A82192"/>
    <w:rsid w:val="00A857AB"/>
    <w:rsid w:val="00A90009"/>
    <w:rsid w:val="00A927A4"/>
    <w:rsid w:val="00A94CC0"/>
    <w:rsid w:val="00A9534A"/>
    <w:rsid w:val="00A957FA"/>
    <w:rsid w:val="00A968DC"/>
    <w:rsid w:val="00A977BA"/>
    <w:rsid w:val="00AA1A89"/>
    <w:rsid w:val="00AA346E"/>
    <w:rsid w:val="00AA3770"/>
    <w:rsid w:val="00AA3CFA"/>
    <w:rsid w:val="00AA41C3"/>
    <w:rsid w:val="00AA423C"/>
    <w:rsid w:val="00AA53E2"/>
    <w:rsid w:val="00AA73FD"/>
    <w:rsid w:val="00AB2F87"/>
    <w:rsid w:val="00AB32C3"/>
    <w:rsid w:val="00AB5E2B"/>
    <w:rsid w:val="00AB6069"/>
    <w:rsid w:val="00AB6467"/>
    <w:rsid w:val="00AC0575"/>
    <w:rsid w:val="00AC0758"/>
    <w:rsid w:val="00AC0934"/>
    <w:rsid w:val="00AC17EE"/>
    <w:rsid w:val="00AC2BFD"/>
    <w:rsid w:val="00AC4DDD"/>
    <w:rsid w:val="00AC5A43"/>
    <w:rsid w:val="00AC5D2C"/>
    <w:rsid w:val="00AC6B6D"/>
    <w:rsid w:val="00AD3559"/>
    <w:rsid w:val="00AD3B05"/>
    <w:rsid w:val="00AD3C8E"/>
    <w:rsid w:val="00AD470D"/>
    <w:rsid w:val="00AD5193"/>
    <w:rsid w:val="00AD7390"/>
    <w:rsid w:val="00AD7E6F"/>
    <w:rsid w:val="00AE1BD8"/>
    <w:rsid w:val="00AE2817"/>
    <w:rsid w:val="00AE304B"/>
    <w:rsid w:val="00AE3D3E"/>
    <w:rsid w:val="00AE49B2"/>
    <w:rsid w:val="00AE6BEB"/>
    <w:rsid w:val="00AE7789"/>
    <w:rsid w:val="00AF32EA"/>
    <w:rsid w:val="00AF3DED"/>
    <w:rsid w:val="00AF48B1"/>
    <w:rsid w:val="00AF4FB8"/>
    <w:rsid w:val="00AF6713"/>
    <w:rsid w:val="00AF6BD6"/>
    <w:rsid w:val="00AF753A"/>
    <w:rsid w:val="00B021ED"/>
    <w:rsid w:val="00B0250D"/>
    <w:rsid w:val="00B032B1"/>
    <w:rsid w:val="00B03F46"/>
    <w:rsid w:val="00B059B8"/>
    <w:rsid w:val="00B07418"/>
    <w:rsid w:val="00B11547"/>
    <w:rsid w:val="00B11EF0"/>
    <w:rsid w:val="00B1226C"/>
    <w:rsid w:val="00B14F05"/>
    <w:rsid w:val="00B15D01"/>
    <w:rsid w:val="00B20EBF"/>
    <w:rsid w:val="00B24F44"/>
    <w:rsid w:val="00B25428"/>
    <w:rsid w:val="00B255BB"/>
    <w:rsid w:val="00B25E24"/>
    <w:rsid w:val="00B2609A"/>
    <w:rsid w:val="00B301B1"/>
    <w:rsid w:val="00B353E7"/>
    <w:rsid w:val="00B35759"/>
    <w:rsid w:val="00B3619A"/>
    <w:rsid w:val="00B365B7"/>
    <w:rsid w:val="00B40BCA"/>
    <w:rsid w:val="00B4308D"/>
    <w:rsid w:val="00B440DA"/>
    <w:rsid w:val="00B4415A"/>
    <w:rsid w:val="00B503CD"/>
    <w:rsid w:val="00B548AB"/>
    <w:rsid w:val="00B54BBE"/>
    <w:rsid w:val="00B553F8"/>
    <w:rsid w:val="00B560B6"/>
    <w:rsid w:val="00B5630E"/>
    <w:rsid w:val="00B62FB6"/>
    <w:rsid w:val="00B635BF"/>
    <w:rsid w:val="00B7050A"/>
    <w:rsid w:val="00B70904"/>
    <w:rsid w:val="00B70A42"/>
    <w:rsid w:val="00B74791"/>
    <w:rsid w:val="00B76AF9"/>
    <w:rsid w:val="00B8115B"/>
    <w:rsid w:val="00B81AE2"/>
    <w:rsid w:val="00B82D30"/>
    <w:rsid w:val="00B87F62"/>
    <w:rsid w:val="00B914A4"/>
    <w:rsid w:val="00B92497"/>
    <w:rsid w:val="00B92D41"/>
    <w:rsid w:val="00B93679"/>
    <w:rsid w:val="00B9422D"/>
    <w:rsid w:val="00B95A1D"/>
    <w:rsid w:val="00B9634B"/>
    <w:rsid w:val="00BA5072"/>
    <w:rsid w:val="00BA5B65"/>
    <w:rsid w:val="00BA7BFE"/>
    <w:rsid w:val="00BB0ECA"/>
    <w:rsid w:val="00BB246B"/>
    <w:rsid w:val="00BB3314"/>
    <w:rsid w:val="00BB4F49"/>
    <w:rsid w:val="00BB60F7"/>
    <w:rsid w:val="00BB6B2D"/>
    <w:rsid w:val="00BB7375"/>
    <w:rsid w:val="00BC0500"/>
    <w:rsid w:val="00BC44F5"/>
    <w:rsid w:val="00BC500B"/>
    <w:rsid w:val="00BC547C"/>
    <w:rsid w:val="00BC6B29"/>
    <w:rsid w:val="00BC798C"/>
    <w:rsid w:val="00BC7D11"/>
    <w:rsid w:val="00BD00FD"/>
    <w:rsid w:val="00BD15A2"/>
    <w:rsid w:val="00BD2153"/>
    <w:rsid w:val="00BD337A"/>
    <w:rsid w:val="00BD558D"/>
    <w:rsid w:val="00BD5CC3"/>
    <w:rsid w:val="00BE1F47"/>
    <w:rsid w:val="00BE24AD"/>
    <w:rsid w:val="00BE2787"/>
    <w:rsid w:val="00BE51BB"/>
    <w:rsid w:val="00BE7ECD"/>
    <w:rsid w:val="00BF1682"/>
    <w:rsid w:val="00BF241A"/>
    <w:rsid w:val="00BF3AFB"/>
    <w:rsid w:val="00BF3DD2"/>
    <w:rsid w:val="00BF4344"/>
    <w:rsid w:val="00BF6970"/>
    <w:rsid w:val="00BF69C6"/>
    <w:rsid w:val="00C005D8"/>
    <w:rsid w:val="00C02F31"/>
    <w:rsid w:val="00C04DA5"/>
    <w:rsid w:val="00C050FC"/>
    <w:rsid w:val="00C05D40"/>
    <w:rsid w:val="00C11905"/>
    <w:rsid w:val="00C14462"/>
    <w:rsid w:val="00C16542"/>
    <w:rsid w:val="00C22382"/>
    <w:rsid w:val="00C2355B"/>
    <w:rsid w:val="00C274A6"/>
    <w:rsid w:val="00C33147"/>
    <w:rsid w:val="00C34201"/>
    <w:rsid w:val="00C35A38"/>
    <w:rsid w:val="00C35EC9"/>
    <w:rsid w:val="00C36807"/>
    <w:rsid w:val="00C37392"/>
    <w:rsid w:val="00C41545"/>
    <w:rsid w:val="00C4209D"/>
    <w:rsid w:val="00C432B3"/>
    <w:rsid w:val="00C4771E"/>
    <w:rsid w:val="00C47D15"/>
    <w:rsid w:val="00C50279"/>
    <w:rsid w:val="00C505EC"/>
    <w:rsid w:val="00C5165A"/>
    <w:rsid w:val="00C52841"/>
    <w:rsid w:val="00C54FC6"/>
    <w:rsid w:val="00C56F88"/>
    <w:rsid w:val="00C57B7E"/>
    <w:rsid w:val="00C60217"/>
    <w:rsid w:val="00C66D15"/>
    <w:rsid w:val="00C671D0"/>
    <w:rsid w:val="00C70449"/>
    <w:rsid w:val="00C7071B"/>
    <w:rsid w:val="00C73904"/>
    <w:rsid w:val="00C73BAE"/>
    <w:rsid w:val="00C73F7B"/>
    <w:rsid w:val="00C74055"/>
    <w:rsid w:val="00C7421D"/>
    <w:rsid w:val="00C76481"/>
    <w:rsid w:val="00C76812"/>
    <w:rsid w:val="00C83D88"/>
    <w:rsid w:val="00C84961"/>
    <w:rsid w:val="00C84B06"/>
    <w:rsid w:val="00C87100"/>
    <w:rsid w:val="00C87CAC"/>
    <w:rsid w:val="00C913A1"/>
    <w:rsid w:val="00C950D6"/>
    <w:rsid w:val="00C95FD9"/>
    <w:rsid w:val="00C97646"/>
    <w:rsid w:val="00C97672"/>
    <w:rsid w:val="00CA55BD"/>
    <w:rsid w:val="00CB0837"/>
    <w:rsid w:val="00CB2BFA"/>
    <w:rsid w:val="00CB3888"/>
    <w:rsid w:val="00CB400E"/>
    <w:rsid w:val="00CB48F6"/>
    <w:rsid w:val="00CB5F04"/>
    <w:rsid w:val="00CB67F1"/>
    <w:rsid w:val="00CB7DC8"/>
    <w:rsid w:val="00CC0EC0"/>
    <w:rsid w:val="00CC34DB"/>
    <w:rsid w:val="00CC51AC"/>
    <w:rsid w:val="00CC609D"/>
    <w:rsid w:val="00CC7044"/>
    <w:rsid w:val="00CD11FF"/>
    <w:rsid w:val="00CD15E7"/>
    <w:rsid w:val="00CE07A9"/>
    <w:rsid w:val="00CE1012"/>
    <w:rsid w:val="00CE419E"/>
    <w:rsid w:val="00CE5011"/>
    <w:rsid w:val="00CE574A"/>
    <w:rsid w:val="00CE5A20"/>
    <w:rsid w:val="00CE5DC5"/>
    <w:rsid w:val="00CE629E"/>
    <w:rsid w:val="00CE66CE"/>
    <w:rsid w:val="00CE77AA"/>
    <w:rsid w:val="00CE7B59"/>
    <w:rsid w:val="00CF352C"/>
    <w:rsid w:val="00CF4570"/>
    <w:rsid w:val="00CF58EE"/>
    <w:rsid w:val="00D00811"/>
    <w:rsid w:val="00D02A43"/>
    <w:rsid w:val="00D04518"/>
    <w:rsid w:val="00D05489"/>
    <w:rsid w:val="00D05CA1"/>
    <w:rsid w:val="00D061CB"/>
    <w:rsid w:val="00D0796C"/>
    <w:rsid w:val="00D07B7D"/>
    <w:rsid w:val="00D11A35"/>
    <w:rsid w:val="00D13130"/>
    <w:rsid w:val="00D146D4"/>
    <w:rsid w:val="00D14B3C"/>
    <w:rsid w:val="00D14BA5"/>
    <w:rsid w:val="00D16580"/>
    <w:rsid w:val="00D20E20"/>
    <w:rsid w:val="00D21C3A"/>
    <w:rsid w:val="00D228DA"/>
    <w:rsid w:val="00D22E01"/>
    <w:rsid w:val="00D238A5"/>
    <w:rsid w:val="00D24621"/>
    <w:rsid w:val="00D2600F"/>
    <w:rsid w:val="00D30EEA"/>
    <w:rsid w:val="00D31534"/>
    <w:rsid w:val="00D32C1F"/>
    <w:rsid w:val="00D33FC2"/>
    <w:rsid w:val="00D37394"/>
    <w:rsid w:val="00D46699"/>
    <w:rsid w:val="00D47345"/>
    <w:rsid w:val="00D5073F"/>
    <w:rsid w:val="00D51573"/>
    <w:rsid w:val="00D5399A"/>
    <w:rsid w:val="00D5444F"/>
    <w:rsid w:val="00D54E0D"/>
    <w:rsid w:val="00D54F7D"/>
    <w:rsid w:val="00D57528"/>
    <w:rsid w:val="00D602CA"/>
    <w:rsid w:val="00D60DD8"/>
    <w:rsid w:val="00D64C6C"/>
    <w:rsid w:val="00D66D42"/>
    <w:rsid w:val="00D71734"/>
    <w:rsid w:val="00D7244A"/>
    <w:rsid w:val="00D72BCC"/>
    <w:rsid w:val="00D746C0"/>
    <w:rsid w:val="00D74723"/>
    <w:rsid w:val="00D76091"/>
    <w:rsid w:val="00D76B9C"/>
    <w:rsid w:val="00D76D82"/>
    <w:rsid w:val="00D77D65"/>
    <w:rsid w:val="00D80448"/>
    <w:rsid w:val="00D80C4F"/>
    <w:rsid w:val="00D8149F"/>
    <w:rsid w:val="00D814FB"/>
    <w:rsid w:val="00D83D95"/>
    <w:rsid w:val="00D90293"/>
    <w:rsid w:val="00D90496"/>
    <w:rsid w:val="00D917BC"/>
    <w:rsid w:val="00D942DE"/>
    <w:rsid w:val="00D9491E"/>
    <w:rsid w:val="00DA070D"/>
    <w:rsid w:val="00DA3B2F"/>
    <w:rsid w:val="00DA4731"/>
    <w:rsid w:val="00DA5040"/>
    <w:rsid w:val="00DA7D5F"/>
    <w:rsid w:val="00DB053E"/>
    <w:rsid w:val="00DB11B2"/>
    <w:rsid w:val="00DB161E"/>
    <w:rsid w:val="00DB31B5"/>
    <w:rsid w:val="00DB5BBA"/>
    <w:rsid w:val="00DC03DB"/>
    <w:rsid w:val="00DC1206"/>
    <w:rsid w:val="00DC2BE8"/>
    <w:rsid w:val="00DC2BEC"/>
    <w:rsid w:val="00DC3256"/>
    <w:rsid w:val="00DC35A6"/>
    <w:rsid w:val="00DD090A"/>
    <w:rsid w:val="00DD2421"/>
    <w:rsid w:val="00DD3222"/>
    <w:rsid w:val="00DD3D81"/>
    <w:rsid w:val="00DD571C"/>
    <w:rsid w:val="00DD64E1"/>
    <w:rsid w:val="00DE039A"/>
    <w:rsid w:val="00DE0403"/>
    <w:rsid w:val="00DE4811"/>
    <w:rsid w:val="00DE5458"/>
    <w:rsid w:val="00DE5EE6"/>
    <w:rsid w:val="00DE77EA"/>
    <w:rsid w:val="00DF0ABA"/>
    <w:rsid w:val="00DF1EEE"/>
    <w:rsid w:val="00DF6C58"/>
    <w:rsid w:val="00E001C1"/>
    <w:rsid w:val="00E039F3"/>
    <w:rsid w:val="00E03C30"/>
    <w:rsid w:val="00E078BD"/>
    <w:rsid w:val="00E078F8"/>
    <w:rsid w:val="00E1142B"/>
    <w:rsid w:val="00E11F10"/>
    <w:rsid w:val="00E157E4"/>
    <w:rsid w:val="00E15950"/>
    <w:rsid w:val="00E16522"/>
    <w:rsid w:val="00E1750C"/>
    <w:rsid w:val="00E178A6"/>
    <w:rsid w:val="00E20545"/>
    <w:rsid w:val="00E223C6"/>
    <w:rsid w:val="00E2443D"/>
    <w:rsid w:val="00E24789"/>
    <w:rsid w:val="00E26615"/>
    <w:rsid w:val="00E26F37"/>
    <w:rsid w:val="00E33928"/>
    <w:rsid w:val="00E33C90"/>
    <w:rsid w:val="00E34D15"/>
    <w:rsid w:val="00E35E86"/>
    <w:rsid w:val="00E36B45"/>
    <w:rsid w:val="00E37BF1"/>
    <w:rsid w:val="00E428B3"/>
    <w:rsid w:val="00E44D19"/>
    <w:rsid w:val="00E51372"/>
    <w:rsid w:val="00E51CAF"/>
    <w:rsid w:val="00E51E95"/>
    <w:rsid w:val="00E51F9D"/>
    <w:rsid w:val="00E5202F"/>
    <w:rsid w:val="00E5211A"/>
    <w:rsid w:val="00E53A9F"/>
    <w:rsid w:val="00E549AF"/>
    <w:rsid w:val="00E55885"/>
    <w:rsid w:val="00E60540"/>
    <w:rsid w:val="00E61C74"/>
    <w:rsid w:val="00E63D8F"/>
    <w:rsid w:val="00E706B6"/>
    <w:rsid w:val="00E76FF1"/>
    <w:rsid w:val="00E774FE"/>
    <w:rsid w:val="00E809A0"/>
    <w:rsid w:val="00E80AF7"/>
    <w:rsid w:val="00E84407"/>
    <w:rsid w:val="00E85E54"/>
    <w:rsid w:val="00E86146"/>
    <w:rsid w:val="00E86A76"/>
    <w:rsid w:val="00E87A90"/>
    <w:rsid w:val="00E904D1"/>
    <w:rsid w:val="00E92425"/>
    <w:rsid w:val="00E92AD3"/>
    <w:rsid w:val="00E959EA"/>
    <w:rsid w:val="00E96237"/>
    <w:rsid w:val="00E965D7"/>
    <w:rsid w:val="00E96D30"/>
    <w:rsid w:val="00EA1327"/>
    <w:rsid w:val="00EA623C"/>
    <w:rsid w:val="00EA6395"/>
    <w:rsid w:val="00EB044B"/>
    <w:rsid w:val="00EB067C"/>
    <w:rsid w:val="00EB3C66"/>
    <w:rsid w:val="00EB4B03"/>
    <w:rsid w:val="00EB5DEE"/>
    <w:rsid w:val="00EB64CB"/>
    <w:rsid w:val="00EB6D46"/>
    <w:rsid w:val="00EC07F3"/>
    <w:rsid w:val="00EC3194"/>
    <w:rsid w:val="00EC518D"/>
    <w:rsid w:val="00EC71D3"/>
    <w:rsid w:val="00ED02FE"/>
    <w:rsid w:val="00ED1EC9"/>
    <w:rsid w:val="00ED3737"/>
    <w:rsid w:val="00ED3856"/>
    <w:rsid w:val="00ED3E2E"/>
    <w:rsid w:val="00ED4CC8"/>
    <w:rsid w:val="00ED6A08"/>
    <w:rsid w:val="00EE05EE"/>
    <w:rsid w:val="00EE0AE2"/>
    <w:rsid w:val="00EE35B4"/>
    <w:rsid w:val="00EE5643"/>
    <w:rsid w:val="00EE7CEC"/>
    <w:rsid w:val="00EF056E"/>
    <w:rsid w:val="00EF09B3"/>
    <w:rsid w:val="00EF0A3E"/>
    <w:rsid w:val="00EF5EC6"/>
    <w:rsid w:val="00EF646F"/>
    <w:rsid w:val="00EF791E"/>
    <w:rsid w:val="00EF7A63"/>
    <w:rsid w:val="00F00D58"/>
    <w:rsid w:val="00F0226C"/>
    <w:rsid w:val="00F02522"/>
    <w:rsid w:val="00F02AE0"/>
    <w:rsid w:val="00F02BFF"/>
    <w:rsid w:val="00F034DC"/>
    <w:rsid w:val="00F03953"/>
    <w:rsid w:val="00F04841"/>
    <w:rsid w:val="00F0579A"/>
    <w:rsid w:val="00F0674D"/>
    <w:rsid w:val="00F10287"/>
    <w:rsid w:val="00F10C82"/>
    <w:rsid w:val="00F13B2E"/>
    <w:rsid w:val="00F176A0"/>
    <w:rsid w:val="00F20174"/>
    <w:rsid w:val="00F22098"/>
    <w:rsid w:val="00F223BC"/>
    <w:rsid w:val="00F23780"/>
    <w:rsid w:val="00F26185"/>
    <w:rsid w:val="00F3178C"/>
    <w:rsid w:val="00F33DE5"/>
    <w:rsid w:val="00F34B8F"/>
    <w:rsid w:val="00F36D7F"/>
    <w:rsid w:val="00F37186"/>
    <w:rsid w:val="00F42FCF"/>
    <w:rsid w:val="00F44A83"/>
    <w:rsid w:val="00F51743"/>
    <w:rsid w:val="00F529D4"/>
    <w:rsid w:val="00F54F27"/>
    <w:rsid w:val="00F55FC8"/>
    <w:rsid w:val="00F604E3"/>
    <w:rsid w:val="00F610E6"/>
    <w:rsid w:val="00F61FCC"/>
    <w:rsid w:val="00F66036"/>
    <w:rsid w:val="00F6689D"/>
    <w:rsid w:val="00F67E23"/>
    <w:rsid w:val="00F7097F"/>
    <w:rsid w:val="00F71601"/>
    <w:rsid w:val="00F72C75"/>
    <w:rsid w:val="00F74033"/>
    <w:rsid w:val="00F759EB"/>
    <w:rsid w:val="00F772F7"/>
    <w:rsid w:val="00F81334"/>
    <w:rsid w:val="00F81A81"/>
    <w:rsid w:val="00F81CC5"/>
    <w:rsid w:val="00F8760D"/>
    <w:rsid w:val="00F87AAD"/>
    <w:rsid w:val="00F9174C"/>
    <w:rsid w:val="00F91D5C"/>
    <w:rsid w:val="00F92097"/>
    <w:rsid w:val="00F951DB"/>
    <w:rsid w:val="00F9574A"/>
    <w:rsid w:val="00F95D64"/>
    <w:rsid w:val="00F9793B"/>
    <w:rsid w:val="00FA0EAA"/>
    <w:rsid w:val="00FA0F53"/>
    <w:rsid w:val="00FA1DA9"/>
    <w:rsid w:val="00FA3809"/>
    <w:rsid w:val="00FA3A95"/>
    <w:rsid w:val="00FA6D7E"/>
    <w:rsid w:val="00FB020D"/>
    <w:rsid w:val="00FB3F33"/>
    <w:rsid w:val="00FB43E4"/>
    <w:rsid w:val="00FB4889"/>
    <w:rsid w:val="00FB676C"/>
    <w:rsid w:val="00FB67CC"/>
    <w:rsid w:val="00FB728E"/>
    <w:rsid w:val="00FC0ADE"/>
    <w:rsid w:val="00FC0FF1"/>
    <w:rsid w:val="00FC1FDF"/>
    <w:rsid w:val="00FC3360"/>
    <w:rsid w:val="00FC3E27"/>
    <w:rsid w:val="00FC493B"/>
    <w:rsid w:val="00FC63E5"/>
    <w:rsid w:val="00FD0E54"/>
    <w:rsid w:val="00FD2B71"/>
    <w:rsid w:val="00FD3576"/>
    <w:rsid w:val="00FD52D6"/>
    <w:rsid w:val="00FD56FC"/>
    <w:rsid w:val="00FD752B"/>
    <w:rsid w:val="00FD7DD7"/>
    <w:rsid w:val="00FD7EB3"/>
    <w:rsid w:val="00FE033E"/>
    <w:rsid w:val="00FE0D2F"/>
    <w:rsid w:val="00FE31C6"/>
    <w:rsid w:val="00FE4A65"/>
    <w:rsid w:val="00FE51E8"/>
    <w:rsid w:val="00FE602F"/>
    <w:rsid w:val="00FE7611"/>
    <w:rsid w:val="00FF0769"/>
    <w:rsid w:val="00FF0DB8"/>
    <w:rsid w:val="00FF1A76"/>
    <w:rsid w:val="00FF1C1D"/>
    <w:rsid w:val="00FF3330"/>
    <w:rsid w:val="00FF4080"/>
    <w:rsid w:val="00FF40A5"/>
    <w:rsid w:val="00FF48DA"/>
    <w:rsid w:val="00FF5E19"/>
    <w:rsid w:val="00FF61AD"/>
    <w:rsid w:val="00FF76BD"/>
    <w:rsid w:val="13D17660"/>
    <w:rsid w:val="1E342D91"/>
    <w:rsid w:val="537076C6"/>
    <w:rsid w:val="54AB07B1"/>
    <w:rsid w:val="5C446BEA"/>
    <w:rsid w:val="61BD71EA"/>
    <w:rsid w:val="66D821E8"/>
    <w:rsid w:val="697F6F6C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eastAsia="宋体" w:cs="Times New Roman"/>
      <w:sz w:val="21"/>
      <w:lang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line="360" w:lineRule="auto"/>
      <w:outlineLvl w:val="0"/>
    </w:pPr>
    <w:rPr>
      <w:b/>
      <w:bCs/>
      <w:kern w:val="44"/>
      <w:sz w:val="22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360" w:lineRule="auto"/>
      <w:outlineLvl w:val="1"/>
    </w:pPr>
    <w:rPr>
      <w:bCs/>
      <w:sz w:val="22"/>
      <w:szCs w:val="32"/>
    </w:rPr>
  </w:style>
  <w:style w:type="paragraph" w:styleId="4">
    <w:name w:val="heading 3"/>
    <w:basedOn w:val="1"/>
    <w:next w:val="1"/>
    <w:qFormat/>
    <w:uiPriority w:val="0"/>
    <w:pPr>
      <w:keepNext/>
      <w:spacing w:line="360" w:lineRule="auto"/>
      <w:outlineLvl w:val="2"/>
    </w:pPr>
    <w:rPr>
      <w:sz w:val="22"/>
    </w:rPr>
  </w:style>
  <w:style w:type="paragraph" w:styleId="5">
    <w:name w:val="heading 4"/>
    <w:basedOn w:val="1"/>
    <w:next w:val="1"/>
    <w:qFormat/>
    <w:uiPriority w:val="0"/>
    <w:pPr>
      <w:keepNext/>
      <w:spacing w:before="240" w:after="60"/>
      <w:outlineLvl w:val="3"/>
    </w:pPr>
    <w:rPr>
      <w:b/>
      <w:i/>
    </w:rPr>
  </w:style>
  <w:style w:type="character" w:default="1" w:styleId="19">
    <w:name w:val="Default Paragraph Font"/>
    <w:unhideWhenUsed/>
    <w:uiPriority w:val="1"/>
  </w:style>
  <w:style w:type="table" w:default="1" w:styleId="23">
    <w:name w:val="Normal Table"/>
    <w:unhideWhenUsed/>
    <w:uiPriority w:val="99"/>
    <w:tblPr>
      <w:tblStyle w:val="2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6">
    <w:name w:val="annotation subject"/>
    <w:basedOn w:val="7"/>
    <w:next w:val="7"/>
    <w:semiHidden/>
    <w:qFormat/>
    <w:uiPriority w:val="0"/>
    <w:rPr>
      <w:b/>
      <w:bCs/>
    </w:rPr>
  </w:style>
  <w:style w:type="paragraph" w:styleId="7">
    <w:name w:val="annotation text"/>
    <w:basedOn w:val="1"/>
    <w:link w:val="37"/>
    <w:semiHidden/>
    <w:qFormat/>
    <w:uiPriority w:val="0"/>
  </w:style>
  <w:style w:type="paragraph" w:styleId="8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9">
    <w:name w:val="Body Text"/>
    <w:basedOn w:val="1"/>
    <w:qFormat/>
    <w:uiPriority w:val="0"/>
    <w:pPr>
      <w:ind w:right="56"/>
    </w:pPr>
    <w:rPr>
      <w:b/>
      <w:sz w:val="22"/>
    </w:rPr>
  </w:style>
  <w:style w:type="paragraph" w:styleId="10">
    <w:name w:val="Body Text Indent"/>
    <w:basedOn w:val="1"/>
    <w:qFormat/>
    <w:uiPriority w:val="0"/>
    <w:pPr>
      <w:spacing w:after="120"/>
      <w:ind w:left="420" w:leftChars="200"/>
    </w:pPr>
  </w:style>
  <w:style w:type="paragraph" w:styleId="11">
    <w:name w:val="toc 3"/>
    <w:basedOn w:val="1"/>
    <w:next w:val="1"/>
    <w:qFormat/>
    <w:uiPriority w:val="39"/>
    <w:pPr>
      <w:tabs>
        <w:tab w:val="right" w:leader="dot" w:pos="8302"/>
        <w:tab w:val="right" w:leader="dot" w:pos="8835"/>
      </w:tabs>
      <w:spacing w:line="360" w:lineRule="auto"/>
      <w:ind w:left="300" w:leftChars="300"/>
    </w:pPr>
    <w:rPr>
      <w:sz w:val="20"/>
    </w:rPr>
  </w:style>
  <w:style w:type="paragraph" w:styleId="1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13">
    <w:name w:val="Balloon Text"/>
    <w:basedOn w:val="1"/>
    <w:semiHidden/>
    <w:qFormat/>
    <w:uiPriority w:val="0"/>
    <w:rPr>
      <w:sz w:val="18"/>
      <w:szCs w:val="18"/>
    </w:rPr>
  </w:style>
  <w:style w:type="paragraph" w:styleId="14">
    <w:name w:val="footer"/>
    <w:basedOn w:val="1"/>
    <w:link w:val="38"/>
    <w:qFormat/>
    <w:uiPriority w:val="99"/>
    <w:pPr>
      <w:tabs>
        <w:tab w:val="center" w:pos="4320"/>
        <w:tab w:val="right" w:pos="8640"/>
      </w:tabs>
    </w:pPr>
  </w:style>
  <w:style w:type="paragraph" w:styleId="15">
    <w:name w:val="header"/>
    <w:basedOn w:val="1"/>
    <w:link w:val="36"/>
    <w:qFormat/>
    <w:uiPriority w:val="0"/>
    <w:pPr>
      <w:tabs>
        <w:tab w:val="center" w:pos="4320"/>
        <w:tab w:val="right" w:pos="8640"/>
      </w:tabs>
    </w:pPr>
  </w:style>
  <w:style w:type="paragraph" w:styleId="16">
    <w:name w:val="toc 1"/>
    <w:basedOn w:val="1"/>
    <w:next w:val="1"/>
    <w:qFormat/>
    <w:uiPriority w:val="39"/>
    <w:pPr>
      <w:widowControl w:val="0"/>
      <w:tabs>
        <w:tab w:val="left" w:pos="840"/>
        <w:tab w:val="right" w:leader="dot" w:pos="10080"/>
      </w:tabs>
      <w:adjustRightInd/>
      <w:spacing w:line="360" w:lineRule="auto"/>
      <w:ind w:left="210"/>
      <w:textAlignment w:val="auto"/>
    </w:pPr>
    <w:rPr>
      <w:b/>
      <w:bCs/>
      <w:caps/>
      <w:kern w:val="2"/>
      <w:lang w:val="en-US" w:eastAsia="zh-CN"/>
    </w:rPr>
  </w:style>
  <w:style w:type="paragraph" w:styleId="17">
    <w:name w:val="toc 2"/>
    <w:basedOn w:val="1"/>
    <w:next w:val="1"/>
    <w:qFormat/>
    <w:uiPriority w:val="39"/>
    <w:pPr>
      <w:widowControl w:val="0"/>
      <w:tabs>
        <w:tab w:val="right" w:leader="dot" w:pos="8302"/>
      </w:tabs>
      <w:adjustRightInd/>
      <w:spacing w:line="360" w:lineRule="auto"/>
      <w:ind w:left="200" w:leftChars="200"/>
      <w:textAlignment w:val="auto"/>
    </w:pPr>
    <w:rPr>
      <w:rFonts w:eastAsia="Times New Roman"/>
      <w:kern w:val="2"/>
      <w:lang w:val="en-US" w:eastAsia="zh-CN"/>
    </w:rPr>
  </w:style>
  <w:style w:type="paragraph" w:styleId="18">
    <w:name w:val="Title"/>
    <w:basedOn w:val="1"/>
    <w:next w:val="1"/>
    <w:link w:val="45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styleId="20">
    <w:name w:val="page number"/>
    <w:basedOn w:val="19"/>
    <w:qFormat/>
    <w:uiPriority w:val="0"/>
    <w:rPr/>
  </w:style>
  <w:style w:type="character" w:styleId="21">
    <w:name w:val="Hyperlink"/>
    <w:qFormat/>
    <w:uiPriority w:val="99"/>
    <w:rPr>
      <w:color w:val="0000FF"/>
      <w:u w:val="single"/>
    </w:rPr>
  </w:style>
  <w:style w:type="character" w:styleId="22">
    <w:name w:val="annotation reference"/>
    <w:semiHidden/>
    <w:qFormat/>
    <w:uiPriority w:val="0"/>
    <w:rPr>
      <w:sz w:val="21"/>
      <w:szCs w:val="21"/>
    </w:rPr>
  </w:style>
  <w:style w:type="table" w:styleId="24">
    <w:name w:val="Table Grid"/>
    <w:basedOn w:val="23"/>
    <w:qFormat/>
    <w:uiPriority w:val="59"/>
    <w:pPr>
      <w:overflowPunct w:val="0"/>
      <w:autoSpaceDE w:val="0"/>
      <w:autoSpaceDN w:val="0"/>
      <w:adjustRightInd w:val="0"/>
      <w:textAlignment w:val="baseline"/>
    </w:pPr>
    <w:tblPr>
      <w:tblStyle w:val="2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customStyle="1" w:styleId="25">
    <w:name w:val="Table"/>
    <w:basedOn w:val="1"/>
    <w:qFormat/>
    <w:uiPriority w:val="0"/>
    <w:pPr>
      <w:keepLines/>
      <w:tabs>
        <w:tab w:val="left" w:pos="284"/>
      </w:tabs>
      <w:adjustRightInd/>
      <w:spacing w:before="40" w:after="20"/>
      <w:textAlignment w:val="auto"/>
    </w:pPr>
    <w:rPr>
      <w:rFonts w:ascii="Arial" w:hAnsi="Arial"/>
      <w:sz w:val="20"/>
      <w:lang w:val="en-US"/>
    </w:rPr>
  </w:style>
  <w:style w:type="paragraph" w:customStyle="1" w:styleId="26">
    <w:name w:val="Default Text"/>
    <w:basedOn w:val="1"/>
    <w:qFormat/>
    <w:uiPriority w:val="0"/>
    <w:pPr>
      <w:textAlignment w:val="auto"/>
    </w:pPr>
    <w:rPr>
      <w:rFonts w:ascii="Arial" w:hAnsi="Arial"/>
      <w:szCs w:val="24"/>
      <w:lang w:val="en-US"/>
    </w:rPr>
  </w:style>
  <w:style w:type="paragraph" w:customStyle="1" w:styleId="27">
    <w:name w:val="Style"/>
    <w:basedOn w:val="1"/>
    <w:qFormat/>
    <w:uiPriority w:val="0"/>
    <w:pPr>
      <w:textAlignment w:val="auto"/>
    </w:pPr>
    <w:rPr>
      <w:rFonts w:ascii="Arial" w:hAnsi="Arial"/>
      <w:szCs w:val="24"/>
      <w:lang w:val="en-US"/>
    </w:rPr>
  </w:style>
  <w:style w:type="paragraph" w:customStyle="1" w:styleId="28">
    <w:name w:val="正文1"/>
    <w:basedOn w:val="1"/>
    <w:qFormat/>
    <w:uiPriority w:val="0"/>
    <w:pPr>
      <w:textAlignment w:val="auto"/>
    </w:pPr>
    <w:rPr>
      <w:rFonts w:ascii="Arial" w:hAnsi="Arial"/>
      <w:sz w:val="20"/>
      <w:lang w:val="en-US"/>
    </w:rPr>
  </w:style>
  <w:style w:type="paragraph" w:customStyle="1" w:styleId="29">
    <w:name w:val="修订1"/>
    <w:hidden/>
    <w:semiHidden/>
    <w:qFormat/>
    <w:uiPriority w:val="99"/>
    <w:rPr>
      <w:rFonts w:ascii="Times New Roman" w:hAnsi="Times New Roman" w:eastAsia="宋体" w:cs="Times New Roman"/>
      <w:sz w:val="24"/>
      <w:lang w:eastAsia="en-US" w:bidi="ar-SA"/>
    </w:rPr>
  </w:style>
  <w:style w:type="paragraph" w:customStyle="1" w:styleId="30">
    <w:name w:val="List Paragraph"/>
    <w:basedOn w:val="1"/>
    <w:qFormat/>
    <w:uiPriority w:val="34"/>
    <w:pPr>
      <w:widowControl w:val="0"/>
      <w:adjustRightInd/>
      <w:ind w:firstLine="420" w:firstLineChars="200"/>
      <w:jc w:val="both"/>
      <w:textAlignment w:val="auto"/>
    </w:pPr>
    <w:rPr>
      <w:rFonts w:ascii="Calibri" w:hAnsi="Calibri"/>
      <w:kern w:val="2"/>
      <w:szCs w:val="22"/>
      <w:lang w:val="en-US" w:eastAsia="zh-CN"/>
    </w:rPr>
  </w:style>
  <w:style w:type="paragraph" w:customStyle="1" w:styleId="31">
    <w:name w:val="TOC 标题1"/>
    <w:basedOn w:val="2"/>
    <w:next w:val="1"/>
    <w:qFormat/>
    <w:uiPriority w:val="39"/>
    <w:pPr>
      <w:numPr>
        <w:ilvl w:val="0"/>
        <w:numId w:val="0"/>
      </w:numPr>
      <w:outlineLvl w:val="9"/>
    </w:pPr>
  </w:style>
  <w:style w:type="paragraph" w:customStyle="1" w:styleId="32">
    <w:name w:val="numbering blue"/>
    <w:basedOn w:val="1"/>
    <w:link w:val="41"/>
    <w:qFormat/>
    <w:uiPriority w:val="0"/>
    <w:pPr>
      <w:numPr>
        <w:ilvl w:val="0"/>
        <w:numId w:val="2"/>
      </w:numPr>
      <w:adjustRightInd/>
      <w:spacing w:after="120"/>
      <w:ind w:left="357" w:hanging="357"/>
      <w:contextualSpacing/>
      <w:textAlignment w:val="auto"/>
    </w:pPr>
    <w:rPr>
      <w:rFonts w:ascii="Arial" w:hAnsi="Arial" w:eastAsia="PMingLiU"/>
      <w:color w:val="0070C0"/>
      <w:sz w:val="20"/>
      <w:lang w:eastAsia="zh-TW"/>
    </w:rPr>
  </w:style>
  <w:style w:type="paragraph" w:customStyle="1" w:styleId="33">
    <w:name w:val="Default"/>
    <w:qFormat/>
    <w:uiPriority w:val="0"/>
    <w:pPr>
      <w:widowControl w:val="0"/>
      <w:autoSpaceDE w:val="0"/>
      <w:autoSpaceDN w:val="0"/>
    </w:pPr>
    <w:rPr>
      <w:rFonts w:hint="eastAsia" w:ascii="Arial" w:hAnsi="Arial" w:eastAsia="宋体" w:cs="Times New Roman"/>
      <w:color w:val="000000"/>
      <w:sz w:val="24"/>
      <w:lang w:val="en-US" w:eastAsia="zh-CN" w:bidi="ar-SA"/>
    </w:rPr>
  </w:style>
  <w:style w:type="paragraph" w:customStyle="1" w:styleId="34">
    <w:name w:val="Text"/>
    <w:basedOn w:val="1"/>
    <w:link w:val="42"/>
    <w:qFormat/>
    <w:uiPriority w:val="0"/>
    <w:pPr>
      <w:adjustRightInd/>
      <w:spacing w:before="120"/>
      <w:jc w:val="both"/>
      <w:textAlignment w:val="auto"/>
    </w:pPr>
    <w:rPr>
      <w:lang w:val="en-US"/>
    </w:rPr>
  </w:style>
  <w:style w:type="paragraph" w:customStyle="1" w:styleId="35">
    <w:name w:val="Table text"/>
    <w:basedOn w:val="1"/>
    <w:qFormat/>
    <w:uiPriority w:val="0"/>
    <w:pPr>
      <w:adjustRightInd/>
      <w:spacing w:before="120" w:after="120"/>
      <w:jc w:val="both"/>
      <w:textAlignment w:val="auto"/>
    </w:pPr>
    <w:rPr>
      <w:lang w:val="en-US"/>
    </w:rPr>
  </w:style>
  <w:style w:type="character" w:customStyle="1" w:styleId="36">
    <w:name w:val="页眉 Char"/>
    <w:link w:val="15"/>
    <w:qFormat/>
    <w:uiPriority w:val="0"/>
    <w:rPr>
      <w:rFonts w:eastAsia="宋体"/>
      <w:sz w:val="24"/>
      <w:lang w:eastAsia="en-US" w:bidi="ar-SA"/>
    </w:rPr>
  </w:style>
  <w:style w:type="character" w:customStyle="1" w:styleId="37">
    <w:name w:val="批注文字 Char"/>
    <w:link w:val="7"/>
    <w:semiHidden/>
    <w:qFormat/>
    <w:uiPriority w:val="0"/>
    <w:rPr>
      <w:sz w:val="24"/>
      <w:lang w:eastAsia="en-US"/>
    </w:rPr>
  </w:style>
  <w:style w:type="character" w:customStyle="1" w:styleId="38">
    <w:name w:val="页脚 Char"/>
    <w:link w:val="14"/>
    <w:qFormat/>
    <w:uiPriority w:val="99"/>
    <w:rPr>
      <w:sz w:val="24"/>
      <w:lang w:eastAsia="en-US"/>
    </w:rPr>
  </w:style>
  <w:style w:type="character" w:customStyle="1" w:styleId="39">
    <w:name w:val="instruction standard blue"/>
    <w:qFormat/>
    <w:uiPriority w:val="1"/>
    <w:rPr>
      <w:rFonts w:cs="Arial"/>
      <w:i/>
      <w:color w:val="0070C0"/>
    </w:rPr>
  </w:style>
  <w:style w:type="character" w:customStyle="1" w:styleId="40">
    <w:name w:val="keyword"/>
    <w:basedOn w:val="19"/>
    <w:qFormat/>
    <w:uiPriority w:val="0"/>
    <w:rPr/>
  </w:style>
  <w:style w:type="character" w:customStyle="1" w:styleId="41">
    <w:name w:val="numbering blue Zchn"/>
    <w:link w:val="32"/>
    <w:qFormat/>
    <w:uiPriority w:val="0"/>
    <w:rPr>
      <w:rFonts w:ascii="Arial" w:hAnsi="Arial" w:eastAsia="PMingLiU"/>
      <w:color w:val="0070C0"/>
      <w:lang w:eastAsia="zh-TW"/>
    </w:rPr>
  </w:style>
  <w:style w:type="character" w:customStyle="1" w:styleId="42">
    <w:name w:val="Text Char"/>
    <w:link w:val="34"/>
    <w:qFormat/>
    <w:locked/>
    <w:uiPriority w:val="0"/>
    <w:rPr>
      <w:sz w:val="24"/>
      <w:lang w:eastAsia="en-US"/>
    </w:rPr>
  </w:style>
  <w:style w:type="character" w:customStyle="1" w:styleId="43">
    <w:name w:val="ordinary-span-edit2"/>
    <w:qFormat/>
    <w:uiPriority w:val="0"/>
  </w:style>
  <w:style w:type="character" w:customStyle="1" w:styleId="44">
    <w:name w:val="apple-converted-space"/>
    <w:basedOn w:val="19"/>
    <w:qFormat/>
    <w:uiPriority w:val="0"/>
    <w:rPr/>
  </w:style>
  <w:style w:type="character" w:customStyle="1" w:styleId="45">
    <w:name w:val="标题 Char"/>
    <w:link w:val="18"/>
    <w:qFormat/>
    <w:uiPriority w:val="0"/>
    <w:rPr>
      <w:rFonts w:ascii="Calibri Light" w:hAnsi="Calibri Light" w:cs="Times New Roman"/>
      <w:b/>
      <w:bCs/>
      <w:sz w:val="32"/>
      <w:szCs w:val="32"/>
      <w:lang w:eastAsia="en-US"/>
    </w:rPr>
  </w:style>
  <w:style w:type="character" w:customStyle="1" w:styleId="46">
    <w:name w:val="Footer Char"/>
    <w:basedOn w:val="19"/>
    <w:semiHidden/>
    <w:qFormat/>
    <w:locked/>
    <w:uiPriority w:val="0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10</Pages>
  <Words>649</Words>
  <Characters>3705</Characters>
  <Lines>30</Lines>
  <Paragraphs>8</Paragraphs>
  <ScaleCrop>false</ScaleCrop>
  <LinksUpToDate>false</LinksUpToDate>
  <CharactersWithSpaces>0</CharactersWithSpaces>
  <Application>WPS Office 专业版_9.1.0.4798_{F1E327BC-269C-435d-A152-05C5408002CA}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2020-05-18T07:15:00Z</dcterms:created>
  <dc:creator>Lilly</dc:creator>
  <cp:lastModifiedBy>汪洋</cp:lastModifiedBy>
  <cp:lastPrinted>2017-06-22T01:53:00Z</cp:lastPrinted>
  <dcterms:modified xsi:type="dcterms:W3CDTF">2020-06-16T01:41:53Z</dcterms:modified>
  <dc:title>生效期：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2052-9.1.0.4798</vt:lpwstr>
  </property>
</Properties>
</file>