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666358"/>
      <w:bookmarkStart w:id="1" w:name="_Toc482717189"/>
      <w:bookmarkStart w:id="2" w:name="_Toc483227223"/>
      <w:bookmarkStart w:id="3" w:name="_Toc483400307"/>
      <w:bookmarkStart w:id="4" w:name="_Toc484532399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病毒性疫苗研究二室细胞流感课题组CO2恒温培养箱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1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bookmarkStart w:id="5" w:name="_Toc522107734"/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bookmarkEnd w:id="5"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716115"/>
      <w:bookmarkStart w:id="7" w:name="_Toc52210773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70141"/>
      <w:bookmarkStart w:id="9" w:name="_Toc482625279"/>
      <w:bookmarkStart w:id="10" w:name="_Toc481702475"/>
      <w:bookmarkStart w:id="11" w:name="_Toc482359936"/>
      <w:bookmarkStart w:id="12" w:name="_Toc482370061"/>
      <w:bookmarkStart w:id="13" w:name="_Toc482370757"/>
      <w:bookmarkStart w:id="14" w:name="_Toc482369805"/>
      <w:bookmarkStart w:id="15" w:name="_Toc482360281"/>
      <w:bookmarkStart w:id="16" w:name="_Toc482370349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iCs/>
          <w:szCs w:val="21"/>
          <w:lang w:eastAsia="zh-CN"/>
        </w:rPr>
        <w:t>病毒性疫苗研究二室CO2恒温培养箱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716116"/>
      <w:bookmarkStart w:id="18" w:name="_Toc52210773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iCs/>
          <w:szCs w:val="21"/>
          <w:lang w:eastAsia="zh-CN"/>
        </w:rPr>
        <w:t>病毒性疫苗研究二室CO2恒温培养箱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5" w:edGrp="everyone"/>
      <w:r>
        <w:rPr>
          <w:color w:val="000000"/>
          <w:szCs w:val="21"/>
          <w:lang w:eastAsia="zh-CN"/>
        </w:rPr>
        <w:t xml:space="preserve">中国药典 </w:t>
      </w:r>
      <w:r>
        <w:rPr>
          <w:color w:val="000000"/>
          <w:szCs w:val="21"/>
        </w:rPr>
        <w:t>2015年版</w:t>
      </w:r>
    </w:p>
    <w:permEnd w:id="5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/>
          <w:color w:val="0070C0"/>
          <w:szCs w:val="21"/>
          <w:lang w:eastAsia="zh-CN"/>
        </w:rPr>
      </w:pPr>
      <w:permStart w:id="6" w:edGrp="everyone"/>
      <w:r>
        <w:rPr>
          <w:color w:val="000000"/>
          <w:szCs w:val="21"/>
          <w:lang w:eastAsia="zh-CN"/>
        </w:rPr>
        <w:t>电气安全应符合GB4793.1和GB4793.4的要求</w:t>
      </w:r>
      <w:r>
        <w:rPr>
          <w:i/>
          <w:color w:val="0070C0"/>
          <w:szCs w:val="21"/>
          <w:lang w:eastAsia="zh-CN"/>
        </w:rPr>
        <w:t>。</w:t>
      </w:r>
    </w:p>
    <w:permEnd w:id="6"/>
    <w:p>
      <w:pPr>
        <w:pStyle w:val="34"/>
        <w:spacing w:before="0" w:line="360" w:lineRule="auto"/>
        <w:jc w:val="left"/>
        <w:rPr>
          <w:szCs w:val="21"/>
          <w:lang w:eastAsia="zh-CN"/>
        </w:rPr>
      </w:pPr>
      <w:permStart w:id="7" w:edGrp="everyone"/>
      <w:bookmarkStart w:id="48" w:name="_GoBack"/>
      <w:bookmarkEnd w:id="48"/>
    </w:p>
    <w:permEnd w:id="7"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107739"/>
      <w:bookmarkStart w:id="22" w:name="_Toc522716119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/>
          <w:color w:val="000000"/>
          <w:szCs w:val="21"/>
          <w:lang w:eastAsia="zh-CN"/>
        </w:rPr>
        <w:t>病毒性疫苗研究二室细胞流感课题组需购置一台大容量CO2培养箱，用于细胞培养</w:t>
      </w:r>
      <w:permEnd w:id="8"/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</w:p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permEnd w:id="9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2"/>
        <w:gridCol w:w="712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2"/>
            <w:bookmarkStart w:id="25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7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安装在综合楼A区三楼细胞流感课题组车间内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工作区尺寸</w:t>
            </w:r>
            <w:r>
              <w:rPr>
                <w:szCs w:val="21"/>
                <w:lang w:eastAsia="zh-CN"/>
              </w:rPr>
              <w:t>(</w:t>
            </w:r>
            <w:r>
              <w:rPr>
                <w:rFonts w:hint="eastAsia"/>
                <w:szCs w:val="21"/>
                <w:lang w:eastAsia="zh-CN"/>
              </w:rPr>
              <w:t>宽×深×高</w:t>
            </w:r>
            <w:r>
              <w:rPr>
                <w:szCs w:val="21"/>
                <w:lang w:eastAsia="zh-CN"/>
              </w:rPr>
              <w:t>)mm</w:t>
            </w:r>
            <w:r>
              <w:rPr>
                <w:rFonts w:hint="eastAsia"/>
                <w:szCs w:val="21"/>
                <w:lang w:eastAsia="zh-CN"/>
              </w:rPr>
              <w:t>：不小于870×</w:t>
            </w:r>
            <w:r>
              <w:rPr>
                <w:szCs w:val="21"/>
                <w:lang w:eastAsia="zh-CN"/>
              </w:rPr>
              <w:t>690</w:t>
            </w:r>
            <w:r>
              <w:rPr>
                <w:rFonts w:hint="eastAsia"/>
                <w:szCs w:val="21"/>
                <w:lang w:eastAsia="zh-CN"/>
              </w:rPr>
              <w:t>×1480。装置外形尺寸</w:t>
            </w:r>
            <w:r>
              <w:rPr>
                <w:szCs w:val="21"/>
                <w:lang w:eastAsia="zh-CN"/>
              </w:rPr>
              <w:t>mm</w:t>
            </w:r>
            <w:r>
              <w:rPr>
                <w:rFonts w:hint="eastAsia"/>
                <w:szCs w:val="21"/>
                <w:lang w:eastAsia="zh-CN"/>
              </w:rPr>
              <w:t>：不小于970×</w:t>
            </w:r>
            <w:r>
              <w:rPr>
                <w:szCs w:val="21"/>
                <w:lang w:eastAsia="zh-CN"/>
              </w:rPr>
              <w:t>885</w:t>
            </w:r>
            <w:r>
              <w:rPr>
                <w:rFonts w:hint="eastAsia"/>
                <w:szCs w:val="21"/>
                <w:lang w:eastAsia="zh-CN"/>
              </w:rPr>
              <w:t>×1716</w:t>
            </w:r>
            <w:r>
              <w:rPr>
                <w:szCs w:val="21"/>
                <w:lang w:eastAsia="zh-CN"/>
              </w:rPr>
              <w:t> 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重量（kg） 其重量不超出工作台面承重要求。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9251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5" w:edGrp="everyone"/>
            <w:permEnd w:id="15"/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工作环境温度：</w:t>
            </w:r>
            <w:r>
              <w:rPr>
                <w:rFonts w:hint="eastAsia" w:ascii="宋体" w:hAnsi="宋体"/>
                <w:lang w:eastAsia="zh-CN"/>
              </w:rPr>
              <w:t>至少包括5℃～</w:t>
            </w:r>
            <w:r>
              <w:rPr>
                <w:rFonts w:ascii="宋体" w:hAnsi="宋体"/>
                <w:lang w:eastAsia="zh-CN"/>
              </w:rPr>
              <w:t>6</w:t>
            </w:r>
            <w:r>
              <w:rPr>
                <w:rFonts w:hint="eastAsia" w:ascii="宋体" w:hAnsi="宋体"/>
                <w:lang w:eastAsia="zh-CN"/>
              </w:rPr>
              <w:t>0℃。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工作环境湿度：至少包括45%～65%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工作环境洁</w:t>
            </w:r>
            <w:r>
              <w:rPr>
                <w:lang w:eastAsia="zh-CN"/>
              </w:rPr>
              <w:t>净级别：</w:t>
            </w:r>
            <w:r>
              <w:rPr>
                <w:rFonts w:hint="eastAsia" w:ascii="宋体" w:hAnsi="宋体"/>
                <w:lang w:eastAsia="zh-CN"/>
              </w:rPr>
              <w:t>无级别区或</w:t>
            </w:r>
            <w:r>
              <w:rPr>
                <w:rFonts w:ascii="宋体" w:hAnsi="宋体"/>
                <w:lang w:eastAsia="zh-CN"/>
              </w:rPr>
              <w:t>C</w:t>
            </w:r>
            <w:r>
              <w:rPr>
                <w:rFonts w:hint="eastAsia" w:ascii="宋体" w:hAnsi="宋体"/>
                <w:lang w:eastAsia="zh-CN"/>
              </w:rPr>
              <w:t>级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交流电电源：～</w:t>
            </w:r>
            <w:r>
              <w:rPr>
                <w:rFonts w:ascii="宋体" w:hAnsi="宋体"/>
                <w:lang w:eastAsia="zh-CN"/>
              </w:rPr>
              <w:t>220V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ascii="宋体" w:hAnsi="宋体"/>
                <w:lang w:eastAsia="zh-CN"/>
              </w:rPr>
              <w:t>50Hz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工作区配置防溅安全电源插座。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设备外观应端正、整齐，不得有明显的偏歪、毛刺和锈蚀等缺陷。设备内部表面不得有凹陷、毛刺和锈蚀等缺陷。设备内部表面应防腐蚀、易于清洁。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标识</w:t>
            </w:r>
            <w:r>
              <w:rPr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（5）对设备必要的说明；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（6）必要的</w:t>
            </w:r>
            <w:r>
              <w:rPr>
                <w:rFonts w:hint="eastAsia"/>
                <w:szCs w:val="21"/>
                <w:lang w:eastAsia="zh-CN"/>
              </w:rPr>
              <w:t>功能标识及</w:t>
            </w:r>
            <w:r>
              <w:rPr>
                <w:szCs w:val="21"/>
                <w:lang w:eastAsia="zh-CN"/>
              </w:rPr>
              <w:t>说明；</w:t>
            </w:r>
          </w:p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  <w:lang w:eastAsia="zh-CN"/>
              </w:rPr>
              <w:t>7</w:t>
            </w:r>
            <w:r>
              <w:rPr>
                <w:sz w:val="21"/>
                <w:szCs w:val="21"/>
              </w:rPr>
              <w:t>）安全标识。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21"/>
    </w:tbl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716121"/>
      <w:bookmarkStart w:id="27" w:name="_Toc522107740"/>
      <w:r>
        <w:rPr>
          <w:rFonts w:ascii="Times New Roman" w:hAnsi="Times New Roman"/>
          <w:b/>
        </w:rPr>
        <w:t>运行要求</w:t>
      </w:r>
      <w:bookmarkEnd w:id="26"/>
      <w:bookmarkEnd w:id="27"/>
    </w:p>
    <w:p>
      <w:pPr>
        <w:pStyle w:val="34"/>
        <w:spacing w:before="0" w:line="360" w:lineRule="auto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2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2"/>
        <w:gridCol w:w="712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2"/>
            <w:r>
              <w:rPr>
                <w:b/>
                <w:szCs w:val="21"/>
              </w:rPr>
              <w:t>号</w:t>
            </w:r>
          </w:p>
        </w:tc>
        <w:tc>
          <w:tcPr>
            <w:tcW w:w="712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7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9251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9251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4" w:type="dxa"/>
            <w:vAlign w:val="center"/>
          </w:tcPr>
          <w:p>
            <w:pPr>
              <w:pStyle w:val="8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电源：</w:t>
            </w:r>
            <w:r>
              <w:rPr>
                <w:sz w:val="21"/>
                <w:szCs w:val="21"/>
                <w:lang w:eastAsia="zh-CN"/>
              </w:rPr>
              <w:t>AC220V,1</w:t>
            </w:r>
            <w:r>
              <w:rPr>
                <w:rFonts w:hint="eastAsia"/>
                <w:sz w:val="21"/>
                <w:szCs w:val="21"/>
                <w:lang w:eastAsia="zh-CN"/>
              </w:rPr>
              <w:t>Ф</w:t>
            </w:r>
            <w:r>
              <w:rPr>
                <w:sz w:val="21"/>
                <w:szCs w:val="21"/>
                <w:lang w:eastAsia="zh-CN"/>
              </w:rPr>
              <w:t>,50Hz</w:t>
            </w:r>
          </w:p>
          <w:p>
            <w:pPr>
              <w:pStyle w:val="8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功率：≤1400</w:t>
            </w:r>
            <w:r>
              <w:rPr>
                <w:sz w:val="21"/>
                <w:szCs w:val="21"/>
                <w:lang w:eastAsia="zh-CN"/>
              </w:rPr>
              <w:t>W</w:t>
            </w:r>
          </w:p>
          <w:p>
            <w:pPr>
              <w:pStyle w:val="8"/>
              <w:spacing w:line="360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温度控制范围：</w:t>
            </w:r>
            <w:r>
              <w:rPr>
                <w:sz w:val="21"/>
                <w:szCs w:val="21"/>
                <w:lang w:eastAsia="zh-CN"/>
              </w:rPr>
              <w:t>5℃-6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  <w:lang w:eastAsia="zh-CN"/>
              </w:rPr>
              <w:t>℃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环境温度5℃~40℃）</w:t>
            </w:r>
          </w:p>
          <w:p>
            <w:pPr>
              <w:pStyle w:val="8"/>
              <w:spacing w:line="360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控制精度：</w:t>
            </w:r>
            <w:r>
              <w:rPr>
                <w:rFonts w:hint="eastAsia"/>
                <w:sz w:val="21"/>
                <w:szCs w:val="21"/>
                <w:lang w:eastAsia="zh-CN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0.1℃</w:t>
            </w:r>
          </w:p>
          <w:p>
            <w:pPr>
              <w:pStyle w:val="8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温度均匀性：±1℃</w:t>
            </w:r>
          </w:p>
          <w:p>
            <w:pPr>
              <w:pStyle w:val="8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有效容积：≥8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/>
                <w:sz w:val="21"/>
                <w:szCs w:val="21"/>
                <w:lang w:eastAsia="zh-CN"/>
              </w:rPr>
              <w:t>L</w:t>
            </w:r>
          </w:p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噪音：≤</w:t>
            </w:r>
            <w:r>
              <w:rPr>
                <w:szCs w:val="21"/>
                <w:lang w:eastAsia="zh-CN"/>
              </w:rPr>
              <w:t>60dB(A)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能数字显示CO2浓度，CO2浓度控制范围在0~20%，37℃时开门恢复时间在10分钟以内。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27" w:edGrp="everyone"/>
            <w:permEnd w:id="27"/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传感器异常报警，超温报警，CO</w:t>
            </w:r>
            <w:r>
              <w:rPr>
                <w:sz w:val="16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超浓度报警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带有紫外杀菌系统。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带有8个</w:t>
            </w:r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eastAsia"/>
                <w:lang w:eastAsia="zh-CN"/>
              </w:rPr>
              <w:t>以上的托盘。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箱门材料：带边框的全透视中空玻璃门，内腔材料：镜面不锈钢板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28"/>
    </w:tbl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369815"/>
      <w:bookmarkStart w:id="31" w:name="_Toc482360291"/>
      <w:bookmarkStart w:id="32" w:name="_Toc482370071"/>
      <w:bookmarkStart w:id="33" w:name="_Toc482370151"/>
      <w:bookmarkStart w:id="34" w:name="_Toc482370767"/>
      <w:bookmarkStart w:id="35" w:name="_Toc482625289"/>
      <w:bookmarkStart w:id="36" w:name="_Toc482359946"/>
      <w:bookmarkStart w:id="37" w:name="_Toc483227237"/>
      <w:bookmarkStart w:id="38" w:name="_Toc482370359"/>
      <w:bookmarkStart w:id="39" w:name="_Toc482717202"/>
      <w:bookmarkStart w:id="40" w:name="_Toc483400317"/>
      <w:bookmarkStart w:id="41" w:name="_Toc481702480"/>
      <w:r>
        <w:rPr>
          <w:rFonts w:ascii="Times New Roman" w:hAnsi="Times New Roman"/>
          <w:b/>
        </w:rPr>
        <w:t>电气、自动控制要求</w:t>
      </w:r>
      <w:bookmarkEnd w:id="28"/>
    </w:p>
    <w:p>
      <w:pPr>
        <w:pStyle w:val="34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29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2"/>
        <w:gridCol w:w="712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9"/>
            <w:r>
              <w:rPr>
                <w:b/>
                <w:szCs w:val="21"/>
              </w:rPr>
              <w:t>号</w:t>
            </w:r>
          </w:p>
        </w:tc>
        <w:tc>
          <w:tcPr>
            <w:tcW w:w="712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7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具有高精度电脑温度控制系统：箱体内部</w:t>
            </w:r>
            <w:r>
              <w:rPr>
                <w:szCs w:val="21"/>
                <w:lang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个精密温度传感器，在环境温度</w:t>
            </w:r>
            <w:r>
              <w:rPr>
                <w:szCs w:val="21"/>
                <w:lang w:eastAsia="zh-CN"/>
              </w:rPr>
              <w:t>-25℃</w:t>
            </w:r>
            <w:r>
              <w:rPr>
                <w:rFonts w:hint="eastAsia"/>
                <w:szCs w:val="21"/>
                <w:lang w:eastAsia="zh-CN"/>
              </w:rPr>
              <w:t>－</w:t>
            </w:r>
            <w:r>
              <w:rPr>
                <w:szCs w:val="21"/>
                <w:lang w:eastAsia="zh-CN"/>
              </w:rPr>
              <w:t>45℃</w:t>
            </w:r>
            <w:r>
              <w:rPr>
                <w:rFonts w:hint="eastAsia"/>
                <w:szCs w:val="21"/>
                <w:lang w:eastAsia="zh-CN"/>
              </w:rPr>
              <w:t>的状况下，仍能够保持箱体内部温度</w:t>
            </w:r>
            <w:r>
              <w:rPr>
                <w:szCs w:val="21"/>
                <w:lang w:eastAsia="zh-CN"/>
              </w:rPr>
              <w:t>±0.5℃</w:t>
            </w:r>
            <w:r>
              <w:rPr>
                <w:rFonts w:hint="eastAsia"/>
                <w:szCs w:val="21"/>
                <w:lang w:eastAsia="zh-CN"/>
              </w:rPr>
              <w:t>精确稳定。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智能控制风扇强制冷气循环系统：确保箱体内部温度均匀性；自动温度控制。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大屏幕液晶显示：在</w:t>
            </w:r>
            <w:r>
              <w:rPr>
                <w:szCs w:val="21"/>
                <w:lang w:eastAsia="zh-CN"/>
              </w:rPr>
              <w:t>5℃-65℃</w:t>
            </w:r>
            <w:r>
              <w:rPr>
                <w:rFonts w:hint="eastAsia"/>
                <w:szCs w:val="21"/>
                <w:lang w:eastAsia="zh-CN"/>
              </w:rPr>
              <w:t>范围内可自由调节温度设定值，温度控制精度</w:t>
            </w:r>
            <w:r>
              <w:rPr>
                <w:szCs w:val="21"/>
                <w:lang w:eastAsia="zh-CN"/>
              </w:rPr>
              <w:t>0.5℃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9251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33"/>
    </w:tbl>
    <w:p>
      <w:pPr>
        <w:spacing w:after="158"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4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2"/>
        <w:gridCol w:w="712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4"/>
            <w:r>
              <w:rPr>
                <w:b/>
                <w:szCs w:val="21"/>
              </w:rPr>
              <w:t>号</w:t>
            </w:r>
          </w:p>
        </w:tc>
        <w:tc>
          <w:tcPr>
            <w:tcW w:w="712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7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9251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6" w:edGrp="everyone"/>
            <w:permEnd w:id="36"/>
          </w:p>
        </w:tc>
        <w:tc>
          <w:tcPr>
            <w:tcW w:w="7124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7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9251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37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107743"/>
      <w:bookmarkStart w:id="44" w:name="_Toc522716124"/>
      <w:r>
        <w:rPr>
          <w:rFonts w:ascii="Times New Roman" w:hAnsi="Times New Roman"/>
          <w:b/>
        </w:rPr>
        <w:t>文件要求</w:t>
      </w:r>
      <w:bookmarkEnd w:id="43"/>
      <w:bookmarkEnd w:id="44"/>
    </w:p>
    <w:p>
      <w:pPr>
        <w:pStyle w:val="34"/>
        <w:spacing w:before="0" w:line="360" w:lineRule="auto"/>
        <w:jc w:val="left"/>
        <w:rPr>
          <w:i/>
          <w:szCs w:val="21"/>
          <w:lang w:eastAsia="zh-CN"/>
        </w:rPr>
      </w:pPr>
      <w:permStart w:id="38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9"/>
        <w:gridCol w:w="6971"/>
        <w:gridCol w:w="2082"/>
        <w:gridCol w:w="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21" w:type="dxa"/>
          <w:cantSplit/>
          <w:trHeight w:val="680" w:hRule="atLeast"/>
          <w:tblHeader/>
          <w:jc w:val="center"/>
        </w:trPr>
        <w:tc>
          <w:tcPr>
            <w:tcW w:w="1289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8"/>
            <w:r>
              <w:rPr>
                <w:b/>
                <w:szCs w:val="21"/>
              </w:rPr>
              <w:t>号</w:t>
            </w:r>
          </w:p>
        </w:tc>
        <w:tc>
          <w:tcPr>
            <w:tcW w:w="6971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289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6971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投标文件、合同及订单。提交时限：设备开箱验收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9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6971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设计选型文件：设备详细功能说明书；须提供功能描述和标准。提交时限：设备开箱验收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9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1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零配件、部件、元件清单：包括编号、对应厂家名称、生产地、规格及必要说明。提交时限：设备开箱验收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9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1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设备制造文件：原料结构明细表、工厂实验报告、材质（包括原材料、垫圈、关键部件等）报告及合格证、制造商检测数据报告、各种标示。提交时限：设备开箱验收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9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1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调试文件：调试计划（调试说明书、调试进度报告、调试清单、验收测试和启动程序、保修信息、运行和维护手册、培训计划、再调试计划等），总测试计划，检查计划，检测清单，检查清单，各测试报告，调试总结报告等。提交时限：IQ开始前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9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1" w:type="dxa"/>
            <w:vAlign w:val="center"/>
          </w:tcPr>
          <w:p>
            <w:pPr>
              <w:pStyle w:val="8"/>
              <w:spacing w:line="4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验证文件：</w:t>
            </w:r>
          </w:p>
          <w:p>
            <w:pPr>
              <w:pStyle w:val="8"/>
              <w:spacing w:line="4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）安装确认及文件（</w:t>
            </w:r>
            <w:r>
              <w:rPr>
                <w:sz w:val="21"/>
                <w:szCs w:val="21"/>
                <w:lang w:eastAsia="zh-CN"/>
              </w:rPr>
              <w:t>IQ</w:t>
            </w:r>
            <w:r>
              <w:rPr>
                <w:rFonts w:hint="eastAsia"/>
                <w:sz w:val="21"/>
                <w:szCs w:val="21"/>
                <w:lang w:eastAsia="zh-CN"/>
              </w:rPr>
              <w:t>）；</w:t>
            </w:r>
          </w:p>
          <w:p>
            <w:pPr>
              <w:pStyle w:val="8"/>
              <w:spacing w:line="4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）运行确认及文件（</w:t>
            </w:r>
            <w:r>
              <w:rPr>
                <w:sz w:val="21"/>
                <w:szCs w:val="21"/>
                <w:lang w:eastAsia="zh-CN"/>
              </w:rPr>
              <w:t>OQ</w:t>
            </w:r>
            <w:r>
              <w:rPr>
                <w:rFonts w:hint="eastAsia"/>
                <w:sz w:val="21"/>
                <w:szCs w:val="21"/>
                <w:lang w:eastAsia="zh-CN"/>
              </w:rPr>
              <w:t>）；</w:t>
            </w:r>
          </w:p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提交时限：</w:t>
            </w: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Q</w:t>
            </w:r>
            <w:r>
              <w:rPr>
                <w:rFonts w:hint="eastAsia"/>
                <w:lang w:eastAsia="zh-CN"/>
              </w:rPr>
              <w:t>报告在O</w:t>
            </w:r>
            <w:r>
              <w:rPr>
                <w:lang w:eastAsia="zh-CN"/>
              </w:rPr>
              <w:t>Q</w:t>
            </w:r>
            <w:r>
              <w:rPr>
                <w:rFonts w:hint="eastAsia"/>
                <w:lang w:eastAsia="zh-CN"/>
              </w:rPr>
              <w:t>前提交，O</w:t>
            </w:r>
            <w:r>
              <w:rPr>
                <w:lang w:eastAsia="zh-CN"/>
              </w:rPr>
              <w:t>Q</w:t>
            </w:r>
            <w:r>
              <w:rPr>
                <w:rFonts w:hint="eastAsia"/>
                <w:lang w:eastAsia="zh-CN"/>
              </w:rPr>
              <w:t>报告在设备最终验收交付前提交，所有方案在相应验证开始前完成审批。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9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1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使用操作说明书及维护保养说明（即运行及维护手册）</w:t>
            </w:r>
            <w:r>
              <w:rPr>
                <w:rFonts w:ascii="宋体" w:hAnsi="宋体"/>
                <w:lang w:eastAsia="zh-CN"/>
              </w:rPr>
              <w:t>3</w:t>
            </w:r>
            <w:r>
              <w:rPr>
                <w:rFonts w:hint="eastAsia" w:ascii="宋体" w:hAnsi="宋体"/>
                <w:lang w:eastAsia="zh-CN"/>
              </w:rPr>
              <w:t>份。</w:t>
            </w:r>
            <w:r>
              <w:rPr>
                <w:rFonts w:hint="eastAsia"/>
                <w:szCs w:val="21"/>
                <w:lang w:eastAsia="zh-CN"/>
              </w:rPr>
              <w:t>提交时限：IQ开始前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0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41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2"/>
        <w:gridCol w:w="712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41"/>
            <w:r>
              <w:rPr>
                <w:b/>
                <w:szCs w:val="21"/>
              </w:rPr>
              <w:t>号</w:t>
            </w:r>
          </w:p>
        </w:tc>
        <w:tc>
          <w:tcPr>
            <w:tcW w:w="712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7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生产操作人员培训包括设备结构原理、性能、操作、清洗消毒、故障排除等基本</w:t>
            </w:r>
            <w:r>
              <w:rPr>
                <w:color w:val="000000"/>
                <w:szCs w:val="21"/>
                <w:lang w:eastAsia="zh-CN"/>
              </w:rPr>
              <w:t>知识</w:t>
            </w:r>
            <w:r>
              <w:rPr>
                <w:color w:val="000000"/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6" w:edGrp="everyone" w:colFirst="1" w:colLast="1"/>
            <w:permStart w:id="47" w:edGrp="everyone" w:colFirst="2" w:colLast="2"/>
            <w:permStart w:id="48" w:edGrp="everyone" w:colFirst="3" w:colLast="3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验证包括</w:t>
            </w:r>
            <w:r>
              <w:rPr>
                <w:rFonts w:ascii="宋体" w:hAnsi="宋体"/>
                <w:szCs w:val="21"/>
                <w:lang w:eastAsia="zh-CN"/>
              </w:rPr>
              <w:t>IQ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ascii="宋体" w:hAnsi="宋体"/>
                <w:szCs w:val="21"/>
                <w:lang w:eastAsia="zh-CN"/>
              </w:rPr>
              <w:t>OQ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关键</w:t>
            </w:r>
          </w:p>
        </w:tc>
      </w:tr>
      <w:permEnd w:id="46"/>
      <w:permEnd w:id="47"/>
      <w:permEnd w:id="4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9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各验证工作开始前验证方案需经过本公司相关部门审核，并经质量保证部批准。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供应商应派出具备同类设备验证经验的，熟悉验证文件编写及验证工作执行的工程师到场完成所有验证工作，所有验证工作应满足G</w:t>
            </w:r>
            <w:r>
              <w:rPr>
                <w:lang w:eastAsia="zh-CN"/>
              </w:rPr>
              <w:t>MP</w:t>
            </w:r>
            <w:r>
              <w:rPr>
                <w:rFonts w:hint="eastAsia"/>
                <w:lang w:eastAsia="zh-CN"/>
              </w:rPr>
              <w:t>要求。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0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验证工作应按时保质完成，供应商需提供验证工作计划表。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1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验证项目应包含法规要求的测试项目，以及本公司提出的测试项目。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5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2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验证工作完成后，验证记录经本公司相关部门审核，并经质量保证部批准。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验收前，验证工作已成功完成，验证最终报告已经本公司相关部门审核，并经质量保证部批准。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permEnd w:id="5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3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5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4" w:edGrp="everyone"/>
          </w:p>
        </w:tc>
        <w:tc>
          <w:tcPr>
            <w:tcW w:w="7124" w:type="dxa"/>
            <w:vAlign w:val="center"/>
          </w:tcPr>
          <w:p>
            <w:pPr>
              <w:pStyle w:val="8"/>
              <w:spacing w:line="360" w:lineRule="auto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设备质保期为一年，一年内免费保修，一年后应提供良好的售后服务。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5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5" w:edGrp="everyone"/>
          </w:p>
        </w:tc>
        <w:tc>
          <w:tcPr>
            <w:tcW w:w="7124" w:type="dxa"/>
            <w:vAlign w:val="center"/>
          </w:tcPr>
          <w:p>
            <w:pPr>
              <w:pStyle w:val="8"/>
              <w:spacing w:line="360" w:lineRule="auto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售后服务必须响应及时，要求设备出现须厂家维修的故障后，应在2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小时工作日内明确答复，当电话沟通无法解决时，须48小时工作日内派人至现场解决。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5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6" w:edGrp="everyone"/>
          </w:p>
        </w:tc>
        <w:tc>
          <w:tcPr>
            <w:tcW w:w="7124" w:type="dxa"/>
            <w:vAlign w:val="center"/>
          </w:tcPr>
          <w:p>
            <w:pPr>
              <w:pStyle w:val="8"/>
              <w:spacing w:line="360" w:lineRule="auto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一年免费保修期后，厂家应终生提供及时的维修、维护，厂家应定期回访，解决设备运行当中可能出现的疑问，排除潜在故障，使设备保持良好工作状态。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5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7" w:edGrp="everyone"/>
          </w:p>
        </w:tc>
        <w:tc>
          <w:tcPr>
            <w:tcW w:w="7124" w:type="dxa"/>
            <w:vAlign w:val="center"/>
          </w:tcPr>
          <w:p>
            <w:pPr>
              <w:pStyle w:val="8"/>
              <w:spacing w:line="36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厂家应提供合格的备件，用于设备相应部件的维修、更换。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5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58" w:edGrp="everyone"/>
            <w:permEnd w:id="58"/>
          </w:p>
        </w:tc>
        <w:tc>
          <w:tcPr>
            <w:tcW w:w="9251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9" w:edGrp="everyone"/>
          </w:p>
        </w:tc>
        <w:tc>
          <w:tcPr>
            <w:tcW w:w="7124" w:type="dxa"/>
            <w:vAlign w:val="center"/>
          </w:tcPr>
          <w:p>
            <w:pPr>
              <w:pStyle w:val="8"/>
              <w:spacing w:line="360" w:lineRule="auto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货物到达买方使用现场后，由买卖双方共同验收，卖方工程师免费为买房提供调试。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5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0" w:edGrp="everyone"/>
          </w:p>
        </w:tc>
        <w:tc>
          <w:tcPr>
            <w:tcW w:w="7124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供应商进厂施工需遵守安全和施工规定。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6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1" w:edGrp="everyone"/>
          </w:p>
        </w:tc>
        <w:tc>
          <w:tcPr>
            <w:tcW w:w="7124" w:type="dxa"/>
            <w:vAlign w:val="center"/>
          </w:tcPr>
          <w:p>
            <w:pPr>
              <w:pStyle w:val="8"/>
              <w:spacing w:line="360" w:lineRule="auto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确认验收合格后，买卖双方签订验收报告。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61"/>
    </w:tbl>
    <w:p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6"/>
      <w:bookmarkStart w:id="47" w:name="_Toc52210774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34"/>
        <w:spacing w:before="0" w:line="360" w:lineRule="auto"/>
        <w:ind w:left="357"/>
        <w:jc w:val="left"/>
        <w:rPr>
          <w:color w:val="000000"/>
          <w:szCs w:val="21"/>
          <w:lang w:eastAsia="zh-CN"/>
        </w:rPr>
      </w:pPr>
      <w:permStart w:id="62" w:edGrp="everyone"/>
      <w:r>
        <w:rPr>
          <w:rFonts w:hint="eastAsia"/>
          <w:color w:val="000000"/>
          <w:szCs w:val="21"/>
          <w:lang w:eastAsia="zh-CN"/>
        </w:rPr>
        <w:t>不适用</w:t>
      </w:r>
      <w:permEnd w:id="62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208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D7D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00AC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4A86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3B6C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60FB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6838"/>
    <w:rsid w:val="00667045"/>
    <w:rsid w:val="00670A00"/>
    <w:rsid w:val="00670C23"/>
    <w:rsid w:val="00672B86"/>
    <w:rsid w:val="00673031"/>
    <w:rsid w:val="00673EB3"/>
    <w:rsid w:val="00680BE8"/>
    <w:rsid w:val="00683BBC"/>
    <w:rsid w:val="00686409"/>
    <w:rsid w:val="00686D19"/>
    <w:rsid w:val="0068777F"/>
    <w:rsid w:val="00691F9A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0968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2B64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2DB6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4D0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2ED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6CCF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17A24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C70AA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4401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4F05BEA"/>
    <w:rsid w:val="34B56E7A"/>
    <w:rsid w:val="5ACB3D3B"/>
    <w:rsid w:val="604152BF"/>
    <w:rsid w:val="6EA77B1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3">
    <w:name w:val="Normal Table"/>
    <w:unhideWhenUsed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7"/>
    <w:semiHidden/>
    <w:qFormat/>
    <w:uiPriority w:val="0"/>
  </w:style>
  <w:style w:type="paragraph" w:styleId="8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8"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6"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1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2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6">
    <w:name w:val="页眉 Char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7">
    <w:name w:val="批注文字 Char"/>
    <w:link w:val="7"/>
    <w:semiHidden/>
    <w:qFormat/>
    <w:uiPriority w:val="0"/>
    <w:rPr>
      <w:sz w:val="24"/>
      <w:lang w:eastAsia="en-US"/>
    </w:rPr>
  </w:style>
  <w:style w:type="character" w:customStyle="1" w:styleId="38">
    <w:name w:val="页脚 Char"/>
    <w:link w:val="14"/>
    <w:uiPriority w:val="99"/>
    <w:rPr>
      <w:sz w:val="24"/>
      <w:lang w:eastAsia="en-US"/>
    </w:rPr>
  </w:style>
  <w:style w:type="character" w:customStyle="1" w:styleId="39">
    <w:name w:val="instruction standard blue"/>
    <w:qFormat/>
    <w:uiPriority w:val="1"/>
    <w:rPr>
      <w:rFonts w:cs="Arial"/>
      <w:i/>
      <w:color w:val="0070C0"/>
    </w:rPr>
  </w:style>
  <w:style w:type="character" w:customStyle="1" w:styleId="40">
    <w:name w:val="keyword"/>
    <w:basedOn w:val="19"/>
    <w:uiPriority w:val="0"/>
    <w:rPr/>
  </w:style>
  <w:style w:type="character" w:customStyle="1" w:styleId="41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2">
    <w:name w:val="Text Char"/>
    <w:link w:val="34"/>
    <w:locked/>
    <w:uiPriority w:val="0"/>
    <w:rPr>
      <w:sz w:val="24"/>
      <w:lang w:eastAsia="en-US"/>
    </w:rPr>
  </w:style>
  <w:style w:type="character" w:customStyle="1" w:styleId="43">
    <w:name w:val="ordinary-span-edit2"/>
    <w:uiPriority w:val="0"/>
  </w:style>
  <w:style w:type="character" w:customStyle="1" w:styleId="44">
    <w:name w:val="apple-converted-space"/>
    <w:basedOn w:val="19"/>
    <w:uiPriority w:val="0"/>
    <w:rPr/>
  </w:style>
  <w:style w:type="character" w:customStyle="1" w:styleId="45">
    <w:name w:val="标题 Char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Footer Char"/>
    <w:basedOn w:val="19"/>
    <w:semiHidden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11</Pages>
  <Words>652</Words>
  <Characters>3721</Characters>
  <Lines>31</Lines>
  <Paragraphs>8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2020-05-13T05:05:00Z</dcterms:created>
  <dc:creator>Lilly</dc:creator>
  <cp:lastModifiedBy>汪洋</cp:lastModifiedBy>
  <cp:lastPrinted>2017-06-22T01:53:00Z</cp:lastPrinted>
  <dcterms:modified xsi:type="dcterms:W3CDTF">2020-06-16T01:47:57Z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