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3666358"/>
      <w:bookmarkStart w:id="2" w:name="_Toc482717189"/>
      <w:bookmarkStart w:id="3" w:name="_Toc483227223"/>
      <w:bookmarkStart w:id="4" w:name="_Toc484532399"/>
    </w:p>
    <w:p>
      <w:pPr>
        <w:spacing w:afterLines="50"/>
        <w:jc w:val="center"/>
        <w:rPr>
          <w:b/>
          <w:szCs w:val="21"/>
          <w:lang w:eastAsia="zh-CN"/>
        </w:rPr>
      </w:pPr>
      <w:permStart w:id="0" w:edGrp="everyone"/>
      <w:r>
        <w:rPr>
          <w:rFonts w:hint="eastAsia"/>
          <w:b/>
          <w:sz w:val="28"/>
          <w:szCs w:val="28"/>
          <w:lang w:eastAsia="zh-CN"/>
        </w:rPr>
        <w:t>实验动物室实验动物生产二号楼电梯</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8</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8</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rPr>
          <w:rFonts w:hint="eastAsia"/>
        </w:rPr>
        <w:t>10</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rPr>
          <w:rFonts w:hint="eastAsia"/>
        </w:rPr>
        <w:t>1</w:t>
      </w:r>
      <w:r>
        <w:t>2</w:t>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60281"/>
      <w:bookmarkStart w:id="8" w:name="_Toc482370061"/>
      <w:bookmarkStart w:id="9" w:name="_Toc482370349"/>
      <w:bookmarkStart w:id="10" w:name="_Toc482359936"/>
      <w:bookmarkStart w:id="11" w:name="_Toc482370757"/>
      <w:bookmarkStart w:id="12" w:name="_Toc482625279"/>
      <w:bookmarkStart w:id="13" w:name="_Toc482369805"/>
      <w:bookmarkStart w:id="14" w:name="_Toc481702475"/>
      <w:bookmarkStart w:id="15" w:name="_Toc482370141"/>
      <w:r>
        <w:rPr>
          <w:szCs w:val="21"/>
          <w:lang w:eastAsia="zh-CN"/>
        </w:rPr>
        <w:t>本文件的目的是描述武汉生物制品研究所有限责任公司</w:t>
      </w:r>
      <w:permStart w:id="3" w:edGrp="everyone"/>
      <w:r>
        <w:rPr>
          <w:rFonts w:hint="eastAsia"/>
          <w:szCs w:val="21"/>
          <w:lang w:eastAsia="zh-CN"/>
        </w:rPr>
        <w:t>实验动物室实验动物生产二号楼电梯</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实验动物室实验动物生产二号楼物流入口和物流出口两处电梯</w:t>
      </w:r>
      <w:permEnd w:id="4"/>
      <w:r>
        <w:rPr>
          <w:szCs w:val="21"/>
          <w:lang w:eastAsia="zh-CN"/>
        </w:rPr>
        <w:t>。</w:t>
      </w:r>
      <w:bookmarkEnd w:id="7"/>
      <w:bookmarkEnd w:id="8"/>
      <w:bookmarkEnd w:id="9"/>
      <w:bookmarkEnd w:id="10"/>
      <w:bookmarkEnd w:id="11"/>
      <w:bookmarkEnd w:id="12"/>
      <w:bookmarkEnd w:id="13"/>
      <w:bookmarkEnd w:id="14"/>
      <w:bookmarkEnd w:id="15"/>
      <w:bookmarkStart w:id="47" w:name="_GoBack"/>
      <w:bookmarkEnd w:id="47"/>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0"/>
        <w:numPr>
          <w:ilvl w:val="0"/>
          <w:numId w:val="5"/>
        </w:numPr>
        <w:spacing w:line="360" w:lineRule="auto"/>
        <w:ind w:firstLineChars="0"/>
        <w:rPr>
          <w:rFonts w:ascii="宋体" w:hAnsi="宋体" w:cs="宋体"/>
          <w:szCs w:val="21"/>
        </w:rPr>
      </w:pPr>
      <w:permStart w:id="5" w:edGrp="everyone"/>
      <w:r>
        <w:rPr>
          <w:rFonts w:hint="eastAsia" w:ascii="宋体" w:hAnsi="宋体" w:cs="宋体"/>
          <w:szCs w:val="21"/>
        </w:rPr>
        <w:t>中华人民共和国国家标准“电梯制造与安装安全规范”（GB7588-2003）</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中华人民共和国国家标准“电梯技术条件”（GB/T 10058-2009）</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中华人民共和国国家标准“电梯安装验收规范”（GB/T 10060-2011）</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中华人民共和国国家标准“电梯试验方法”（GB/T 10059-2009）</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 杂物电梯制造与安装安全规范” (GB 25194-2010)</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 电梯工程施工质量验收规范” (GB 50310-2002)</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 电梯主参数及轿厢、井道、机房的型式与尺寸” (GB/T 7025.1-2008)</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中华人民共和国冶金标准” 电梯导轨用热轧型钢” (YB/T 157-1999)</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中华人民共和国冶金标准” 电梯钢丝绳用钢丝” (YB/T 5198-2015)</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中华人民共和国国家标准“电梯安装工程质量检验评定标准”（试用本）</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用于建筑物电气装置的最新的电气工程师学会条例，及其所有修订版本</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中华人民共和国国家标准“电气装置安装工程及施工验收规范”（GB50303-2015）</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湖北省有关电梯工程的规范及标准</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有关的中国国家消防规范及湖北省消防局有关部门工作准则</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电力供应公司的供应规则与条例</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任何其它有关的中国规范</w:t>
      </w:r>
    </w:p>
    <w:p>
      <w:pPr>
        <w:pStyle w:val="30"/>
        <w:numPr>
          <w:ilvl w:val="0"/>
          <w:numId w:val="5"/>
        </w:numPr>
        <w:spacing w:line="360" w:lineRule="auto"/>
        <w:ind w:firstLineChars="0"/>
        <w:rPr>
          <w:rFonts w:ascii="宋体" w:hAnsi="宋体" w:cs="宋体"/>
          <w:szCs w:val="21"/>
        </w:rPr>
      </w:pPr>
      <w:r>
        <w:rPr>
          <w:rFonts w:hint="eastAsia" w:ascii="宋体" w:hAnsi="宋体" w:cs="宋体"/>
          <w:szCs w:val="21"/>
        </w:rPr>
        <w:t>上述标准均应是最新且已实施的版本。如有相应规范版次更新，则以新版为准。</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0"/>
        <w:numPr>
          <w:ilvl w:val="0"/>
          <w:numId w:val="5"/>
        </w:numPr>
        <w:spacing w:line="360" w:lineRule="auto"/>
        <w:ind w:firstLineChars="0"/>
        <w:rPr>
          <w:rFonts w:ascii="宋体" w:hAnsi="宋体" w:cs="宋体"/>
          <w:szCs w:val="24"/>
        </w:rPr>
      </w:pPr>
      <w:permStart w:id="6" w:edGrp="everyone"/>
      <w:r>
        <w:rPr>
          <w:rFonts w:hint="eastAsia" w:ascii="宋体" w:hAnsi="宋体" w:cs="宋体"/>
          <w:szCs w:val="24"/>
        </w:rPr>
        <w:t>电气安全应符合GB4793.1和GB4793.4的要求。</w:t>
      </w:r>
    </w:p>
    <w:permEnd w:id="6"/>
    <w:p>
      <w:pPr>
        <w:pStyle w:val="34"/>
        <w:spacing w:before="0" w:line="360" w:lineRule="auto"/>
        <w:ind w:left="357"/>
        <w:jc w:val="left"/>
        <w:rPr>
          <w:i/>
          <w:szCs w:val="21"/>
          <w:lang w:eastAsia="zh-CN"/>
        </w:rPr>
      </w:pPr>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7" w:edGrp="everyone"/>
      <w:r>
        <w:rPr>
          <w:rFonts w:hint="eastAsia" w:ascii="宋体" w:hAnsi="宋体" w:cs="Arial"/>
          <w:szCs w:val="24"/>
          <w:lang w:eastAsia="zh-CN"/>
        </w:rPr>
        <w:t>实验动物室</w:t>
      </w:r>
      <w:r>
        <w:rPr>
          <w:rFonts w:hint="eastAsia" w:ascii="宋体" w:hAnsi="宋体" w:cs="Arial"/>
          <w:szCs w:val="24"/>
          <w:lang w:eastAsia="zh-CN"/>
        </w:rPr>
        <w:t>将购买2台电梯，</w:t>
      </w:r>
      <w:r>
        <w:rPr>
          <w:rFonts w:hint="eastAsia" w:ascii="宋体" w:hAnsi="宋体"/>
          <w:lang w:eastAsia="zh-CN"/>
        </w:rPr>
        <w:t>用于</w:t>
      </w:r>
      <w:r>
        <w:rPr>
          <w:rFonts w:hint="eastAsia"/>
          <w:szCs w:val="21"/>
          <w:lang w:eastAsia="zh-CN"/>
        </w:rPr>
        <w:t>实验动物室实验动物生产二号楼</w:t>
      </w:r>
      <w:r>
        <w:rPr>
          <w:rFonts w:hint="eastAsia" w:ascii="宋体" w:hAnsi="宋体"/>
          <w:lang w:eastAsia="zh-CN"/>
        </w:rPr>
        <w:t>物流入口和物流出口处（原）2台电梯的更换</w:t>
      </w:r>
      <w:r>
        <w:rPr>
          <w:rFonts w:hint="eastAsia"/>
          <w:i/>
          <w:color w:val="4472C4"/>
          <w:szCs w:val="21"/>
          <w:lang w:eastAsia="zh-CN"/>
        </w:rPr>
        <w:t>。</w:t>
      </w:r>
      <w:permEnd w:id="7"/>
    </w:p>
    <w:p>
      <w:pPr>
        <w:pStyle w:val="30"/>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Lines="50"/>
        <w:ind w:left="425" w:firstLine="0" w:firstLineChars="0"/>
        <w:rPr>
          <w:rFonts w:ascii="Times New Roman" w:hAnsi="Times New Roman"/>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12"/>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9" w:edGrp="everyone"/>
          </w:p>
        </w:tc>
        <w:tc>
          <w:tcPr>
            <w:tcW w:w="7128" w:type="dxa"/>
            <w:vAlign w:val="center"/>
          </w:tcPr>
          <w:p>
            <w:pPr>
              <w:pStyle w:val="35"/>
              <w:spacing w:before="0" w:after="0"/>
              <w:ind w:right="-6"/>
              <w:rPr>
                <w:rFonts w:ascii="宋体" w:hAnsi="宋体"/>
                <w:color w:val="000000"/>
                <w:szCs w:val="21"/>
                <w:lang w:eastAsia="zh-CN"/>
              </w:rPr>
            </w:pPr>
            <w:r>
              <w:rPr>
                <w:rFonts w:hint="eastAsia" w:ascii="宋体" w:hAnsi="宋体"/>
                <w:lang w:eastAsia="zh-CN"/>
              </w:rPr>
              <w:t>拆除2台旧货梯，将2台新购电梯安装于实验动生产二号楼物流入口和物流入口处电梯井内。</w:t>
            </w:r>
          </w:p>
        </w:tc>
        <w:tc>
          <w:tcPr>
            <w:tcW w:w="2125" w:type="dxa"/>
            <w:gridSpan w:val="2"/>
            <w:vAlign w:val="center"/>
          </w:tcPr>
          <w:p>
            <w:pPr>
              <w:jc w:val="center"/>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pStyle w:val="35"/>
              <w:spacing w:before="0" w:after="0"/>
              <w:ind w:right="-6"/>
              <w:rPr>
                <w:rFonts w:ascii="宋体" w:hAnsi="宋体"/>
                <w:color w:val="000000"/>
                <w:sz w:val="24"/>
                <w:lang w:eastAsia="zh-CN"/>
              </w:rPr>
            </w:pPr>
            <w:r>
              <w:rPr>
                <w:rFonts w:hint="eastAsia" w:ascii="宋体" w:hAnsi="宋体"/>
                <w:lang w:eastAsia="zh-CN"/>
              </w:rPr>
              <w:t>货梯轿厢尺寸（mm）：1500（宽）*1600（深）*2200（高），井道尺寸（mm）：2000*2200。</w:t>
            </w:r>
            <w:r>
              <w:rPr>
                <w:rFonts w:hint="eastAsia" w:ascii="宋体" w:hAnsi="宋体" w:cs="宋体"/>
                <w:lang w:eastAsia="zh-CN"/>
              </w:rPr>
              <w:t>供应商需到现场勘查后，以实际测量尺寸为准。</w:t>
            </w:r>
          </w:p>
        </w:tc>
        <w:tc>
          <w:tcPr>
            <w:tcW w:w="2125" w:type="dxa"/>
            <w:gridSpan w:val="2"/>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pStyle w:val="35"/>
              <w:spacing w:before="0" w:after="0"/>
              <w:ind w:right="-6"/>
              <w:rPr>
                <w:rFonts w:ascii="宋体" w:hAnsi="宋体"/>
                <w:lang w:eastAsia="zh-CN"/>
              </w:rPr>
            </w:pPr>
            <w:r>
              <w:rPr>
                <w:rFonts w:hint="eastAsia" w:ascii="宋体" w:hAnsi="宋体"/>
                <w:lang w:eastAsia="zh-CN"/>
              </w:rPr>
              <w:t>货梯电梯门尺寸为900mm*2000mm，</w:t>
            </w:r>
            <w:r>
              <w:rPr>
                <w:rFonts w:hint="eastAsia" w:ascii="宋体" w:hAnsi="宋体" w:cs="宋体"/>
                <w:lang w:eastAsia="zh-CN"/>
              </w:rPr>
              <w:t>供应商需到现场勘查后，以实际测量尺寸为准。</w:t>
            </w:r>
          </w:p>
        </w:tc>
        <w:tc>
          <w:tcPr>
            <w:tcW w:w="2125" w:type="dxa"/>
            <w:gridSpan w:val="2"/>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ermStart w:id="12" w:edGrp="everyone"/>
          </w:p>
        </w:tc>
        <w:tc>
          <w:tcPr>
            <w:tcW w:w="7140" w:type="dxa"/>
            <w:gridSpan w:val="2"/>
            <w:vAlign w:val="center"/>
          </w:tcPr>
          <w:p>
            <w:pPr>
              <w:rPr>
                <w:color w:val="000000"/>
                <w:szCs w:val="21"/>
                <w:lang w:eastAsia="zh-CN"/>
              </w:rPr>
            </w:pPr>
            <w:r>
              <w:rPr>
                <w:rFonts w:hint="eastAsia" w:ascii="宋体" w:hAnsi="宋体"/>
                <w:color w:val="000000"/>
              </w:rPr>
              <w:t>至少可承重</w:t>
            </w:r>
            <w:r>
              <w:rPr>
                <w:rFonts w:hint="eastAsia" w:ascii="宋体" w:hAnsi="宋体"/>
                <w:color w:val="000000"/>
                <w:lang w:eastAsia="zh-CN"/>
              </w:rPr>
              <w:t>10</w:t>
            </w:r>
            <w:r>
              <w:rPr>
                <w:rFonts w:hint="eastAsia" w:ascii="宋体" w:hAnsi="宋体"/>
                <w:color w:val="000000"/>
              </w:rPr>
              <w:t>00kg</w:t>
            </w:r>
            <w:r>
              <w:rPr>
                <w:rFonts w:hint="eastAsia" w:ascii="宋体" w:hAnsi="宋体"/>
                <w:color w:val="000000"/>
                <w:lang w:eastAsia="zh-CN"/>
              </w:rPr>
              <w:t>。</w:t>
            </w:r>
          </w:p>
        </w:tc>
        <w:tc>
          <w:tcPr>
            <w:tcW w:w="2113"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3" w:edGrp="everyone"/>
          </w:p>
        </w:tc>
        <w:tc>
          <w:tcPr>
            <w:tcW w:w="9253" w:type="dxa"/>
            <w:gridSpan w:val="3"/>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350"/>
              <w:rPr>
                <w:szCs w:val="21"/>
                <w:lang w:eastAsia="zh-CN"/>
              </w:rPr>
            </w:pPr>
            <w:permStart w:id="14" w:edGrp="everyone"/>
          </w:p>
        </w:tc>
        <w:tc>
          <w:tcPr>
            <w:tcW w:w="9253" w:type="dxa"/>
            <w:gridSpan w:val="3"/>
            <w:vAlign w:val="center"/>
          </w:tcPr>
          <w:p>
            <w:pPr>
              <w:rPr>
                <w:szCs w:val="21"/>
                <w:lang w:eastAsia="zh-CN"/>
              </w:rPr>
            </w:pPr>
            <w:r>
              <w:rPr>
                <w:rFonts w:hint="eastAsia"/>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lang w:eastAsia="zh-CN"/>
              </w:rPr>
            </w:pPr>
            <w:r>
              <w:rPr>
                <w:rFonts w:hint="eastAsia" w:ascii="宋体" w:hAnsi="宋体" w:cs="宋体"/>
                <w:szCs w:val="24"/>
                <w:lang w:eastAsia="zh-CN"/>
              </w:rPr>
              <w:t>电源：交流380V/220V，三相五线制，电压波动≤±7%。</w:t>
            </w:r>
          </w:p>
        </w:tc>
        <w:tc>
          <w:tcPr>
            <w:tcW w:w="2125" w:type="dxa"/>
            <w:gridSpan w:val="2"/>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电梯品牌：使用进口品牌或合资品牌。</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szCs w:val="21"/>
                <w:lang w:eastAsia="zh-CN"/>
              </w:rPr>
            </w:pPr>
            <w:r>
              <w:rPr>
                <w:rFonts w:hint="eastAsia" w:ascii="宋体" w:hAnsi="宋体" w:cs="宋体"/>
                <w:szCs w:val="21"/>
                <w:lang w:eastAsia="zh-CN"/>
              </w:rPr>
              <w:t>小门套：不锈钢板/大理石（</w:t>
            </w:r>
            <w:r>
              <w:rPr>
                <w:rFonts w:hint="eastAsia" w:ascii="宋体" w:hAnsi="宋体" w:cs="宋体"/>
                <w:bCs/>
                <w:szCs w:val="21"/>
                <w:lang w:eastAsia="zh-CN"/>
              </w:rPr>
              <w:t>由承包方提供参考方案，以发包方确认为准后，由承包方负责安装</w:t>
            </w:r>
            <w:r>
              <w:rPr>
                <w:rFonts w:hint="eastAsia" w:ascii="宋体" w:hAnsi="宋体" w:cs="宋体"/>
                <w:szCs w:val="21"/>
                <w:lang w:eastAsia="zh-CN"/>
              </w:rPr>
              <w:t>）。</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梯厅门：304不锈钢。</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35"/>
              <w:spacing w:before="0" w:after="0"/>
              <w:ind w:right="-6"/>
              <w:rPr>
                <w:rFonts w:ascii="宋体" w:hAnsi="宋体" w:cs="宋体"/>
                <w:szCs w:val="21"/>
                <w:lang w:eastAsia="zh-CN"/>
              </w:rPr>
            </w:pPr>
            <w:r>
              <w:rPr>
                <w:rFonts w:hint="eastAsia" w:ascii="宋体" w:hAnsi="宋体" w:cs="宋体"/>
                <w:szCs w:val="21"/>
                <w:lang w:eastAsia="zh-CN"/>
              </w:rPr>
              <w:t>厅门指示器：每层配梯层显示及方向显示。</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1"/>
                <w:lang w:eastAsia="zh-CN"/>
              </w:rPr>
              <w:t>厅门按钮：微动发光按钮，发纹304不锈钢。</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1"/>
                <w:lang w:eastAsia="zh-CN"/>
              </w:rPr>
              <w:t>轿厢：304不锈钢材质且在轿厢壁的三面安装不锈钢防撞板。在离轿厢底部10cm处的三面均安装不锈钢防撞板（轿厢门除外），防撞板宽20cm。厚约1cm。</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1"/>
                <w:lang w:eastAsia="zh-CN"/>
              </w:rPr>
              <w:t>轿厢门壁：304不锈钢。</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1"/>
                <w:lang w:eastAsia="zh-CN"/>
              </w:rPr>
              <w:t>轿厢天花：备紧急救生窗口。</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1"/>
                <w:lang w:eastAsia="zh-CN"/>
              </w:rPr>
              <w:t>轿厢信号装置：轿厢前板右侧高轿厢操作板，带楼层显示，发光数量按钮。</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1"/>
                <w:lang w:eastAsia="zh-CN"/>
              </w:rPr>
              <w:t>应在明显平整的部位上固定铭牌，其内容应包括：制造厂名；型号和名称；主要技术规格；制造编号；制造日期。</w:t>
            </w:r>
          </w:p>
        </w:tc>
        <w:tc>
          <w:tcPr>
            <w:tcW w:w="2125" w:type="dxa"/>
            <w:gridSpan w:val="2"/>
            <w:vAlign w:val="center"/>
          </w:tcPr>
          <w:p>
            <w:pPr>
              <w:jc w:val="center"/>
              <w:rPr>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宋体"/>
                <w:sz w:val="21"/>
                <w:szCs w:val="21"/>
                <w:lang w:eastAsia="zh-CN"/>
              </w:rPr>
            </w:pPr>
            <w:r>
              <w:rPr>
                <w:rFonts w:hint="eastAsia" w:ascii="宋体" w:hAnsi="宋体" w:cs="宋体"/>
                <w:sz w:val="21"/>
                <w:szCs w:val="24"/>
                <w:lang w:eastAsia="zh-CN"/>
              </w:rPr>
              <w:t>电梯轿厢装饰：提供不少于3款可免费选择的轿厢装饰，以发包方确认为准</w:t>
            </w:r>
          </w:p>
        </w:tc>
        <w:tc>
          <w:tcPr>
            <w:tcW w:w="2125" w:type="dxa"/>
            <w:gridSpan w:val="2"/>
            <w:vAlign w:val="center"/>
          </w:tcPr>
          <w:p>
            <w:pPr>
              <w:jc w:val="center"/>
              <w:rPr>
                <w:rFonts w:ascii="宋体" w:hAnsi="宋体" w:cs="宋体"/>
                <w:szCs w:val="21"/>
                <w:lang w:eastAsia="zh-CN"/>
              </w:rPr>
            </w:pPr>
            <w:r>
              <w:rPr>
                <w:rFonts w:hint="eastAsia" w:ascii="宋体" w:hAnsi="宋体" w:cs="宋体"/>
                <w:szCs w:val="21"/>
                <w:lang w:eastAsia="zh-CN"/>
              </w:rPr>
              <w:t>关键</w:t>
            </w:r>
          </w:p>
        </w:tc>
      </w:tr>
      <w:bookmarkEnd w:id="23"/>
      <w:bookmarkEnd w:id="24"/>
      <w:permEnd w:id="16"/>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7" w:edGrp="everyone"/>
            <w:permEnd w:id="1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8" w:edGrp="everyone"/>
          </w:p>
        </w:tc>
        <w:tc>
          <w:tcPr>
            <w:tcW w:w="9253" w:type="dxa"/>
            <w:gridSpan w:val="2"/>
            <w:vAlign w:val="center"/>
          </w:tcPr>
          <w:p>
            <w:pPr>
              <w:jc w:val="both"/>
              <w:rPr>
                <w:szCs w:val="21"/>
                <w:lang w:eastAsia="zh-CN"/>
              </w:rPr>
            </w:pPr>
            <w:r>
              <w:rPr>
                <w:rFonts w:hint="eastAsia"/>
                <w:lang w:eastAsia="zh-CN"/>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9" w:edGrp="everyone"/>
          </w:p>
        </w:tc>
        <w:tc>
          <w:tcPr>
            <w:tcW w:w="9253" w:type="dxa"/>
            <w:gridSpan w:val="2"/>
            <w:vAlign w:val="center"/>
          </w:tcPr>
          <w:p>
            <w:pPr>
              <w:jc w:val="both"/>
              <w:rPr>
                <w:szCs w:val="21"/>
                <w:lang w:eastAsia="zh-CN"/>
              </w:rPr>
            </w:pPr>
            <w:r>
              <w:rPr>
                <w:rFonts w:hint="eastAsia"/>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货梯载重1050kg。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货梯运行速度0.5m/s。</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货梯为3站3层。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7"/>
              <w:rPr>
                <w:rFonts w:ascii="宋体" w:hAnsi="宋体" w:eastAsia="宋体"/>
                <w:szCs w:val="21"/>
                <w:lang w:eastAsia="zh-CN"/>
              </w:rPr>
            </w:pPr>
            <w:r>
              <w:rPr>
                <w:rFonts w:hint="eastAsia" w:ascii="宋体" w:hAnsi="宋体" w:eastAsia="宋体"/>
                <w:szCs w:val="21"/>
                <w:lang w:eastAsia="zh-CN"/>
              </w:rPr>
              <w:t>功能配置</w:t>
            </w:r>
            <w:r>
              <w:rPr>
                <w:rFonts w:hint="eastAsia" w:ascii="宋体" w:hAnsi="宋体" w:eastAsia="宋体" w:cs="宋体"/>
                <w:szCs w:val="21"/>
                <w:lang w:eastAsia="zh-CN"/>
              </w:rPr>
              <w:t>：全集选；轿顶与机房控制屏设检修运行开关；超载不启动(含自动声光报警)；再平层；轿厢内紧急照明（突然断电立即自动接通）；故障时就近平层（含断电就近平层）；防干扰(捣机)功能；轿厢照明和风扇自动开关；故障诊断功能；急停操作；满载不停梯，外呼不应；强迫关门；轿厢数字式位置指示器；厅数字式位置指示器；消防服务(如非消防梯此项无)；机械式门安全保护；运程监控接口准备；</w:t>
            </w:r>
            <w:r>
              <w:rPr>
                <w:rFonts w:hint="eastAsia"/>
                <w:lang w:val="en-US" w:eastAsia="zh-CN"/>
              </w:rPr>
              <w:t>安装1个数字信号的高清摄像头和内置电话，接通到监控室</w:t>
            </w:r>
            <w:r>
              <w:rPr>
                <w:rFonts w:hint="eastAsia" w:ascii="宋体" w:hAnsi="宋体" w:eastAsia="宋体" w:cs="宋体"/>
                <w:szCs w:val="21"/>
                <w:lang w:eastAsia="zh-CN"/>
              </w:rPr>
              <w:t>；安全门销装置；一楼厅处停用开关；火警紧急返回到基站；警铃装置；电梯运行管理系统；轿厢由轿顶、机房控制屏设检修运行开关。</w:t>
            </w:r>
          </w:p>
        </w:tc>
        <w:tc>
          <w:tcPr>
            <w:tcW w:w="2125" w:type="dxa"/>
            <w:vAlign w:val="center"/>
          </w:tcPr>
          <w:p>
            <w:pPr>
              <w:jc w:val="center"/>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货梯轿厢内需安装防撞设施（由承包方提供参考方案，以发包方确认为准后，由承包方负责安装）。具体见URS.11.</w:t>
            </w:r>
          </w:p>
        </w:tc>
        <w:tc>
          <w:tcPr>
            <w:tcW w:w="2125" w:type="dxa"/>
            <w:vAlign w:val="center"/>
          </w:tcPr>
          <w:p>
            <w:pPr>
              <w:jc w:val="center"/>
              <w:rPr>
                <w:szCs w:val="21"/>
                <w:lang w:eastAsia="zh-CN"/>
              </w:rPr>
            </w:pPr>
            <w:r>
              <w:rPr>
                <w:rFonts w:hint="eastAsia"/>
                <w:szCs w:val="21"/>
                <w:lang w:eastAsia="zh-CN"/>
              </w:rPr>
              <w:t>关键</w:t>
            </w:r>
          </w:p>
        </w:tc>
      </w:tr>
      <w:permEnd w:id="21"/>
    </w:tbl>
    <w:p>
      <w:pPr>
        <w:pStyle w:val="30"/>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1702480"/>
      <w:bookmarkStart w:id="31" w:name="_Toc482360291"/>
      <w:bookmarkStart w:id="32" w:name="_Toc482369815"/>
      <w:bookmarkStart w:id="33" w:name="_Toc482370071"/>
      <w:bookmarkStart w:id="34" w:name="_Toc482359946"/>
      <w:bookmarkStart w:id="35" w:name="_Toc482625289"/>
      <w:bookmarkStart w:id="36" w:name="_Toc483400317"/>
      <w:bookmarkStart w:id="37" w:name="_Toc482370767"/>
      <w:bookmarkStart w:id="38" w:name="_Toc482717202"/>
      <w:bookmarkStart w:id="39" w:name="_Toc483227237"/>
      <w:bookmarkStart w:id="40" w:name="_Toc482370151"/>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2" w:edGrp="everyone"/>
            <w:permEnd w:id="2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pStyle w:val="7"/>
              <w:rPr>
                <w:lang w:eastAsia="zh-CN"/>
              </w:rPr>
            </w:pPr>
            <w:r>
              <w:rPr>
                <w:rFonts w:hint="eastAsia" w:ascii="宋体" w:hAnsi="宋体" w:cs="宋体"/>
                <w:szCs w:val="21"/>
                <w:lang w:eastAsia="zh-CN"/>
              </w:rPr>
              <w:t>控制系统：全电脑集选控制，控制主板为电梯专用产品，</w:t>
            </w:r>
            <w:r>
              <w:rPr>
                <w:rFonts w:hint="eastAsia"/>
                <w:lang w:eastAsia="zh-CN"/>
              </w:rPr>
              <w:t>能实现自动运行和司机运行两个模式之间的转换。</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操作系统：32位全电脑模块化或数据网络并联控制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szCs w:val="21"/>
                <w:lang w:eastAsia="zh-CN"/>
              </w:rPr>
              <w:t>拖动系统：永磁同步无齿轮曳引机，交流变频变压（VVVF）调速驱动系统，知名品牌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szCs w:val="21"/>
                <w:lang w:eastAsia="zh-CN"/>
              </w:rPr>
              <w:t>门机系统：VVVF变频变压调速系统，知名品牌</w:t>
            </w:r>
          </w:p>
        </w:tc>
        <w:tc>
          <w:tcPr>
            <w:tcW w:w="2125" w:type="dxa"/>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5" w:edGrp="everyone"/>
          </w:p>
        </w:tc>
        <w:tc>
          <w:tcPr>
            <w:tcW w:w="9253" w:type="dxa"/>
            <w:gridSpan w:val="2"/>
            <w:vAlign w:val="center"/>
          </w:tcPr>
          <w:p>
            <w:pPr>
              <w:jc w:val="both"/>
              <w:rPr>
                <w:szCs w:val="21"/>
                <w:lang w:eastAsia="zh-CN"/>
              </w:rPr>
            </w:pPr>
            <w:r>
              <w:rPr>
                <w:rFonts w:hint="eastAsia"/>
                <w:szCs w:val="21"/>
                <w:lang w:eastAsia="zh-CN"/>
              </w:rPr>
              <w:t>N/A</w:t>
            </w:r>
          </w:p>
        </w:tc>
      </w:tr>
      <w:permEnd w:id="25"/>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7" w:edGrp="everyone"/>
          </w:p>
        </w:tc>
        <w:tc>
          <w:tcPr>
            <w:tcW w:w="9253" w:type="dxa"/>
            <w:gridSpan w:val="2"/>
            <w:vAlign w:val="center"/>
          </w:tcPr>
          <w:p>
            <w:pPr>
              <w:jc w:val="both"/>
              <w:rPr>
                <w:szCs w:val="21"/>
                <w:lang w:eastAsia="zh-CN"/>
              </w:rPr>
            </w:pPr>
            <w:r>
              <w:rPr>
                <w:rFonts w:hint="eastAsia"/>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color w:val="000000"/>
                <w:szCs w:val="21"/>
                <w:lang w:eastAsia="zh-CN"/>
              </w:rPr>
            </w:pPr>
            <w:r>
              <w:rPr>
                <w:rFonts w:hint="eastAsia" w:ascii="宋体" w:hAnsi="宋体" w:cs="宋体"/>
                <w:szCs w:val="21"/>
                <w:lang w:eastAsia="zh-CN"/>
              </w:rPr>
              <w:t>安全保护装置：安全钳：渐进式安全钳，知名品牌；限速器：双向超速保护, 知名品牌；钢绳和电缆：国家定点生产厂家的产品，与主机配套；导轨：国内优质产品，知名品牌；超载保护装置；防夹功能：采用红外线门保护光幕功能系统。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电梯导轨间距：每档之间距离约1.6-2m之间。</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消防功能：电梯按消防功能进行配置。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仪器要有漏电保护功能和</w:t>
            </w:r>
            <w:r>
              <w:rPr>
                <w:rFonts w:hint="eastAsia"/>
                <w:lang w:eastAsia="zh-CN"/>
              </w:rPr>
              <w:t>过流保护功能</w:t>
            </w:r>
            <w:r>
              <w:rPr>
                <w:rFonts w:hint="eastAsia" w:ascii="宋体" w:hAnsi="宋体" w:cs="宋体"/>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电气安全应符合GB4793.1和GB4793.4的要求</w:t>
            </w:r>
          </w:p>
        </w:tc>
        <w:tc>
          <w:tcPr>
            <w:tcW w:w="2125" w:type="dxa"/>
            <w:vAlign w:val="center"/>
          </w:tcPr>
          <w:p>
            <w:pPr>
              <w:jc w:val="center"/>
              <w:rPr>
                <w:szCs w:val="21"/>
                <w:lang w:eastAsia="zh-CN"/>
              </w:rPr>
            </w:pPr>
            <w:r>
              <w:rPr>
                <w:rFonts w:hint="eastAsia"/>
                <w:szCs w:val="21"/>
                <w:lang w:eastAsia="zh-CN"/>
              </w:rPr>
              <w:t>关键</w:t>
            </w:r>
          </w:p>
        </w:tc>
      </w:tr>
      <w:permEnd w:id="28"/>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rPr>
                <w:rFonts w:ascii="宋体" w:hAnsi="宋体"/>
                <w:lang w:eastAsia="zh-CN"/>
              </w:rPr>
            </w:pPr>
            <w:r>
              <w:rPr>
                <w:rFonts w:hint="eastAsia" w:ascii="宋体" w:hAnsi="宋体"/>
                <w:szCs w:val="21"/>
                <w:lang w:eastAsia="zh-CN"/>
              </w:rPr>
              <w:t>供应商为制造商的，须同时具备国家质量监督检验检疫总局颁发的《中华人民共和国特种设备制造许可证》曳引与强制驱动电梯A级（含）；国家质量监督检验检疫总局颁发的《中华人民共和国特种设备安装改造维修许可证》安装、维修B级（含）以上。供应商为经销商或代理商须具备国家质量监督检验检疫总局颁发的《中华人民共和国特种设备安装改造维修许可证》安装、维修</w:t>
            </w:r>
            <w:r>
              <w:rPr>
                <w:rFonts w:ascii="宋体" w:hAnsi="宋体"/>
                <w:szCs w:val="21"/>
                <w:lang w:eastAsia="zh-CN"/>
              </w:rPr>
              <w:t>B</w:t>
            </w:r>
            <w:r>
              <w:rPr>
                <w:rFonts w:hint="eastAsia" w:ascii="宋体" w:hAnsi="宋体"/>
                <w:szCs w:val="21"/>
                <w:lang w:eastAsia="zh-CN"/>
              </w:rPr>
              <w:t>级（含）以上,并获得具备国家质量监督检验检疫总局颁发的《中华人民共和国特种设备制造许可证》曳引与强制驱动电梯A级（含）以上制造商的授权。</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ascii="宋体" w:hAnsi="宋体"/>
                <w:lang w:eastAsia="zh-CN"/>
              </w:rPr>
              <w:t>设备开箱验收时供应商提供</w:t>
            </w:r>
            <w:r>
              <w:rPr>
                <w:color w:val="000000"/>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rPr>
                <w:szCs w:val="21"/>
                <w:lang w:eastAsia="zh-CN"/>
              </w:rPr>
            </w:pPr>
            <w:r>
              <w:rPr>
                <w:rFonts w:hint="eastAsia" w:ascii="宋体" w:hAnsi="宋体"/>
                <w:lang w:eastAsia="zh-CN"/>
              </w:rPr>
              <w:t>设备开箱验收时供应商提供</w:t>
            </w:r>
            <w:r>
              <w:rPr>
                <w:color w:val="000000"/>
                <w:szCs w:val="21"/>
                <w:lang w:eastAsia="zh-CN"/>
              </w:rPr>
              <w:t>卖方发运清单及相关检验报告。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功能设计说明，配置清单与说明</w:t>
            </w:r>
            <w:r>
              <w:rPr>
                <w:rFonts w:hint="eastAsia"/>
                <w:color w:val="000000"/>
                <w:szCs w:val="21"/>
                <w:lang w:eastAsia="zh-CN"/>
              </w:rPr>
              <w:t>，包含各组件名称、编号、型号、规格、品牌、材质等。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图纸：实物图；各种确认、维修等活动所需的电子版及打印版图纸（尺寸图、电气图、布局图、安装连接图、细节图、PLC图等）、P&amp;ID图（至少是控制原理图）、构架图等；图纸说明及清单。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设备开箱验收时供应商提供</w:t>
            </w:r>
            <w:r>
              <w:rPr>
                <w:color w:val="000000"/>
                <w:szCs w:val="21"/>
                <w:lang w:eastAsia="zh-CN"/>
              </w:rPr>
              <w:t>设备制造文件：工厂实验报告、材质（包括关键部件等）报告、合格证</w:t>
            </w:r>
            <w:r>
              <w:rPr>
                <w:rFonts w:hint="eastAsia"/>
                <w:color w:val="000000"/>
                <w:szCs w:val="21"/>
                <w:lang w:eastAsia="zh-CN"/>
              </w:rPr>
              <w:t>、</w:t>
            </w:r>
            <w:r>
              <w:rPr>
                <w:rFonts w:hint="eastAsia"/>
                <w:lang w:eastAsia="zh-CN"/>
              </w:rPr>
              <w:t>限速器及安全钳调试证书、型式试验报告、电梯使用说明书、维护及营救说明书等电梯相关资料。</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材料清单及材料证书（写明材料有效期）。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组件清单，包括名称、编号、对应厂家名称、生产地、规格及必要说明。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调试文件：调试计划、调试方案、设备测试记录，检测清单，测试报告，调试总结报告、现场验收报告等。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仪器仪表清单和相关校验报告及计量证书（提供所有在该设备上安装的仪表、传感器的校验证书，且证书有效期自设备到货之日起不少于8个月）。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提供必要的设备及其零部件使用寿命说明并注明组件的保修期。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ascii="宋体" w:hAnsi="宋体"/>
                <w:lang w:eastAsia="zh-CN"/>
              </w:rPr>
              <w:t>设备开箱验收时供应商提供</w:t>
            </w:r>
            <w:r>
              <w:rPr>
                <w:color w:val="000000"/>
                <w:szCs w:val="21"/>
                <w:lang w:eastAsia="zh-CN"/>
              </w:rPr>
              <w:t>使用操作说明书及维护保养说明书</w:t>
            </w:r>
            <w:r>
              <w:rPr>
                <w:rFonts w:hint="eastAsia"/>
                <w:color w:val="000000"/>
                <w:szCs w:val="21"/>
                <w:lang w:eastAsia="zh-CN"/>
              </w:rPr>
              <w:t>（中文版本）3份</w:t>
            </w:r>
            <w:r>
              <w:rPr>
                <w:color w:val="000000"/>
                <w:szCs w:val="21"/>
                <w:lang w:eastAsia="zh-CN"/>
              </w:rPr>
              <w:t>，所有技术、确认、说明文件均提供电子版。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安全报告。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lang w:eastAsia="zh-CN"/>
              </w:rPr>
              <w:t>电梯安装前，安装方须到江夏区市场监督管理局办理电梯安装告知手续，并将告知书交武汉公司安全管理部备案。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电梯安装完成后的15日内，供货商须向武汉市特种设备监督检验所办理电梯的监督检验和使用登记手续，检验证书和使用登记证交武汉公司安全管理部备案。</w:t>
            </w:r>
          </w:p>
        </w:tc>
        <w:tc>
          <w:tcPr>
            <w:tcW w:w="2125" w:type="dxa"/>
            <w:vAlign w:val="center"/>
          </w:tcPr>
          <w:p>
            <w:pPr>
              <w:jc w:val="center"/>
              <w:rPr>
                <w:szCs w:val="21"/>
                <w:lang w:eastAsia="zh-CN"/>
              </w:rPr>
            </w:pPr>
            <w:r>
              <w:rPr>
                <w:rFonts w:hint="eastAsia"/>
                <w:szCs w:val="21"/>
                <w:lang w:eastAsia="zh-CN"/>
              </w:rPr>
              <w:t>关键</w:t>
            </w:r>
          </w:p>
        </w:tc>
      </w:tr>
      <w:permEnd w:id="31"/>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w:t>
            </w:r>
            <w:r>
              <w:rPr>
                <w:rFonts w:hint="eastAsia"/>
                <w:lang w:eastAsia="zh-CN"/>
              </w:rPr>
              <w:t>培训要求为使用人员能正确操作设备。</w:t>
            </w:r>
          </w:p>
        </w:tc>
        <w:tc>
          <w:tcPr>
            <w:tcW w:w="2125"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szCs w:val="21"/>
                <w:lang w:eastAsia="zh-CN"/>
              </w:rPr>
            </w:pPr>
            <w:r>
              <w:rPr>
                <w:rFonts w:hint="eastAsia" w:ascii="宋体" w:hAnsi="宋体"/>
                <w:color w:val="000000"/>
                <w:szCs w:val="21"/>
                <w:lang w:eastAsia="zh-CN"/>
              </w:rPr>
              <w:t>应配备可锁定的坚固运输箱。</w:t>
            </w:r>
            <w:r>
              <w:rPr>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color w:val="FF0000"/>
                <w:szCs w:val="21"/>
              </w:rPr>
            </w:pPr>
            <w:permStart w:id="35" w:edGrp="everyone"/>
          </w:p>
        </w:tc>
        <w:tc>
          <w:tcPr>
            <w:tcW w:w="9253" w:type="dxa"/>
            <w:gridSpan w:val="2"/>
            <w:vAlign w:val="center"/>
          </w:tcPr>
          <w:p>
            <w:pPr>
              <w:spacing w:line="360" w:lineRule="auto"/>
              <w:rPr>
                <w:szCs w:val="21"/>
                <w:lang w:eastAsia="zh-CN"/>
              </w:rPr>
            </w:pPr>
            <w:r>
              <w:rPr>
                <w:szCs w:val="21"/>
                <w:lang w:eastAsia="zh-CN"/>
              </w:rP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设备保质期从设备验收合格之日起计算</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电梯的质保期为一年，需通过特种设备检测部门验收并取得登记合格证，从业主验收合格之日起计算，质量保证期内出现非人为因素损坏的，一律免费维修或更换配件，质保期内出现故障或质量问题，到达安装现场的响应时间不得超过24小时。供货方也可根据自己的情况，提出售前、售后服务内容，优惠条款及有关承诺，但不得低于上述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要求设备在签订合同后60天内到货。</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rFonts w:hint="eastAsia" w:ascii="宋体" w:hAnsi="宋体"/>
                <w:color w:val="000000"/>
                <w:szCs w:val="21"/>
                <w:lang w:eastAsia="zh-CN"/>
              </w:rPr>
              <w:t>货物到达使用现场后，由买卖双方共同验收，卖方工程师免费为买方提供安装调试。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供应商进厂安装需遵守安全和安装规定。</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最后验收前必须保证所有的验收工作已完成和达到要求。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确认验收合格后，买卖双方签订验收报告。确认验收合格应包含所有附件及备件。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设备在交付使用前必须通过安装所在地质监局及安装所在地特种设备监督管理局的验收并取得使用证。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整套设备图纸及技术文件都己提交并得到接受投标人在投标时必须提供设备制造、安装调试及检验、验收的国家、行业或企业标准清单，并严格按照有关标准组织生产和验收。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采购设备的设计、制造、安装、调试、记录、试运行与验收及技术监督部门办证等必须符合国家标准GB 7588-2003《电梯制造与安装安全规范》、GBl0060—2011《电梯安装验收规范》中的有关规定，中标人应确保通过安全监督部门合格、发给准用证等，直至拿到质量管理部门和劳动部门的验收证书，以上一切费用均由中标人承担。</w:t>
            </w:r>
          </w:p>
        </w:tc>
        <w:tc>
          <w:tcPr>
            <w:tcW w:w="2125"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color w:val="000000"/>
                <w:szCs w:val="21"/>
                <w:lang w:eastAsia="zh-CN"/>
              </w:rPr>
              <w:t>使用方在设备到货后，厂家需陪同检查确认数量、质量、外包装和相关资质证明是否符合本URS要求。若不符合按合同要求处理。</w:t>
            </w:r>
          </w:p>
        </w:tc>
        <w:tc>
          <w:tcPr>
            <w:tcW w:w="2125" w:type="dxa"/>
            <w:vAlign w:val="center"/>
          </w:tcPr>
          <w:p>
            <w:pPr>
              <w:jc w:val="center"/>
              <w:rPr>
                <w:szCs w:val="21"/>
                <w:lang w:eastAsia="zh-CN"/>
              </w:rPr>
            </w:pPr>
            <w:r>
              <w:rPr>
                <w:rFonts w:hint="eastAsia"/>
                <w:szCs w:val="21"/>
                <w:lang w:eastAsia="zh-CN"/>
              </w:rPr>
              <w:t>关键</w:t>
            </w:r>
          </w:p>
        </w:tc>
      </w:tr>
      <w:permEnd w:id="39"/>
    </w:tbl>
    <w:p/>
    <w:p>
      <w:pPr>
        <w:pStyle w:val="30"/>
        <w:numPr>
          <w:ilvl w:val="0"/>
          <w:numId w:val="3"/>
        </w:numPr>
        <w:spacing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40" w:edGrp="everyone"/>
      <w:r>
        <w:rPr>
          <w:rFonts w:hint="eastAsia"/>
          <w:szCs w:val="21"/>
          <w:lang w:eastAsia="zh-CN"/>
        </w:rPr>
        <w:t>N/A</w:t>
      </w:r>
      <w:permEnd w:id="40"/>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color w:va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056E"/>
    <w:rsid w:val="00000DBC"/>
    <w:rsid w:val="00001AE0"/>
    <w:rsid w:val="000021A6"/>
    <w:rsid w:val="00002F06"/>
    <w:rsid w:val="000038A4"/>
    <w:rsid w:val="0000520B"/>
    <w:rsid w:val="000059AD"/>
    <w:rsid w:val="00005CB9"/>
    <w:rsid w:val="00005E76"/>
    <w:rsid w:val="00006273"/>
    <w:rsid w:val="00006FD5"/>
    <w:rsid w:val="0001160E"/>
    <w:rsid w:val="0001169C"/>
    <w:rsid w:val="000117C7"/>
    <w:rsid w:val="00012EC4"/>
    <w:rsid w:val="00015DA5"/>
    <w:rsid w:val="000169DD"/>
    <w:rsid w:val="00020FEA"/>
    <w:rsid w:val="00022818"/>
    <w:rsid w:val="000233DE"/>
    <w:rsid w:val="00023B07"/>
    <w:rsid w:val="00023CAD"/>
    <w:rsid w:val="0002457E"/>
    <w:rsid w:val="000275E7"/>
    <w:rsid w:val="000303D0"/>
    <w:rsid w:val="00031243"/>
    <w:rsid w:val="00031900"/>
    <w:rsid w:val="000355F3"/>
    <w:rsid w:val="00037846"/>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D1"/>
    <w:rsid w:val="00056AE2"/>
    <w:rsid w:val="00056E9E"/>
    <w:rsid w:val="00057046"/>
    <w:rsid w:val="000576C2"/>
    <w:rsid w:val="00063572"/>
    <w:rsid w:val="00063B90"/>
    <w:rsid w:val="00064A43"/>
    <w:rsid w:val="000662D2"/>
    <w:rsid w:val="00071DD4"/>
    <w:rsid w:val="00072340"/>
    <w:rsid w:val="00072945"/>
    <w:rsid w:val="00073B81"/>
    <w:rsid w:val="00074095"/>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4BBE"/>
    <w:rsid w:val="00115728"/>
    <w:rsid w:val="001163FC"/>
    <w:rsid w:val="00116F39"/>
    <w:rsid w:val="00117A01"/>
    <w:rsid w:val="0012139A"/>
    <w:rsid w:val="00121B6E"/>
    <w:rsid w:val="00122051"/>
    <w:rsid w:val="00124244"/>
    <w:rsid w:val="00124E69"/>
    <w:rsid w:val="00125CC1"/>
    <w:rsid w:val="001273B0"/>
    <w:rsid w:val="00127CB8"/>
    <w:rsid w:val="00127F69"/>
    <w:rsid w:val="00130EE1"/>
    <w:rsid w:val="001313C3"/>
    <w:rsid w:val="00132F4C"/>
    <w:rsid w:val="00134C68"/>
    <w:rsid w:val="00135FD6"/>
    <w:rsid w:val="001374CF"/>
    <w:rsid w:val="001418E3"/>
    <w:rsid w:val="00142976"/>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7E6"/>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863"/>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5ABB"/>
    <w:rsid w:val="001B7309"/>
    <w:rsid w:val="001B7651"/>
    <w:rsid w:val="001C017B"/>
    <w:rsid w:val="001C239E"/>
    <w:rsid w:val="001C2D7E"/>
    <w:rsid w:val="001C5190"/>
    <w:rsid w:val="001D1FA0"/>
    <w:rsid w:val="001D32D4"/>
    <w:rsid w:val="001D3C96"/>
    <w:rsid w:val="001D4383"/>
    <w:rsid w:val="001D4742"/>
    <w:rsid w:val="001D474B"/>
    <w:rsid w:val="001D48B0"/>
    <w:rsid w:val="001D5549"/>
    <w:rsid w:val="001D71C5"/>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2C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02E7"/>
    <w:rsid w:val="00230BEE"/>
    <w:rsid w:val="002320D9"/>
    <w:rsid w:val="00234C07"/>
    <w:rsid w:val="002355FF"/>
    <w:rsid w:val="002367A6"/>
    <w:rsid w:val="00236BE9"/>
    <w:rsid w:val="00237E6C"/>
    <w:rsid w:val="002409AA"/>
    <w:rsid w:val="00240A09"/>
    <w:rsid w:val="00240B1E"/>
    <w:rsid w:val="00241437"/>
    <w:rsid w:val="0024371E"/>
    <w:rsid w:val="0024472D"/>
    <w:rsid w:val="00245088"/>
    <w:rsid w:val="002521CC"/>
    <w:rsid w:val="00253242"/>
    <w:rsid w:val="002547BF"/>
    <w:rsid w:val="002548CA"/>
    <w:rsid w:val="0025531B"/>
    <w:rsid w:val="002560F9"/>
    <w:rsid w:val="00257517"/>
    <w:rsid w:val="00257FA9"/>
    <w:rsid w:val="00261154"/>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EB0"/>
    <w:rsid w:val="00293E83"/>
    <w:rsid w:val="0029741F"/>
    <w:rsid w:val="00297DDC"/>
    <w:rsid w:val="002A06AC"/>
    <w:rsid w:val="002A18C8"/>
    <w:rsid w:val="002A42F8"/>
    <w:rsid w:val="002A52BA"/>
    <w:rsid w:val="002A547B"/>
    <w:rsid w:val="002A588E"/>
    <w:rsid w:val="002A6D59"/>
    <w:rsid w:val="002A7980"/>
    <w:rsid w:val="002B0A7C"/>
    <w:rsid w:val="002B14F3"/>
    <w:rsid w:val="002B480A"/>
    <w:rsid w:val="002B67A2"/>
    <w:rsid w:val="002B6854"/>
    <w:rsid w:val="002C1817"/>
    <w:rsid w:val="002C1DAB"/>
    <w:rsid w:val="002C244E"/>
    <w:rsid w:val="002C2AA3"/>
    <w:rsid w:val="002C2EFA"/>
    <w:rsid w:val="002C4FCF"/>
    <w:rsid w:val="002C527C"/>
    <w:rsid w:val="002C6F6B"/>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37FE"/>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5FE8"/>
    <w:rsid w:val="0033695C"/>
    <w:rsid w:val="00341B2F"/>
    <w:rsid w:val="00342915"/>
    <w:rsid w:val="00344B04"/>
    <w:rsid w:val="00345847"/>
    <w:rsid w:val="00347576"/>
    <w:rsid w:val="00347772"/>
    <w:rsid w:val="00347A51"/>
    <w:rsid w:val="00347B19"/>
    <w:rsid w:val="003531FA"/>
    <w:rsid w:val="0035416F"/>
    <w:rsid w:val="003544A8"/>
    <w:rsid w:val="003549FE"/>
    <w:rsid w:val="00355AAC"/>
    <w:rsid w:val="00355D7D"/>
    <w:rsid w:val="00364544"/>
    <w:rsid w:val="003647CA"/>
    <w:rsid w:val="00365419"/>
    <w:rsid w:val="00370514"/>
    <w:rsid w:val="0037056A"/>
    <w:rsid w:val="003726DF"/>
    <w:rsid w:val="0037345A"/>
    <w:rsid w:val="00373FFA"/>
    <w:rsid w:val="0037455F"/>
    <w:rsid w:val="00376C31"/>
    <w:rsid w:val="00380C9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697F"/>
    <w:rsid w:val="003970BE"/>
    <w:rsid w:val="00397C18"/>
    <w:rsid w:val="003A04A8"/>
    <w:rsid w:val="003A1311"/>
    <w:rsid w:val="003A2293"/>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3FC4"/>
    <w:rsid w:val="003D464A"/>
    <w:rsid w:val="003D4EFF"/>
    <w:rsid w:val="003D5F4A"/>
    <w:rsid w:val="003D662C"/>
    <w:rsid w:val="003D77E5"/>
    <w:rsid w:val="003E49F8"/>
    <w:rsid w:val="003E4F5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44E"/>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2F96"/>
    <w:rsid w:val="00484A8D"/>
    <w:rsid w:val="00486A4E"/>
    <w:rsid w:val="00486B09"/>
    <w:rsid w:val="0049139F"/>
    <w:rsid w:val="00494F07"/>
    <w:rsid w:val="00496116"/>
    <w:rsid w:val="004965A0"/>
    <w:rsid w:val="00497335"/>
    <w:rsid w:val="00497E14"/>
    <w:rsid w:val="004A05A7"/>
    <w:rsid w:val="004A3F98"/>
    <w:rsid w:val="004A5532"/>
    <w:rsid w:val="004A5958"/>
    <w:rsid w:val="004A76DF"/>
    <w:rsid w:val="004B0A75"/>
    <w:rsid w:val="004B2190"/>
    <w:rsid w:val="004B4F07"/>
    <w:rsid w:val="004B5D2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492"/>
    <w:rsid w:val="00516BB4"/>
    <w:rsid w:val="0051768F"/>
    <w:rsid w:val="00517A5D"/>
    <w:rsid w:val="00517E1E"/>
    <w:rsid w:val="005217E8"/>
    <w:rsid w:val="005220FE"/>
    <w:rsid w:val="005247DE"/>
    <w:rsid w:val="005259DE"/>
    <w:rsid w:val="00530B8F"/>
    <w:rsid w:val="00531434"/>
    <w:rsid w:val="00531754"/>
    <w:rsid w:val="00534840"/>
    <w:rsid w:val="00534D08"/>
    <w:rsid w:val="00536973"/>
    <w:rsid w:val="00536C6B"/>
    <w:rsid w:val="00537E65"/>
    <w:rsid w:val="00540C30"/>
    <w:rsid w:val="00542981"/>
    <w:rsid w:val="00544652"/>
    <w:rsid w:val="0054625B"/>
    <w:rsid w:val="00547723"/>
    <w:rsid w:val="00551539"/>
    <w:rsid w:val="00552EFE"/>
    <w:rsid w:val="00554ABB"/>
    <w:rsid w:val="0055552D"/>
    <w:rsid w:val="00555668"/>
    <w:rsid w:val="0055679E"/>
    <w:rsid w:val="0056090D"/>
    <w:rsid w:val="00561E9C"/>
    <w:rsid w:val="00565C7A"/>
    <w:rsid w:val="00567E14"/>
    <w:rsid w:val="005705A7"/>
    <w:rsid w:val="00571C79"/>
    <w:rsid w:val="0057277E"/>
    <w:rsid w:val="00572F0E"/>
    <w:rsid w:val="005741DA"/>
    <w:rsid w:val="00574D60"/>
    <w:rsid w:val="00575318"/>
    <w:rsid w:val="00577142"/>
    <w:rsid w:val="005773E5"/>
    <w:rsid w:val="00581AD5"/>
    <w:rsid w:val="00581C4E"/>
    <w:rsid w:val="00582DB0"/>
    <w:rsid w:val="00584B8E"/>
    <w:rsid w:val="00586EFD"/>
    <w:rsid w:val="00587AC1"/>
    <w:rsid w:val="00587DE8"/>
    <w:rsid w:val="00590694"/>
    <w:rsid w:val="00590AA6"/>
    <w:rsid w:val="00590CFE"/>
    <w:rsid w:val="00591A70"/>
    <w:rsid w:val="00592624"/>
    <w:rsid w:val="00593AF8"/>
    <w:rsid w:val="00593EC9"/>
    <w:rsid w:val="00594C34"/>
    <w:rsid w:val="0059625C"/>
    <w:rsid w:val="005964B1"/>
    <w:rsid w:val="005965FD"/>
    <w:rsid w:val="00597FCC"/>
    <w:rsid w:val="005A132A"/>
    <w:rsid w:val="005A337C"/>
    <w:rsid w:val="005A34B0"/>
    <w:rsid w:val="005A3ECF"/>
    <w:rsid w:val="005A6821"/>
    <w:rsid w:val="005A6C57"/>
    <w:rsid w:val="005B2393"/>
    <w:rsid w:val="005B27AE"/>
    <w:rsid w:val="005B750A"/>
    <w:rsid w:val="005C049B"/>
    <w:rsid w:val="005C2B89"/>
    <w:rsid w:val="005C2FA7"/>
    <w:rsid w:val="005C386F"/>
    <w:rsid w:val="005C42AC"/>
    <w:rsid w:val="005C4D05"/>
    <w:rsid w:val="005C506B"/>
    <w:rsid w:val="005C5F48"/>
    <w:rsid w:val="005C71BF"/>
    <w:rsid w:val="005C723D"/>
    <w:rsid w:val="005C7601"/>
    <w:rsid w:val="005D1094"/>
    <w:rsid w:val="005D1AC9"/>
    <w:rsid w:val="005D3394"/>
    <w:rsid w:val="005D3989"/>
    <w:rsid w:val="005D42FF"/>
    <w:rsid w:val="005D6B63"/>
    <w:rsid w:val="005E2725"/>
    <w:rsid w:val="005E3BAB"/>
    <w:rsid w:val="005E65FA"/>
    <w:rsid w:val="005F19CE"/>
    <w:rsid w:val="005F28F4"/>
    <w:rsid w:val="005F43BB"/>
    <w:rsid w:val="005F503E"/>
    <w:rsid w:val="005F6CB3"/>
    <w:rsid w:val="005F7612"/>
    <w:rsid w:val="005F7663"/>
    <w:rsid w:val="005F7D63"/>
    <w:rsid w:val="006017E3"/>
    <w:rsid w:val="00607170"/>
    <w:rsid w:val="00607408"/>
    <w:rsid w:val="00610AEE"/>
    <w:rsid w:val="00616AAE"/>
    <w:rsid w:val="00616BAC"/>
    <w:rsid w:val="00620598"/>
    <w:rsid w:val="00620FEC"/>
    <w:rsid w:val="006214DC"/>
    <w:rsid w:val="006215E2"/>
    <w:rsid w:val="0062168F"/>
    <w:rsid w:val="006221A2"/>
    <w:rsid w:val="006259D1"/>
    <w:rsid w:val="00627113"/>
    <w:rsid w:val="00627B8B"/>
    <w:rsid w:val="0063106D"/>
    <w:rsid w:val="006312FF"/>
    <w:rsid w:val="00632136"/>
    <w:rsid w:val="00632C67"/>
    <w:rsid w:val="006331B6"/>
    <w:rsid w:val="00633310"/>
    <w:rsid w:val="00633315"/>
    <w:rsid w:val="00636215"/>
    <w:rsid w:val="006366CC"/>
    <w:rsid w:val="00637C16"/>
    <w:rsid w:val="0064048E"/>
    <w:rsid w:val="00641320"/>
    <w:rsid w:val="00641E74"/>
    <w:rsid w:val="006434E3"/>
    <w:rsid w:val="0064366A"/>
    <w:rsid w:val="00643AE3"/>
    <w:rsid w:val="00646987"/>
    <w:rsid w:val="006506CF"/>
    <w:rsid w:val="00650A76"/>
    <w:rsid w:val="00650CD0"/>
    <w:rsid w:val="00650DA4"/>
    <w:rsid w:val="00651DA5"/>
    <w:rsid w:val="00652D22"/>
    <w:rsid w:val="00656797"/>
    <w:rsid w:val="006571EC"/>
    <w:rsid w:val="00657606"/>
    <w:rsid w:val="0066086B"/>
    <w:rsid w:val="00660A8C"/>
    <w:rsid w:val="006632B2"/>
    <w:rsid w:val="00664084"/>
    <w:rsid w:val="0066445E"/>
    <w:rsid w:val="00667045"/>
    <w:rsid w:val="00670A00"/>
    <w:rsid w:val="00670C23"/>
    <w:rsid w:val="00672B86"/>
    <w:rsid w:val="00673031"/>
    <w:rsid w:val="00673950"/>
    <w:rsid w:val="00673EB3"/>
    <w:rsid w:val="00680BE8"/>
    <w:rsid w:val="00686409"/>
    <w:rsid w:val="00686D19"/>
    <w:rsid w:val="00687210"/>
    <w:rsid w:val="0068777F"/>
    <w:rsid w:val="00693018"/>
    <w:rsid w:val="006A0059"/>
    <w:rsid w:val="006A1A03"/>
    <w:rsid w:val="006A7425"/>
    <w:rsid w:val="006B058A"/>
    <w:rsid w:val="006B1299"/>
    <w:rsid w:val="006B26D9"/>
    <w:rsid w:val="006B310C"/>
    <w:rsid w:val="006B56E7"/>
    <w:rsid w:val="006B664C"/>
    <w:rsid w:val="006C1125"/>
    <w:rsid w:val="006C1C83"/>
    <w:rsid w:val="006C3E78"/>
    <w:rsid w:val="006C4848"/>
    <w:rsid w:val="006C54E6"/>
    <w:rsid w:val="006C5762"/>
    <w:rsid w:val="006C658C"/>
    <w:rsid w:val="006C690D"/>
    <w:rsid w:val="006D149F"/>
    <w:rsid w:val="006D3396"/>
    <w:rsid w:val="006D5AFF"/>
    <w:rsid w:val="006E050C"/>
    <w:rsid w:val="006E152B"/>
    <w:rsid w:val="006E160C"/>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2CE8"/>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2C03"/>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68A8"/>
    <w:rsid w:val="0077746F"/>
    <w:rsid w:val="007775FE"/>
    <w:rsid w:val="00780A5F"/>
    <w:rsid w:val="00784913"/>
    <w:rsid w:val="007854C9"/>
    <w:rsid w:val="00785B90"/>
    <w:rsid w:val="0078639C"/>
    <w:rsid w:val="007913D3"/>
    <w:rsid w:val="00794435"/>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63C2"/>
    <w:rsid w:val="007B7AB4"/>
    <w:rsid w:val="007B7FEE"/>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AD1"/>
    <w:rsid w:val="007E119A"/>
    <w:rsid w:val="007E2503"/>
    <w:rsid w:val="007E3532"/>
    <w:rsid w:val="007E5FE3"/>
    <w:rsid w:val="007E64DF"/>
    <w:rsid w:val="007E657D"/>
    <w:rsid w:val="007E7119"/>
    <w:rsid w:val="007E71BB"/>
    <w:rsid w:val="007E7B90"/>
    <w:rsid w:val="007E7C13"/>
    <w:rsid w:val="007F2464"/>
    <w:rsid w:val="007F4A64"/>
    <w:rsid w:val="007F4ADE"/>
    <w:rsid w:val="007F5A5A"/>
    <w:rsid w:val="007F5DDC"/>
    <w:rsid w:val="007F5EDC"/>
    <w:rsid w:val="00800AFD"/>
    <w:rsid w:val="00800C1B"/>
    <w:rsid w:val="0080239D"/>
    <w:rsid w:val="00803CF3"/>
    <w:rsid w:val="00804FC9"/>
    <w:rsid w:val="00806EAB"/>
    <w:rsid w:val="00810E52"/>
    <w:rsid w:val="00811CA7"/>
    <w:rsid w:val="0081636E"/>
    <w:rsid w:val="0082112E"/>
    <w:rsid w:val="00822F2B"/>
    <w:rsid w:val="00823D9A"/>
    <w:rsid w:val="00827964"/>
    <w:rsid w:val="00827EA4"/>
    <w:rsid w:val="008301D6"/>
    <w:rsid w:val="008305B7"/>
    <w:rsid w:val="00830C78"/>
    <w:rsid w:val="00830FB9"/>
    <w:rsid w:val="00831273"/>
    <w:rsid w:val="00834968"/>
    <w:rsid w:val="00834A21"/>
    <w:rsid w:val="00834B53"/>
    <w:rsid w:val="008400DA"/>
    <w:rsid w:val="00840298"/>
    <w:rsid w:val="00840519"/>
    <w:rsid w:val="00841BE4"/>
    <w:rsid w:val="00845A53"/>
    <w:rsid w:val="00847E8C"/>
    <w:rsid w:val="008505E1"/>
    <w:rsid w:val="00850990"/>
    <w:rsid w:val="00850B19"/>
    <w:rsid w:val="00852488"/>
    <w:rsid w:val="0085405E"/>
    <w:rsid w:val="0085569E"/>
    <w:rsid w:val="008571DD"/>
    <w:rsid w:val="0085772E"/>
    <w:rsid w:val="0086026A"/>
    <w:rsid w:val="00860344"/>
    <w:rsid w:val="00860E2C"/>
    <w:rsid w:val="00864BC6"/>
    <w:rsid w:val="00865EE6"/>
    <w:rsid w:val="00870D23"/>
    <w:rsid w:val="00872B72"/>
    <w:rsid w:val="00873022"/>
    <w:rsid w:val="00876468"/>
    <w:rsid w:val="008767E1"/>
    <w:rsid w:val="00876CC7"/>
    <w:rsid w:val="008816F8"/>
    <w:rsid w:val="008823E4"/>
    <w:rsid w:val="008837C4"/>
    <w:rsid w:val="008849F3"/>
    <w:rsid w:val="00884E78"/>
    <w:rsid w:val="0088673B"/>
    <w:rsid w:val="00886B16"/>
    <w:rsid w:val="00887265"/>
    <w:rsid w:val="00887500"/>
    <w:rsid w:val="008905AD"/>
    <w:rsid w:val="008915C3"/>
    <w:rsid w:val="008920F2"/>
    <w:rsid w:val="0089348A"/>
    <w:rsid w:val="00894E9F"/>
    <w:rsid w:val="00895424"/>
    <w:rsid w:val="00896CEC"/>
    <w:rsid w:val="008976CF"/>
    <w:rsid w:val="008A0128"/>
    <w:rsid w:val="008A06BC"/>
    <w:rsid w:val="008A0AA3"/>
    <w:rsid w:val="008A0EAA"/>
    <w:rsid w:val="008A149F"/>
    <w:rsid w:val="008A19FD"/>
    <w:rsid w:val="008A1A25"/>
    <w:rsid w:val="008A3CB0"/>
    <w:rsid w:val="008A4E05"/>
    <w:rsid w:val="008A56DB"/>
    <w:rsid w:val="008A6CFC"/>
    <w:rsid w:val="008B2125"/>
    <w:rsid w:val="008B25D4"/>
    <w:rsid w:val="008B2916"/>
    <w:rsid w:val="008B38E5"/>
    <w:rsid w:val="008B50EC"/>
    <w:rsid w:val="008B58C4"/>
    <w:rsid w:val="008B6CD2"/>
    <w:rsid w:val="008B72DD"/>
    <w:rsid w:val="008C050B"/>
    <w:rsid w:val="008C1132"/>
    <w:rsid w:val="008C302A"/>
    <w:rsid w:val="008C32D1"/>
    <w:rsid w:val="008C3E42"/>
    <w:rsid w:val="008C4B72"/>
    <w:rsid w:val="008C5279"/>
    <w:rsid w:val="008C527D"/>
    <w:rsid w:val="008C5C9F"/>
    <w:rsid w:val="008C6773"/>
    <w:rsid w:val="008C72BB"/>
    <w:rsid w:val="008D078D"/>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5E00"/>
    <w:rsid w:val="00900E7A"/>
    <w:rsid w:val="00904BA9"/>
    <w:rsid w:val="00904E7E"/>
    <w:rsid w:val="00907550"/>
    <w:rsid w:val="0091086B"/>
    <w:rsid w:val="00911129"/>
    <w:rsid w:val="00912EA3"/>
    <w:rsid w:val="00914B6E"/>
    <w:rsid w:val="009156A2"/>
    <w:rsid w:val="0091579A"/>
    <w:rsid w:val="0091615D"/>
    <w:rsid w:val="00923F7E"/>
    <w:rsid w:val="00924C96"/>
    <w:rsid w:val="00925030"/>
    <w:rsid w:val="0092506A"/>
    <w:rsid w:val="00925B32"/>
    <w:rsid w:val="00930A64"/>
    <w:rsid w:val="00930BE5"/>
    <w:rsid w:val="00931403"/>
    <w:rsid w:val="00933554"/>
    <w:rsid w:val="00934991"/>
    <w:rsid w:val="009351A7"/>
    <w:rsid w:val="009426B9"/>
    <w:rsid w:val="00943EAB"/>
    <w:rsid w:val="00944E85"/>
    <w:rsid w:val="0094634C"/>
    <w:rsid w:val="009463AB"/>
    <w:rsid w:val="00946AF5"/>
    <w:rsid w:val="00950239"/>
    <w:rsid w:val="00950332"/>
    <w:rsid w:val="00953DE8"/>
    <w:rsid w:val="00955899"/>
    <w:rsid w:val="00955A03"/>
    <w:rsid w:val="009566F7"/>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BE9"/>
    <w:rsid w:val="0097693C"/>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4BF9"/>
    <w:rsid w:val="009A5218"/>
    <w:rsid w:val="009A6806"/>
    <w:rsid w:val="009B1717"/>
    <w:rsid w:val="009B22D2"/>
    <w:rsid w:val="009B2839"/>
    <w:rsid w:val="009B4C17"/>
    <w:rsid w:val="009B5BF6"/>
    <w:rsid w:val="009C1C79"/>
    <w:rsid w:val="009C339C"/>
    <w:rsid w:val="009C33B8"/>
    <w:rsid w:val="009C6C33"/>
    <w:rsid w:val="009D07A0"/>
    <w:rsid w:val="009D107D"/>
    <w:rsid w:val="009D1871"/>
    <w:rsid w:val="009D2985"/>
    <w:rsid w:val="009D3033"/>
    <w:rsid w:val="009D5770"/>
    <w:rsid w:val="009D5C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1A9E"/>
    <w:rsid w:val="00A020A2"/>
    <w:rsid w:val="00A0297B"/>
    <w:rsid w:val="00A0358E"/>
    <w:rsid w:val="00A049F9"/>
    <w:rsid w:val="00A0529B"/>
    <w:rsid w:val="00A0766F"/>
    <w:rsid w:val="00A10713"/>
    <w:rsid w:val="00A1252C"/>
    <w:rsid w:val="00A13B8B"/>
    <w:rsid w:val="00A147D9"/>
    <w:rsid w:val="00A151B7"/>
    <w:rsid w:val="00A21225"/>
    <w:rsid w:val="00A2139C"/>
    <w:rsid w:val="00A218F9"/>
    <w:rsid w:val="00A21E37"/>
    <w:rsid w:val="00A23314"/>
    <w:rsid w:val="00A235BB"/>
    <w:rsid w:val="00A23F10"/>
    <w:rsid w:val="00A23F72"/>
    <w:rsid w:val="00A26AB8"/>
    <w:rsid w:val="00A271C5"/>
    <w:rsid w:val="00A322BF"/>
    <w:rsid w:val="00A3373F"/>
    <w:rsid w:val="00A33F51"/>
    <w:rsid w:val="00A349DF"/>
    <w:rsid w:val="00A40311"/>
    <w:rsid w:val="00A41032"/>
    <w:rsid w:val="00A4106C"/>
    <w:rsid w:val="00A428E7"/>
    <w:rsid w:val="00A43E49"/>
    <w:rsid w:val="00A44018"/>
    <w:rsid w:val="00A45B5E"/>
    <w:rsid w:val="00A45DE9"/>
    <w:rsid w:val="00A47471"/>
    <w:rsid w:val="00A47E22"/>
    <w:rsid w:val="00A47ED0"/>
    <w:rsid w:val="00A509EA"/>
    <w:rsid w:val="00A51476"/>
    <w:rsid w:val="00A526D2"/>
    <w:rsid w:val="00A542A9"/>
    <w:rsid w:val="00A54412"/>
    <w:rsid w:val="00A5498B"/>
    <w:rsid w:val="00A550C8"/>
    <w:rsid w:val="00A5564C"/>
    <w:rsid w:val="00A559EC"/>
    <w:rsid w:val="00A569F8"/>
    <w:rsid w:val="00A56E60"/>
    <w:rsid w:val="00A571B3"/>
    <w:rsid w:val="00A5744E"/>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6FD0"/>
    <w:rsid w:val="00AC0575"/>
    <w:rsid w:val="00AC0758"/>
    <w:rsid w:val="00AC0934"/>
    <w:rsid w:val="00AC17EE"/>
    <w:rsid w:val="00AC2BFD"/>
    <w:rsid w:val="00AC4DDD"/>
    <w:rsid w:val="00AC5A43"/>
    <w:rsid w:val="00AC5D2C"/>
    <w:rsid w:val="00AC6B6D"/>
    <w:rsid w:val="00AC76C4"/>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37289"/>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1977"/>
    <w:rsid w:val="00B92497"/>
    <w:rsid w:val="00B92D41"/>
    <w:rsid w:val="00B93679"/>
    <w:rsid w:val="00B9422D"/>
    <w:rsid w:val="00B95A1D"/>
    <w:rsid w:val="00B9634B"/>
    <w:rsid w:val="00BA5072"/>
    <w:rsid w:val="00BA5B65"/>
    <w:rsid w:val="00BA7BFE"/>
    <w:rsid w:val="00BB0ECA"/>
    <w:rsid w:val="00BB120C"/>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ECA"/>
    <w:rsid w:val="00C11905"/>
    <w:rsid w:val="00C14462"/>
    <w:rsid w:val="00C16542"/>
    <w:rsid w:val="00C22382"/>
    <w:rsid w:val="00C2355B"/>
    <w:rsid w:val="00C272E9"/>
    <w:rsid w:val="00C274A6"/>
    <w:rsid w:val="00C34201"/>
    <w:rsid w:val="00C35A38"/>
    <w:rsid w:val="00C35EC9"/>
    <w:rsid w:val="00C36807"/>
    <w:rsid w:val="00C37392"/>
    <w:rsid w:val="00C41545"/>
    <w:rsid w:val="00C4209D"/>
    <w:rsid w:val="00C432B3"/>
    <w:rsid w:val="00C46A00"/>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015D"/>
    <w:rsid w:val="00CA356F"/>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7BB2"/>
    <w:rsid w:val="00D00811"/>
    <w:rsid w:val="00D02A43"/>
    <w:rsid w:val="00D04518"/>
    <w:rsid w:val="00D05489"/>
    <w:rsid w:val="00D05CA1"/>
    <w:rsid w:val="00D061CB"/>
    <w:rsid w:val="00D0796C"/>
    <w:rsid w:val="00D07B7D"/>
    <w:rsid w:val="00D118CB"/>
    <w:rsid w:val="00D11A35"/>
    <w:rsid w:val="00D13130"/>
    <w:rsid w:val="00D146D4"/>
    <w:rsid w:val="00D14B3C"/>
    <w:rsid w:val="00D14BA5"/>
    <w:rsid w:val="00D15565"/>
    <w:rsid w:val="00D16580"/>
    <w:rsid w:val="00D20E20"/>
    <w:rsid w:val="00D21C3A"/>
    <w:rsid w:val="00D228DA"/>
    <w:rsid w:val="00D22E01"/>
    <w:rsid w:val="00D238A5"/>
    <w:rsid w:val="00D24621"/>
    <w:rsid w:val="00D2600F"/>
    <w:rsid w:val="00D300D5"/>
    <w:rsid w:val="00D30EEA"/>
    <w:rsid w:val="00D31534"/>
    <w:rsid w:val="00D32C1F"/>
    <w:rsid w:val="00D33FC2"/>
    <w:rsid w:val="00D37394"/>
    <w:rsid w:val="00D37464"/>
    <w:rsid w:val="00D46699"/>
    <w:rsid w:val="00D47345"/>
    <w:rsid w:val="00D5073F"/>
    <w:rsid w:val="00D51573"/>
    <w:rsid w:val="00D5399A"/>
    <w:rsid w:val="00D53AAB"/>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1CA7"/>
    <w:rsid w:val="00D942DE"/>
    <w:rsid w:val="00D9491E"/>
    <w:rsid w:val="00D95563"/>
    <w:rsid w:val="00DA070D"/>
    <w:rsid w:val="00DA07CD"/>
    <w:rsid w:val="00DA3B2F"/>
    <w:rsid w:val="00DA4731"/>
    <w:rsid w:val="00DA5040"/>
    <w:rsid w:val="00DA5DBA"/>
    <w:rsid w:val="00DA7D5F"/>
    <w:rsid w:val="00DB053E"/>
    <w:rsid w:val="00DB11B2"/>
    <w:rsid w:val="00DB161E"/>
    <w:rsid w:val="00DB31B5"/>
    <w:rsid w:val="00DB5BBA"/>
    <w:rsid w:val="00DC03DB"/>
    <w:rsid w:val="00DC1206"/>
    <w:rsid w:val="00DC2BE8"/>
    <w:rsid w:val="00DC2BEC"/>
    <w:rsid w:val="00DC3256"/>
    <w:rsid w:val="00DC35A6"/>
    <w:rsid w:val="00DC7817"/>
    <w:rsid w:val="00DD090A"/>
    <w:rsid w:val="00DD2421"/>
    <w:rsid w:val="00DD3222"/>
    <w:rsid w:val="00DD3D81"/>
    <w:rsid w:val="00DD571C"/>
    <w:rsid w:val="00DD64E1"/>
    <w:rsid w:val="00DE039A"/>
    <w:rsid w:val="00DE0403"/>
    <w:rsid w:val="00DE47AB"/>
    <w:rsid w:val="00DE4811"/>
    <w:rsid w:val="00DE5458"/>
    <w:rsid w:val="00DE55C4"/>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A31"/>
    <w:rsid w:val="00E223C6"/>
    <w:rsid w:val="00E2443D"/>
    <w:rsid w:val="00E24789"/>
    <w:rsid w:val="00E26615"/>
    <w:rsid w:val="00E26F37"/>
    <w:rsid w:val="00E33928"/>
    <w:rsid w:val="00E33C90"/>
    <w:rsid w:val="00E34D15"/>
    <w:rsid w:val="00E35E86"/>
    <w:rsid w:val="00E36B45"/>
    <w:rsid w:val="00E37BF1"/>
    <w:rsid w:val="00E428B3"/>
    <w:rsid w:val="00E44D19"/>
    <w:rsid w:val="00E50188"/>
    <w:rsid w:val="00E51372"/>
    <w:rsid w:val="00E51CAF"/>
    <w:rsid w:val="00E51E95"/>
    <w:rsid w:val="00E51F9D"/>
    <w:rsid w:val="00E5202F"/>
    <w:rsid w:val="00E5211A"/>
    <w:rsid w:val="00E53A9F"/>
    <w:rsid w:val="00E549AF"/>
    <w:rsid w:val="00E60540"/>
    <w:rsid w:val="00E61C74"/>
    <w:rsid w:val="00E638C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0CB0"/>
    <w:rsid w:val="00EA1327"/>
    <w:rsid w:val="00EA623C"/>
    <w:rsid w:val="00EA6395"/>
    <w:rsid w:val="00EB044B"/>
    <w:rsid w:val="00EB067C"/>
    <w:rsid w:val="00EB3C66"/>
    <w:rsid w:val="00EB42FB"/>
    <w:rsid w:val="00EB4B03"/>
    <w:rsid w:val="00EB5DEE"/>
    <w:rsid w:val="00EB64CB"/>
    <w:rsid w:val="00EB6D46"/>
    <w:rsid w:val="00EC07F3"/>
    <w:rsid w:val="00EC09A3"/>
    <w:rsid w:val="00EC3194"/>
    <w:rsid w:val="00EC518D"/>
    <w:rsid w:val="00EC71D3"/>
    <w:rsid w:val="00ED02FE"/>
    <w:rsid w:val="00ED1EC9"/>
    <w:rsid w:val="00ED3737"/>
    <w:rsid w:val="00ED3856"/>
    <w:rsid w:val="00ED3E2E"/>
    <w:rsid w:val="00ED4CC8"/>
    <w:rsid w:val="00ED6A08"/>
    <w:rsid w:val="00ED75E1"/>
    <w:rsid w:val="00EE05EE"/>
    <w:rsid w:val="00EE0AE2"/>
    <w:rsid w:val="00EE35B4"/>
    <w:rsid w:val="00EE40CA"/>
    <w:rsid w:val="00EE5643"/>
    <w:rsid w:val="00EE669F"/>
    <w:rsid w:val="00EE7CEC"/>
    <w:rsid w:val="00EF056E"/>
    <w:rsid w:val="00EF08A8"/>
    <w:rsid w:val="00EF09B3"/>
    <w:rsid w:val="00EF0A3E"/>
    <w:rsid w:val="00EF0EF5"/>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2CD"/>
    <w:rsid w:val="00F10C82"/>
    <w:rsid w:val="00F1319C"/>
    <w:rsid w:val="00F13B2E"/>
    <w:rsid w:val="00F176A0"/>
    <w:rsid w:val="00F20174"/>
    <w:rsid w:val="00F22098"/>
    <w:rsid w:val="00F223BC"/>
    <w:rsid w:val="00F23780"/>
    <w:rsid w:val="00F26185"/>
    <w:rsid w:val="00F3178C"/>
    <w:rsid w:val="00F33DE5"/>
    <w:rsid w:val="00F34B8F"/>
    <w:rsid w:val="00F34C51"/>
    <w:rsid w:val="00F353DC"/>
    <w:rsid w:val="00F36D7F"/>
    <w:rsid w:val="00F37186"/>
    <w:rsid w:val="00F42FCF"/>
    <w:rsid w:val="00F44A83"/>
    <w:rsid w:val="00F4534E"/>
    <w:rsid w:val="00F51743"/>
    <w:rsid w:val="00F529D4"/>
    <w:rsid w:val="00F54F27"/>
    <w:rsid w:val="00F55FC8"/>
    <w:rsid w:val="00F604E3"/>
    <w:rsid w:val="00F610E6"/>
    <w:rsid w:val="00F61FCC"/>
    <w:rsid w:val="00F66036"/>
    <w:rsid w:val="00F6689D"/>
    <w:rsid w:val="00F67E23"/>
    <w:rsid w:val="00F71601"/>
    <w:rsid w:val="00F72C75"/>
    <w:rsid w:val="00F74033"/>
    <w:rsid w:val="00F7404A"/>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20FD"/>
    <w:rsid w:val="00FB3F33"/>
    <w:rsid w:val="00FB43E4"/>
    <w:rsid w:val="00FB4889"/>
    <w:rsid w:val="00FB676C"/>
    <w:rsid w:val="00FB67CC"/>
    <w:rsid w:val="00FB728E"/>
    <w:rsid w:val="00FC0ADE"/>
    <w:rsid w:val="00FC0B2B"/>
    <w:rsid w:val="00FC0FF1"/>
    <w:rsid w:val="00FC1FDF"/>
    <w:rsid w:val="00FC3360"/>
    <w:rsid w:val="00FC3E27"/>
    <w:rsid w:val="00FC3EC5"/>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6BF"/>
    <w:rsid w:val="00FF48DA"/>
    <w:rsid w:val="00FF5E19"/>
    <w:rsid w:val="00FF61AD"/>
    <w:rsid w:val="00FF76BD"/>
    <w:rsid w:val="577605C7"/>
    <w:rsid w:val="71420C2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semiHidden="0" w:name="Table Web 2"/>
    <w:lsdException w:uiPriority="0" w:semiHidden="0" w:name="Table Web 3"/>
    <w:lsdException w:unhideWhenUsed="0" w:uiPriority="0" w:name="Balloon Text"/>
    <w:lsdException w:unhideWhenUsed="0" w:uiPriority="59"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qFormat/>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866</Words>
  <Characters>4942</Characters>
  <Lines>41</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2020-06-08T02:38:00Z</dcterms:created>
  <dc:creator>Lilly</dc:creator>
  <cp:lastModifiedBy>汪洋</cp:lastModifiedBy>
  <cp:lastPrinted>2020-06-08T02:38:00Z</cp:lastPrinted>
  <dcterms:modified xsi:type="dcterms:W3CDTF">2020-06-22T03:06:38Z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