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Toc482717189"/>
      <w:bookmarkStart w:id="1" w:name="_Toc483227223"/>
      <w:bookmarkStart w:id="2" w:name="_Toc483400307"/>
      <w:bookmarkStart w:id="3" w:name="_Toc483666358"/>
      <w:bookmarkStart w:id="4" w:name="_Toc484532399"/>
    </w:p>
    <w:p>
      <w:pPr>
        <w:spacing w:after="158" w:afterLines="50"/>
        <w:jc w:val="center"/>
        <w:rPr>
          <w:b/>
          <w:szCs w:val="21"/>
          <w:lang w:eastAsia="zh-CN"/>
        </w:rPr>
      </w:pPr>
      <w:permStart w:id="0" w:edGrp="everyone"/>
      <w:r>
        <w:rPr>
          <w:rFonts w:hint="eastAsia"/>
          <w:b/>
          <w:sz w:val="28"/>
          <w:szCs w:val="28"/>
          <w:lang w:eastAsia="zh-CN"/>
        </w:rPr>
        <w:t>工程技术部环氧浇注干式变压器</w:t>
      </w:r>
      <w:permEnd w:id="0"/>
      <w:r>
        <w:rPr>
          <w:b/>
          <w:sz w:val="28"/>
          <w:szCs w:val="28"/>
          <w:lang w:eastAsia="zh-CN"/>
        </w:rPr>
        <w:t>用户需求说明（URS</w:t>
      </w:r>
      <w:r>
        <w:rPr>
          <w:b/>
          <w:szCs w:val="21"/>
          <w:lang w:eastAsia="zh-CN"/>
        </w:rPr>
        <w:t>）</w:t>
      </w:r>
      <w:bookmarkEnd w:id="0"/>
      <w:bookmarkEnd w:id="1"/>
      <w:bookmarkEnd w:id="2"/>
      <w:bookmarkEnd w:id="3"/>
      <w:bookmarkEnd w:id="4"/>
    </w:p>
    <w:p>
      <w:pPr>
        <w:tabs>
          <w:tab w:val="left" w:pos="1365"/>
        </w:tabs>
        <w:spacing w:after="158" w:afterLines="50"/>
        <w:rPr>
          <w:b/>
          <w:i/>
          <w:color w:val="4472C4"/>
          <w:szCs w:val="21"/>
          <w:lang w:eastAsia="zh-CN"/>
        </w:rPr>
      </w:pPr>
      <w:bookmarkStart w:id="5" w:name="OLE_LINK4"/>
      <w:permStart w:id="1" w:edGrp="everyone"/>
      <w:permEnd w:id="1"/>
    </w:p>
    <w:bookmarkEnd w:id="5"/>
    <w:p>
      <w:pPr>
        <w:pStyle w:val="31"/>
        <w:widowControl w:val="0"/>
        <w:spacing w:after="158" w:afterLines="50" w:line="240" w:lineRule="auto"/>
        <w:jc w:val="center"/>
        <w:rPr>
          <w:sz w:val="21"/>
          <w:szCs w:val="21"/>
          <w:lang w:val="zh-CN" w:eastAsia="zh-CN"/>
        </w:rPr>
      </w:pPr>
      <w:r>
        <w:rPr>
          <w:sz w:val="21"/>
          <w:szCs w:val="21"/>
          <w:lang w:val="zh-CN" w:eastAsia="zh-CN"/>
        </w:rPr>
        <w:t xml:space="preserve">目录 </w:t>
      </w:r>
    </w:p>
    <w:p>
      <w:pPr>
        <w:pStyle w:val="16"/>
        <w:rPr>
          <w:b w:val="0"/>
          <w:bCs w:val="0"/>
          <w:caps w:val="0"/>
          <w:szCs w:val="22"/>
        </w:rPr>
      </w:pPr>
      <w:permStart w:id="2" w:edGrp="everyone"/>
      <w:r>
        <w:fldChar w:fldCharType="begin"/>
      </w:r>
      <w:r>
        <w:instrText xml:space="preserve"> TOC \o "1-2" \h \z \u </w:instrText>
      </w:r>
      <w:r>
        <w:fldChar w:fldCharType="separate"/>
      </w:r>
      <w:r>
        <w:fldChar w:fldCharType="begin"/>
      </w:r>
      <w:r>
        <w:instrText xml:space="preserve">HYPERLINK  \l "_Toc522716114" </w:instrText>
      </w:r>
      <w:r>
        <w:fldChar w:fldCharType="separate"/>
      </w:r>
      <w:r>
        <w:rPr>
          <w:rStyle w:val="21"/>
        </w:rPr>
        <w:t>修订历史</w:t>
      </w:r>
      <w:r>
        <w:tab/>
      </w:r>
      <w:r>
        <w:fldChar w:fldCharType="begin"/>
      </w:r>
      <w:r>
        <w:instrText xml:space="preserve"> PAGEREF _Toc522716114 \h </w:instrText>
      </w:r>
      <w:r>
        <w:fldChar w:fldCharType="separate"/>
      </w:r>
      <w:r>
        <w:t>3</w:t>
      </w:r>
      <w:r>
        <w:fldChar w:fldCharType="end"/>
      </w:r>
      <w:r>
        <w:fldChar w:fldCharType="end"/>
      </w:r>
    </w:p>
    <w:p>
      <w:pPr>
        <w:pStyle w:val="16"/>
        <w:rPr>
          <w:b w:val="0"/>
          <w:bCs w:val="0"/>
          <w:caps w:val="0"/>
          <w:szCs w:val="22"/>
        </w:rPr>
      </w:pPr>
      <w:r>
        <w:fldChar w:fldCharType="begin"/>
      </w:r>
      <w:r>
        <w:instrText xml:space="preserve">HYPERLINK  \l "_Toc522716115" </w:instrText>
      </w:r>
      <w:r>
        <w:fldChar w:fldCharType="separate"/>
      </w:r>
      <w:r>
        <w:rPr>
          <w:rStyle w:val="21"/>
        </w:rPr>
        <w:t>1</w:t>
      </w:r>
      <w:r>
        <w:rPr>
          <w:b w:val="0"/>
          <w:bCs w:val="0"/>
          <w:caps w:val="0"/>
          <w:szCs w:val="22"/>
        </w:rPr>
        <w:tab/>
      </w:r>
      <w:r>
        <w:rPr>
          <w:rStyle w:val="21"/>
        </w:rPr>
        <w:t>目的</w:t>
      </w:r>
      <w:r>
        <w:tab/>
      </w:r>
      <w:r>
        <w:fldChar w:fldCharType="begin"/>
      </w:r>
      <w:r>
        <w:instrText xml:space="preserve"> PAGEREF _Toc522716115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"_Toc522716116" </w:instrText>
      </w:r>
      <w:r>
        <w:fldChar w:fldCharType="separate"/>
      </w:r>
      <w:r>
        <w:rPr>
          <w:rStyle w:val="21"/>
        </w:rPr>
        <w:t>2</w:t>
      </w:r>
      <w:r>
        <w:rPr>
          <w:b w:val="0"/>
          <w:bCs w:val="0"/>
          <w:caps w:val="0"/>
          <w:szCs w:val="22"/>
        </w:rPr>
        <w:tab/>
      </w:r>
      <w:r>
        <w:rPr>
          <w:rStyle w:val="21"/>
        </w:rPr>
        <w:t>范围</w:t>
      </w:r>
      <w:r>
        <w:tab/>
      </w:r>
      <w:r>
        <w:fldChar w:fldCharType="begin"/>
      </w:r>
      <w:r>
        <w:instrText xml:space="preserve"> PAGEREF _Toc522716116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"_Toc522716117" </w:instrText>
      </w:r>
      <w:r>
        <w:fldChar w:fldCharType="separate"/>
      </w:r>
      <w:r>
        <w:rPr>
          <w:rStyle w:val="21"/>
        </w:rPr>
        <w:t>3</w:t>
      </w:r>
      <w:r>
        <w:rPr>
          <w:b w:val="0"/>
          <w:bCs w:val="0"/>
          <w:caps w:val="0"/>
          <w:szCs w:val="22"/>
        </w:rPr>
        <w:tab/>
      </w:r>
      <w:r>
        <w:rPr>
          <w:rStyle w:val="21"/>
        </w:rPr>
        <w:t>参考文件</w:t>
      </w:r>
      <w:r>
        <w:tab/>
      </w:r>
      <w:r>
        <w:fldChar w:fldCharType="begin"/>
      </w:r>
      <w:r>
        <w:instrText xml:space="preserve"> PAGEREF _Toc522716117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"_Toc522716118" </w:instrText>
      </w:r>
      <w:r>
        <w:fldChar w:fldCharType="separate"/>
      </w:r>
      <w:r>
        <w:rPr>
          <w:rStyle w:val="21"/>
        </w:rPr>
        <w:t>4</w:t>
      </w:r>
      <w:r>
        <w:rPr>
          <w:b w:val="0"/>
          <w:bCs w:val="0"/>
          <w:caps w:val="0"/>
          <w:szCs w:val="22"/>
        </w:rPr>
        <w:tab/>
      </w:r>
      <w:r>
        <w:rPr>
          <w:rStyle w:val="21"/>
        </w:rPr>
        <w:t>职责</w:t>
      </w:r>
      <w:r>
        <w:tab/>
      </w:r>
      <w:r>
        <w:fldChar w:fldCharType="begin"/>
      </w:r>
      <w:r>
        <w:instrText xml:space="preserve"> PAGEREF _Toc522716118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"_Toc522716119" </w:instrText>
      </w:r>
      <w:r>
        <w:fldChar w:fldCharType="separate"/>
      </w:r>
      <w:r>
        <w:rPr>
          <w:rStyle w:val="21"/>
        </w:rPr>
        <w:t>5</w:t>
      </w:r>
      <w:r>
        <w:rPr>
          <w:b w:val="0"/>
          <w:bCs w:val="0"/>
          <w:caps w:val="0"/>
          <w:szCs w:val="22"/>
        </w:rPr>
        <w:tab/>
      </w:r>
      <w:r>
        <w:rPr>
          <w:rStyle w:val="21"/>
        </w:rPr>
        <w:t>系统描述</w:t>
      </w:r>
      <w:r>
        <w:tab/>
      </w:r>
      <w:r>
        <w:fldChar w:fldCharType="begin"/>
      </w:r>
      <w:r>
        <w:instrText xml:space="preserve"> PAGEREF _Toc522716119 \h </w:instrText>
      </w:r>
      <w:r>
        <w:fldChar w:fldCharType="separate"/>
      </w:r>
      <w:r>
        <w:t>5</w:t>
      </w:r>
      <w:r>
        <w:fldChar w:fldCharType="end"/>
      </w:r>
      <w:r>
        <w:fldChar w:fldCharType="end"/>
      </w:r>
    </w:p>
    <w:p>
      <w:pPr>
        <w:pStyle w:val="16"/>
        <w:rPr>
          <w:b w:val="0"/>
          <w:bCs w:val="0"/>
          <w:caps w:val="0"/>
          <w:szCs w:val="22"/>
        </w:rPr>
      </w:pPr>
      <w:r>
        <w:fldChar w:fldCharType="begin"/>
      </w:r>
      <w:r>
        <w:instrText xml:space="preserve">HYPERLINK  \l "_Toc522716120" </w:instrText>
      </w:r>
      <w:r>
        <w:fldChar w:fldCharType="separate"/>
      </w:r>
      <w:r>
        <w:rPr>
          <w:rStyle w:val="21"/>
        </w:rPr>
        <w:t>6</w:t>
      </w:r>
      <w:r>
        <w:rPr>
          <w:b w:val="0"/>
          <w:bCs w:val="0"/>
          <w:caps w:val="0"/>
          <w:szCs w:val="22"/>
        </w:rPr>
        <w:tab/>
      </w:r>
      <w:r>
        <w:rPr>
          <w:rStyle w:val="21"/>
        </w:rPr>
        <w:t>安装要求</w:t>
      </w:r>
      <w:r>
        <w:tab/>
      </w:r>
      <w:r>
        <w:fldChar w:fldCharType="begin"/>
      </w:r>
      <w:r>
        <w:instrText xml:space="preserve"> PAGEREF _Toc522716120 \h </w:instrText>
      </w:r>
      <w:r>
        <w:fldChar w:fldCharType="separate"/>
      </w:r>
      <w:r>
        <w:t>5</w:t>
      </w:r>
      <w:r>
        <w:fldChar w:fldCharType="end"/>
      </w:r>
      <w:r>
        <w:fldChar w:fldCharType="end"/>
      </w:r>
    </w:p>
    <w:p>
      <w:pPr>
        <w:pStyle w:val="16"/>
        <w:rPr>
          <w:b w:val="0"/>
          <w:bCs w:val="0"/>
          <w:caps w:val="0"/>
          <w:szCs w:val="22"/>
        </w:rPr>
      </w:pPr>
      <w:r>
        <w:fldChar w:fldCharType="begin"/>
      </w:r>
      <w:r>
        <w:instrText xml:space="preserve">HYPERLINK  \l "_Toc522716121" </w:instrText>
      </w:r>
      <w:r>
        <w:fldChar w:fldCharType="separate"/>
      </w:r>
      <w:r>
        <w:rPr>
          <w:rStyle w:val="21"/>
        </w:rPr>
        <w:t>7</w:t>
      </w:r>
      <w:r>
        <w:rPr>
          <w:b w:val="0"/>
          <w:bCs w:val="0"/>
          <w:caps w:val="0"/>
          <w:szCs w:val="22"/>
        </w:rPr>
        <w:tab/>
      </w:r>
      <w:r>
        <w:rPr>
          <w:rStyle w:val="21"/>
        </w:rPr>
        <w:t>运行要求</w:t>
      </w:r>
      <w:r>
        <w:tab/>
      </w:r>
      <w:r>
        <w:fldChar w:fldCharType="begin"/>
      </w:r>
      <w:r>
        <w:instrText xml:space="preserve"> PAGEREF _Toc522716121 \h </w:instrText>
      </w:r>
      <w:r>
        <w:fldChar w:fldCharType="separate"/>
      </w:r>
      <w:r>
        <w:t>6</w:t>
      </w:r>
      <w:r>
        <w:fldChar w:fldCharType="end"/>
      </w:r>
      <w:r>
        <w:fldChar w:fldCharType="end"/>
      </w:r>
    </w:p>
    <w:p>
      <w:pPr>
        <w:pStyle w:val="16"/>
        <w:rPr>
          <w:b w:val="0"/>
          <w:bCs w:val="0"/>
          <w:caps w:val="0"/>
          <w:szCs w:val="22"/>
        </w:rPr>
      </w:pPr>
      <w:r>
        <w:fldChar w:fldCharType="begin"/>
      </w:r>
      <w:r>
        <w:instrText xml:space="preserve">HYPERLINK  \l "_Toc522716122" </w:instrText>
      </w:r>
      <w:r>
        <w:fldChar w:fldCharType="separate"/>
      </w:r>
      <w:r>
        <w:rPr>
          <w:rStyle w:val="21"/>
        </w:rPr>
        <w:t>8</w:t>
      </w:r>
      <w:r>
        <w:rPr>
          <w:b w:val="0"/>
          <w:bCs w:val="0"/>
          <w:caps w:val="0"/>
          <w:szCs w:val="22"/>
        </w:rPr>
        <w:tab/>
      </w:r>
      <w:r>
        <w:rPr>
          <w:rStyle w:val="21"/>
        </w:rPr>
        <w:t>电气、自动控制要求</w:t>
      </w:r>
      <w:r>
        <w:tab/>
      </w:r>
      <w:r>
        <w:fldChar w:fldCharType="begin"/>
      </w:r>
      <w:r>
        <w:instrText xml:space="preserve"> PAGEREF _Toc522716122 \h </w:instrText>
      </w:r>
      <w:r>
        <w:fldChar w:fldCharType="separate"/>
      </w:r>
      <w:r>
        <w:t>7</w:t>
      </w:r>
      <w:r>
        <w:fldChar w:fldCharType="end"/>
      </w:r>
      <w:r>
        <w:fldChar w:fldCharType="end"/>
      </w:r>
    </w:p>
    <w:p>
      <w:pPr>
        <w:pStyle w:val="16"/>
        <w:rPr>
          <w:b w:val="0"/>
          <w:bCs w:val="0"/>
          <w:caps w:val="0"/>
          <w:szCs w:val="22"/>
        </w:rPr>
      </w:pPr>
      <w:r>
        <w:fldChar w:fldCharType="begin"/>
      </w:r>
      <w:r>
        <w:instrText xml:space="preserve">HYPERLINK  \l "_Toc522716123" </w:instrText>
      </w:r>
      <w:r>
        <w:fldChar w:fldCharType="separate"/>
      </w:r>
      <w:r>
        <w:rPr>
          <w:rStyle w:val="21"/>
        </w:rPr>
        <w:t>9</w:t>
      </w:r>
      <w:r>
        <w:rPr>
          <w:b w:val="0"/>
          <w:bCs w:val="0"/>
          <w:caps w:val="0"/>
          <w:szCs w:val="22"/>
        </w:rPr>
        <w:tab/>
      </w:r>
      <w:r>
        <w:rPr>
          <w:rStyle w:val="21"/>
        </w:rPr>
        <w:t>安全要求</w:t>
      </w:r>
      <w:r>
        <w:tab/>
      </w:r>
      <w:r>
        <w:fldChar w:fldCharType="begin"/>
      </w:r>
      <w:r>
        <w:instrText xml:space="preserve"> PAGEREF _Toc522716123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"_Toc522716124" </w:instrText>
      </w:r>
      <w:r>
        <w:fldChar w:fldCharType="separate"/>
      </w:r>
      <w:r>
        <w:rPr>
          <w:rStyle w:val="21"/>
        </w:rPr>
        <w:t>10</w:t>
      </w:r>
      <w:r>
        <w:rPr>
          <w:b w:val="0"/>
          <w:bCs w:val="0"/>
          <w:caps w:val="0"/>
          <w:szCs w:val="22"/>
        </w:rPr>
        <w:tab/>
      </w:r>
      <w:r>
        <w:rPr>
          <w:rStyle w:val="21"/>
        </w:rPr>
        <w:t>文件要求</w:t>
      </w:r>
      <w:r>
        <w:tab/>
      </w:r>
      <w:r>
        <w:fldChar w:fldCharType="begin"/>
      </w:r>
      <w:r>
        <w:instrText xml:space="preserve"> PAGEREF _Toc522716124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"_Toc522716125" </w:instrText>
      </w:r>
      <w:r>
        <w:fldChar w:fldCharType="separate"/>
      </w:r>
      <w:r>
        <w:rPr>
          <w:rStyle w:val="21"/>
        </w:rPr>
        <w:t>11</w:t>
      </w:r>
      <w:r>
        <w:rPr>
          <w:b w:val="0"/>
          <w:bCs w:val="0"/>
          <w:caps w:val="0"/>
          <w:szCs w:val="22"/>
        </w:rPr>
        <w:tab/>
      </w:r>
      <w:r>
        <w:rPr>
          <w:rStyle w:val="21"/>
        </w:rPr>
        <w:t>服务要求</w:t>
      </w:r>
      <w:r>
        <w:tab/>
      </w:r>
      <w:r>
        <w:fldChar w:fldCharType="begin"/>
      </w:r>
      <w:r>
        <w:instrText xml:space="preserve"> PAGEREF _Toc522716125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"_Toc522716126" </w:instrText>
      </w:r>
      <w:r>
        <w:fldChar w:fldCharType="separate"/>
      </w:r>
      <w:r>
        <w:rPr>
          <w:rStyle w:val="21"/>
        </w:rPr>
        <w:t>12</w:t>
      </w:r>
      <w:r>
        <w:rPr>
          <w:b w:val="0"/>
          <w:bCs w:val="0"/>
          <w:caps w:val="0"/>
          <w:szCs w:val="22"/>
        </w:rPr>
        <w:tab/>
      </w:r>
      <w:r>
        <w:rPr>
          <w:rStyle w:val="21"/>
        </w:rPr>
        <w:t>附件</w:t>
      </w:r>
      <w:r>
        <w:tab/>
      </w:r>
      <w:r>
        <w:fldChar w:fldCharType="begin"/>
      </w:r>
      <w:r>
        <w:instrText xml:space="preserve"> PAGEREF _Toc522716126 \h </w:instrText>
      </w:r>
      <w:r>
        <w:fldChar w:fldCharType="separate"/>
      </w:r>
      <w:r>
        <w:t>10</w:t>
      </w:r>
      <w:r>
        <w:fldChar w:fldCharType="end"/>
      </w:r>
      <w:r>
        <w:fldChar w:fldCharType="end"/>
      </w:r>
    </w:p>
    <w:p>
      <w:r>
        <w:fldChar w:fldCharType="end"/>
      </w:r>
      <w:permEnd w:id="2"/>
    </w:p>
    <w:p>
      <w:pPr>
        <w:rPr>
          <w:lang w:val="en-US" w:eastAsia="zh-CN"/>
        </w:rPr>
      </w:pPr>
      <w:bookmarkStart w:id="6" w:name="_Toc522107734"/>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bookmarkEnd w:id="6"/>
    <w:p>
      <w:pPr>
        <w:pStyle w:val="30"/>
        <w:numPr>
          <w:ilvl w:val="0"/>
          <w:numId w:val="3"/>
        </w:numPr>
        <w:spacing w:after="158" w:afterLines="50"/>
        <w:ind w:left="426" w:hanging="426" w:hangingChars="202"/>
        <w:outlineLvl w:val="0"/>
        <w:rPr>
          <w:rFonts w:ascii="Times New Roman" w:hAnsi="Times New Roman"/>
          <w:b/>
        </w:rPr>
      </w:pPr>
      <w:bookmarkStart w:id="7" w:name="_Toc522107735"/>
      <w:bookmarkStart w:id="8" w:name="_Toc522716115"/>
      <w:r>
        <w:rPr>
          <w:rFonts w:ascii="Times New Roman" w:hAnsi="Times New Roman"/>
          <w:b/>
        </w:rPr>
        <w:t>目的</w:t>
      </w:r>
      <w:bookmarkEnd w:id="7"/>
      <w:bookmarkEnd w:id="8"/>
    </w:p>
    <w:p>
      <w:pPr>
        <w:pStyle w:val="34"/>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Pr>
          <w:szCs w:val="21"/>
          <w:lang w:eastAsia="zh-CN"/>
        </w:rPr>
        <w:t>本文件的目的是描述武汉生物制品研究所有限责任公司</w:t>
      </w:r>
      <w:permStart w:id="3" w:edGrp="everyone"/>
      <w:r>
        <w:rPr>
          <w:rFonts w:hint="eastAsia"/>
          <w:szCs w:val="21"/>
          <w:lang w:eastAsia="zh-CN"/>
        </w:rPr>
        <w:t>环氧浇注干式变压器</w:t>
      </w:r>
      <w:permEnd w:id="3"/>
      <w:r>
        <w:rPr>
          <w:szCs w:val="21"/>
          <w:lang w:eastAsia="zh-CN"/>
        </w:rPr>
        <w:t>的用户需求说明（URS），以确保最终用户的需求在项目设计阶段得以实现，并作为后续验证工作的基础。</w:t>
      </w:r>
    </w:p>
    <w:p>
      <w:pPr>
        <w:pStyle w:val="34"/>
        <w:spacing w:before="0"/>
        <w:ind w:left="360"/>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18" w:name="_Toc522107736"/>
      <w:bookmarkStart w:id="19" w:name="_Toc522716116"/>
      <w:r>
        <w:rPr>
          <w:rFonts w:ascii="Times New Roman" w:hAnsi="Times New Roman"/>
          <w:b/>
        </w:rPr>
        <w:t>范围</w:t>
      </w:r>
      <w:bookmarkEnd w:id="18"/>
      <w:bookmarkEnd w:id="19"/>
    </w:p>
    <w:p>
      <w:pPr>
        <w:pStyle w:val="34"/>
        <w:spacing w:before="0" w:line="360" w:lineRule="auto"/>
        <w:ind w:left="357"/>
        <w:jc w:val="left"/>
        <w:rPr>
          <w:szCs w:val="21"/>
          <w:lang w:eastAsia="zh-CN"/>
        </w:rPr>
      </w:pPr>
      <w:r>
        <w:rPr>
          <w:szCs w:val="21"/>
          <w:lang w:eastAsia="zh-CN"/>
        </w:rPr>
        <w:t>本URS适用于武汉生物制品研究所有限责任公司</w:t>
      </w:r>
      <w:permStart w:id="4" w:edGrp="everyone"/>
      <w:r>
        <w:rPr>
          <w:rFonts w:hint="eastAsia"/>
          <w:szCs w:val="21"/>
          <w:lang w:eastAsia="zh-CN"/>
        </w:rPr>
        <w:t>环氧浇注干式变压器</w:t>
      </w:r>
      <w:permEnd w:id="4"/>
      <w:r>
        <w:rPr>
          <w:szCs w:val="21"/>
          <w:lang w:eastAsia="zh-CN"/>
        </w:rPr>
        <w:t>。</w:t>
      </w:r>
      <w:bookmarkEnd w:id="9"/>
      <w:bookmarkEnd w:id="10"/>
      <w:bookmarkEnd w:id="11"/>
      <w:bookmarkEnd w:id="12"/>
      <w:bookmarkEnd w:id="13"/>
      <w:bookmarkEnd w:id="14"/>
      <w:bookmarkEnd w:id="15"/>
      <w:bookmarkEnd w:id="16"/>
      <w:bookmarkEnd w:id="17"/>
    </w:p>
    <w:p>
      <w:pPr>
        <w:pStyle w:val="34"/>
        <w:spacing w:before="0" w:line="360" w:lineRule="auto"/>
        <w:ind w:left="357"/>
        <w:jc w:val="left"/>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20" w:name="_Toc522107737"/>
      <w:bookmarkStart w:id="21" w:name="_Toc522716117"/>
      <w:r>
        <w:rPr>
          <w:rFonts w:ascii="Times New Roman" w:hAnsi="Times New Roman"/>
          <w:b/>
        </w:rPr>
        <w:t>参考文件</w:t>
      </w:r>
      <w:bookmarkEnd w:id="20"/>
      <w:bookmarkEnd w:id="21"/>
    </w:p>
    <w:p>
      <w:pPr>
        <w:pStyle w:val="34"/>
        <w:numPr>
          <w:ilvl w:val="0"/>
          <w:numId w:val="4"/>
        </w:numPr>
        <w:spacing w:before="0" w:line="360" w:lineRule="auto"/>
        <w:jc w:val="left"/>
        <w:rPr>
          <w:color w:val="000000"/>
          <w:szCs w:val="21"/>
          <w:lang w:eastAsia="zh-CN"/>
        </w:rPr>
      </w:pPr>
      <w:r>
        <w:rPr>
          <w:color w:val="000000"/>
          <w:szCs w:val="21"/>
          <w:lang w:eastAsia="zh-CN"/>
        </w:rPr>
        <w:t>GMP法规指南和SOP</w:t>
      </w:r>
    </w:p>
    <w:p>
      <w:pPr>
        <w:pStyle w:val="34"/>
        <w:numPr>
          <w:ilvl w:val="0"/>
          <w:numId w:val="5"/>
        </w:numPr>
        <w:spacing w:before="0" w:line="360" w:lineRule="auto"/>
        <w:ind w:left="777"/>
        <w:jc w:val="left"/>
        <w:rPr>
          <w:color w:val="4472C4"/>
          <w:szCs w:val="21"/>
          <w:lang w:eastAsia="zh-CN"/>
        </w:rPr>
      </w:pPr>
      <w:r>
        <w:rPr>
          <w:color w:val="000000"/>
          <w:szCs w:val="21"/>
          <w:lang w:eastAsia="zh-CN"/>
        </w:rPr>
        <w:t>SOP-06-12-0005 用户需求编写审批SOP</w:t>
      </w:r>
    </w:p>
    <w:p>
      <w:pPr>
        <w:pStyle w:val="34"/>
        <w:numPr>
          <w:ilvl w:val="0"/>
          <w:numId w:val="4"/>
        </w:numPr>
        <w:spacing w:before="0" w:line="360" w:lineRule="auto"/>
        <w:jc w:val="left"/>
        <w:rPr>
          <w:color w:val="000000"/>
          <w:szCs w:val="21"/>
          <w:lang w:eastAsia="zh-CN"/>
        </w:rPr>
      </w:pPr>
      <w:permStart w:id="5" w:edGrp="everyone"/>
      <w:permEnd w:id="5"/>
      <w:r>
        <w:rPr>
          <w:color w:val="000000"/>
          <w:szCs w:val="21"/>
          <w:lang w:eastAsia="zh-CN"/>
        </w:rPr>
        <w:t>安全及环保法规指南</w:t>
      </w:r>
    </w:p>
    <w:p>
      <w:pPr>
        <w:pStyle w:val="34"/>
        <w:numPr>
          <w:ilvl w:val="0"/>
          <w:numId w:val="5"/>
        </w:numPr>
        <w:spacing w:before="0" w:line="360" w:lineRule="auto"/>
        <w:ind w:left="777"/>
        <w:jc w:val="left"/>
        <w:rPr>
          <w:color w:val="000000"/>
          <w:szCs w:val="21"/>
        </w:rPr>
      </w:pPr>
      <w:permStart w:id="6" w:edGrp="everyone"/>
      <w:r>
        <w:rPr>
          <w:color w:val="000000"/>
          <w:szCs w:val="21"/>
        </w:rPr>
        <w:t xml:space="preserve">IEC76           </w:t>
      </w:r>
      <w:r>
        <w:rPr>
          <w:rFonts w:hint="eastAsia"/>
          <w:color w:val="000000"/>
          <w:szCs w:val="21"/>
        </w:rPr>
        <w:t>电力变压器</w:t>
      </w:r>
    </w:p>
    <w:p>
      <w:pPr>
        <w:pStyle w:val="34"/>
        <w:numPr>
          <w:ilvl w:val="0"/>
          <w:numId w:val="5"/>
        </w:numPr>
        <w:spacing w:before="0" w:line="360" w:lineRule="auto"/>
        <w:ind w:left="777"/>
        <w:jc w:val="left"/>
        <w:rPr>
          <w:color w:val="000000"/>
          <w:szCs w:val="21"/>
        </w:rPr>
      </w:pPr>
      <w:r>
        <w:rPr>
          <w:color w:val="000000"/>
          <w:szCs w:val="21"/>
        </w:rPr>
        <w:t xml:space="preserve">IEC726          </w:t>
      </w:r>
      <w:r>
        <w:rPr>
          <w:rFonts w:hint="eastAsia"/>
          <w:color w:val="000000"/>
          <w:szCs w:val="21"/>
        </w:rPr>
        <w:t>干式电力变压器</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IEC905          </w:t>
      </w:r>
      <w:r>
        <w:rPr>
          <w:rFonts w:hint="eastAsia"/>
          <w:color w:val="000000"/>
          <w:szCs w:val="21"/>
          <w:lang w:eastAsia="zh-CN"/>
        </w:rPr>
        <w:t>干式电力变压器负载导则</w:t>
      </w:r>
    </w:p>
    <w:p>
      <w:pPr>
        <w:pStyle w:val="34"/>
        <w:numPr>
          <w:ilvl w:val="0"/>
          <w:numId w:val="5"/>
        </w:numPr>
        <w:spacing w:before="0" w:line="360" w:lineRule="auto"/>
        <w:ind w:left="777"/>
        <w:jc w:val="left"/>
        <w:rPr>
          <w:color w:val="000000"/>
          <w:szCs w:val="21"/>
        </w:rPr>
      </w:pPr>
      <w:r>
        <w:rPr>
          <w:color w:val="000000"/>
          <w:szCs w:val="21"/>
        </w:rPr>
        <w:t xml:space="preserve">GB2900         </w:t>
      </w:r>
      <w:r>
        <w:rPr>
          <w:rFonts w:hint="eastAsia"/>
          <w:color w:val="000000"/>
          <w:szCs w:val="21"/>
        </w:rPr>
        <w:t>《电工名词术语》</w:t>
      </w:r>
    </w:p>
    <w:p>
      <w:pPr>
        <w:pStyle w:val="34"/>
        <w:numPr>
          <w:ilvl w:val="0"/>
          <w:numId w:val="5"/>
        </w:numPr>
        <w:spacing w:before="0" w:line="360" w:lineRule="auto"/>
        <w:ind w:left="777"/>
        <w:jc w:val="left"/>
        <w:rPr>
          <w:color w:val="000000"/>
          <w:szCs w:val="21"/>
        </w:rPr>
      </w:pPr>
      <w:r>
        <w:rPr>
          <w:color w:val="000000"/>
          <w:szCs w:val="21"/>
        </w:rPr>
        <w:t xml:space="preserve">GB1094.11-2007     </w:t>
      </w:r>
      <w:r>
        <w:rPr>
          <w:rFonts w:hint="eastAsia"/>
          <w:color w:val="000000"/>
          <w:szCs w:val="21"/>
        </w:rPr>
        <w:t>电力变压器</w:t>
      </w:r>
    </w:p>
    <w:p>
      <w:pPr>
        <w:pStyle w:val="34"/>
        <w:numPr>
          <w:ilvl w:val="0"/>
          <w:numId w:val="5"/>
        </w:numPr>
        <w:spacing w:before="0" w:line="360" w:lineRule="auto"/>
        <w:ind w:left="777"/>
        <w:jc w:val="left"/>
        <w:rPr>
          <w:color w:val="000000"/>
          <w:szCs w:val="21"/>
        </w:rPr>
      </w:pPr>
      <w:r>
        <w:rPr>
          <w:color w:val="000000"/>
          <w:szCs w:val="21"/>
        </w:rPr>
        <w:t xml:space="preserve">GB6450          </w:t>
      </w:r>
      <w:r>
        <w:rPr>
          <w:rFonts w:hint="eastAsia"/>
          <w:color w:val="000000"/>
          <w:szCs w:val="21"/>
        </w:rPr>
        <w:t>干式电力变压器</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GB/T17211       </w:t>
      </w:r>
      <w:r>
        <w:rPr>
          <w:rFonts w:hint="eastAsia"/>
          <w:color w:val="000000"/>
          <w:szCs w:val="21"/>
          <w:lang w:eastAsia="zh-CN"/>
        </w:rPr>
        <w:t>干式电力变压器负责导则</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GB/T10228       </w:t>
      </w:r>
      <w:r>
        <w:rPr>
          <w:rFonts w:hint="eastAsia"/>
          <w:color w:val="000000"/>
          <w:szCs w:val="21"/>
          <w:lang w:eastAsia="zh-CN"/>
        </w:rPr>
        <w:t>干式电力变压器技术参数和要求</w:t>
      </w:r>
    </w:p>
    <w:p>
      <w:pPr>
        <w:pStyle w:val="34"/>
        <w:numPr>
          <w:ilvl w:val="0"/>
          <w:numId w:val="5"/>
        </w:numPr>
        <w:spacing w:before="0" w:line="360" w:lineRule="auto"/>
        <w:ind w:left="777"/>
        <w:jc w:val="left"/>
        <w:rPr>
          <w:color w:val="000000"/>
          <w:szCs w:val="21"/>
        </w:rPr>
      </w:pPr>
      <w:r>
        <w:rPr>
          <w:color w:val="000000"/>
          <w:szCs w:val="21"/>
        </w:rPr>
        <w:t xml:space="preserve">GB/T16927.1.2   </w:t>
      </w:r>
      <w:r>
        <w:rPr>
          <w:rFonts w:hint="eastAsia"/>
          <w:color w:val="000000"/>
          <w:szCs w:val="21"/>
        </w:rPr>
        <w:t>高压试验技术；</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GB311.1         </w:t>
      </w:r>
      <w:r>
        <w:rPr>
          <w:rFonts w:hint="eastAsia"/>
          <w:color w:val="000000"/>
          <w:szCs w:val="21"/>
          <w:lang w:eastAsia="zh-CN"/>
        </w:rPr>
        <w:t>高压输变电设备的绝缘配合；</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GB10237         </w:t>
      </w:r>
      <w:r>
        <w:rPr>
          <w:rFonts w:hint="eastAsia"/>
          <w:color w:val="000000"/>
          <w:szCs w:val="21"/>
          <w:lang w:eastAsia="zh-CN"/>
        </w:rPr>
        <w:t>绝缘水平和绝缘试验、外绝缘空气间隙</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GB7328          </w:t>
      </w:r>
      <w:r>
        <w:rPr>
          <w:rFonts w:hint="eastAsia"/>
          <w:color w:val="000000"/>
          <w:szCs w:val="21"/>
          <w:lang w:eastAsia="zh-CN"/>
        </w:rPr>
        <w:t>变压器和电抗器声级测定；</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GB50150         </w:t>
      </w:r>
      <w:r>
        <w:rPr>
          <w:rFonts w:hint="eastAsia"/>
          <w:color w:val="000000"/>
          <w:szCs w:val="21"/>
          <w:lang w:eastAsia="zh-CN"/>
        </w:rPr>
        <w:t>电气装置安装工程电气设备交接试验标准</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GB5273          </w:t>
      </w:r>
      <w:r>
        <w:rPr>
          <w:rFonts w:hint="eastAsia"/>
          <w:color w:val="000000"/>
          <w:szCs w:val="21"/>
          <w:lang w:eastAsia="zh-CN"/>
        </w:rPr>
        <w:t>变压器、高压电器和套管的接线端子</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GB4208          </w:t>
      </w:r>
      <w:r>
        <w:rPr>
          <w:rFonts w:hint="eastAsia"/>
          <w:color w:val="000000"/>
          <w:szCs w:val="21"/>
          <w:lang w:eastAsia="zh-CN"/>
        </w:rPr>
        <w:t>外壳防护等级（</w:t>
      </w:r>
      <w:r>
        <w:rPr>
          <w:color w:val="000000"/>
          <w:szCs w:val="21"/>
          <w:lang w:eastAsia="zh-CN"/>
        </w:rPr>
        <w:t>IP</w:t>
      </w:r>
      <w:r>
        <w:rPr>
          <w:rFonts w:hint="eastAsia"/>
          <w:color w:val="000000"/>
          <w:szCs w:val="21"/>
          <w:lang w:eastAsia="zh-CN"/>
        </w:rPr>
        <w:t>代码）</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GB50229        </w:t>
      </w:r>
      <w:r>
        <w:rPr>
          <w:rFonts w:hint="eastAsia"/>
          <w:color w:val="000000"/>
          <w:szCs w:val="21"/>
          <w:lang w:eastAsia="zh-CN"/>
        </w:rPr>
        <w:t>《火力发电厂与变电所设计防火规范》</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GB5027         </w:t>
      </w:r>
      <w:r>
        <w:rPr>
          <w:rFonts w:hint="eastAsia"/>
          <w:color w:val="000000"/>
          <w:szCs w:val="21"/>
          <w:lang w:eastAsia="zh-CN"/>
        </w:rPr>
        <w:t>《电力设备典型消防规程》</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GB4109         </w:t>
      </w:r>
      <w:r>
        <w:rPr>
          <w:rFonts w:hint="eastAsia"/>
          <w:color w:val="000000"/>
          <w:szCs w:val="21"/>
          <w:lang w:eastAsia="zh-CN"/>
        </w:rPr>
        <w:t>《交流电压高于</w:t>
      </w:r>
      <w:r>
        <w:rPr>
          <w:color w:val="000000"/>
          <w:szCs w:val="21"/>
          <w:lang w:eastAsia="zh-CN"/>
        </w:rPr>
        <w:t>1000V</w:t>
      </w:r>
      <w:r>
        <w:rPr>
          <w:rFonts w:hint="eastAsia"/>
          <w:color w:val="000000"/>
          <w:szCs w:val="21"/>
          <w:lang w:eastAsia="zh-CN"/>
        </w:rPr>
        <w:t>的套管通用技术条件》</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GB10237        </w:t>
      </w:r>
      <w:r>
        <w:rPr>
          <w:rFonts w:hint="eastAsia"/>
          <w:color w:val="000000"/>
          <w:szCs w:val="21"/>
          <w:lang w:eastAsia="zh-CN"/>
        </w:rPr>
        <w:t>《电力变压器绝缘水平和绝缘试验外绝缘的空气间隙》</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GB7449         </w:t>
      </w:r>
      <w:r>
        <w:rPr>
          <w:rFonts w:hint="eastAsia"/>
          <w:color w:val="000000"/>
          <w:szCs w:val="21"/>
          <w:lang w:eastAsia="zh-CN"/>
        </w:rPr>
        <w:t>《电力变压器和电抗器的雷电冲击和操作冲击试验导则》</w:t>
      </w:r>
    </w:p>
    <w:p>
      <w:pPr>
        <w:pStyle w:val="34"/>
        <w:numPr>
          <w:ilvl w:val="0"/>
          <w:numId w:val="5"/>
        </w:numPr>
        <w:spacing w:before="0" w:line="360" w:lineRule="auto"/>
        <w:ind w:left="777"/>
        <w:jc w:val="left"/>
        <w:rPr>
          <w:color w:val="000000"/>
          <w:szCs w:val="21"/>
        </w:rPr>
      </w:pPr>
      <w:r>
        <w:rPr>
          <w:color w:val="000000"/>
          <w:szCs w:val="21"/>
        </w:rPr>
        <w:t xml:space="preserve">GB156          </w:t>
      </w:r>
      <w:r>
        <w:rPr>
          <w:rFonts w:hint="eastAsia"/>
          <w:color w:val="000000"/>
          <w:szCs w:val="21"/>
        </w:rPr>
        <w:t>《标准电压》</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GB191           </w:t>
      </w:r>
      <w:r>
        <w:rPr>
          <w:rFonts w:hint="eastAsia"/>
          <w:color w:val="000000"/>
          <w:szCs w:val="21"/>
          <w:lang w:eastAsia="zh-CN"/>
        </w:rPr>
        <w:t>包装、储运指示标志</w:t>
      </w:r>
    </w:p>
    <w:p>
      <w:pPr>
        <w:pStyle w:val="34"/>
        <w:numPr>
          <w:ilvl w:val="0"/>
          <w:numId w:val="5"/>
        </w:numPr>
        <w:spacing w:before="0" w:line="360" w:lineRule="auto"/>
        <w:ind w:left="777"/>
        <w:jc w:val="left"/>
        <w:rPr>
          <w:color w:val="000000"/>
          <w:szCs w:val="21"/>
          <w:lang w:eastAsia="zh-CN"/>
        </w:rPr>
      </w:pPr>
      <w:r>
        <w:rPr>
          <w:color w:val="000000"/>
          <w:szCs w:val="21"/>
          <w:lang w:eastAsia="zh-CN"/>
        </w:rPr>
        <w:t xml:space="preserve">IEC60076-5      </w:t>
      </w:r>
      <w:r>
        <w:rPr>
          <w:rFonts w:hint="eastAsia"/>
          <w:color w:val="000000"/>
          <w:szCs w:val="21"/>
          <w:lang w:eastAsia="zh-CN"/>
        </w:rPr>
        <w:t>电力变压器承受短路的能力；</w:t>
      </w:r>
    </w:p>
    <w:p>
      <w:pPr>
        <w:pStyle w:val="34"/>
        <w:numPr>
          <w:ilvl w:val="0"/>
          <w:numId w:val="5"/>
        </w:numPr>
        <w:spacing w:before="0" w:line="360" w:lineRule="auto"/>
        <w:ind w:left="777"/>
        <w:jc w:val="left"/>
        <w:rPr>
          <w:color w:val="000000"/>
          <w:szCs w:val="21"/>
        </w:rPr>
      </w:pPr>
      <w:r>
        <w:rPr>
          <w:color w:val="000000"/>
          <w:szCs w:val="21"/>
        </w:rPr>
        <w:t xml:space="preserve">IEC60076-9      </w:t>
      </w:r>
      <w:r>
        <w:rPr>
          <w:rFonts w:hint="eastAsia"/>
          <w:color w:val="000000"/>
          <w:szCs w:val="21"/>
        </w:rPr>
        <w:t>端子和分接标志；</w:t>
      </w:r>
    </w:p>
    <w:p>
      <w:pPr>
        <w:pStyle w:val="34"/>
        <w:spacing w:before="0" w:line="360" w:lineRule="auto"/>
        <w:jc w:val="left"/>
        <w:rPr>
          <w:color w:val="000000"/>
          <w:szCs w:val="21"/>
          <w:lang w:eastAsia="zh-CN"/>
        </w:rPr>
      </w:pPr>
    </w:p>
    <w:permEnd w:id="6"/>
    <w:p>
      <w:pPr>
        <w:pStyle w:val="34"/>
        <w:spacing w:before="0" w:line="360" w:lineRule="auto"/>
        <w:ind w:left="357"/>
        <w:jc w:val="left"/>
        <w:rPr>
          <w:i/>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22" w:name="_Toc522107739"/>
      <w:bookmarkStart w:id="23" w:name="_Toc522716119"/>
      <w:permStart w:id="7" w:edGrp="everyone"/>
      <w:permEnd w:id="7"/>
      <w:bookmarkStart w:id="49" w:name="_GoBack"/>
      <w:bookmarkEnd w:id="49"/>
      <w:r>
        <w:rPr>
          <w:rFonts w:ascii="Times New Roman" w:hAnsi="Times New Roman"/>
          <w:b/>
        </w:rPr>
        <w:t>系统描述</w:t>
      </w:r>
      <w:bookmarkEnd w:id="22"/>
      <w:bookmarkEnd w:id="23"/>
    </w:p>
    <w:p>
      <w:pPr>
        <w:pStyle w:val="34"/>
        <w:spacing w:before="0" w:line="360" w:lineRule="auto"/>
        <w:ind w:left="357"/>
        <w:jc w:val="left"/>
        <w:rPr>
          <w:i/>
          <w:color w:val="4472C4"/>
          <w:szCs w:val="21"/>
          <w:lang w:eastAsia="zh-CN"/>
        </w:rPr>
      </w:pPr>
      <w:permStart w:id="8" w:edGrp="everyone"/>
      <w:r>
        <w:rPr>
          <w:rFonts w:hint="eastAsia"/>
          <w:szCs w:val="21"/>
          <w:lang w:eastAsia="zh-CN"/>
        </w:rPr>
        <w:t>所购环氧浇注干式变压器将用于全所变电站及配电间的设备运行</w:t>
      </w:r>
      <w:r>
        <w:rPr>
          <w:szCs w:val="21"/>
          <w:lang w:eastAsia="zh-CN"/>
        </w:rPr>
        <w:t>。</w:t>
      </w:r>
      <w:permEnd w:id="8"/>
    </w:p>
    <w:p>
      <w:pPr>
        <w:pStyle w:val="30"/>
        <w:numPr>
          <w:ilvl w:val="0"/>
          <w:numId w:val="3"/>
        </w:numPr>
        <w:spacing w:after="158" w:afterLines="50"/>
        <w:ind w:left="426" w:hanging="426" w:hangingChars="202"/>
        <w:outlineLvl w:val="0"/>
        <w:rPr>
          <w:rFonts w:ascii="Times New Roman" w:hAnsi="Times New Roman"/>
          <w:b/>
          <w:szCs w:val="21"/>
        </w:rPr>
      </w:pPr>
      <w:bookmarkStart w:id="24" w:name="_Toc522716120"/>
      <w:r>
        <w:rPr>
          <w:rFonts w:ascii="Times New Roman" w:hAnsi="Times New Roman"/>
          <w:b/>
          <w:szCs w:val="21"/>
        </w:rPr>
        <w:t>安装要求</w:t>
      </w:r>
      <w:bookmarkEnd w:id="24"/>
    </w:p>
    <w:p>
      <w:pPr>
        <w:pStyle w:val="30"/>
        <w:spacing w:after="158" w:afterLines="50"/>
        <w:ind w:left="425" w:firstLine="0" w:firstLineChars="0"/>
        <w:rPr>
          <w:rFonts w:ascii="Times New Roman" w:hAnsi="Times New Roman"/>
          <w:szCs w:val="21"/>
        </w:rPr>
      </w:pPr>
      <w:permStart w:id="9" w:edGrp="everyone"/>
      <w:permEnd w:id="9"/>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bookmarkStart w:id="25" w:name="OLE_LINK1"/>
            <w:bookmarkStart w:id="26" w:name="OLE_LINK2"/>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0" w:edGrp="everyone"/>
          </w:p>
        </w:tc>
        <w:tc>
          <w:tcPr>
            <w:tcW w:w="7128" w:type="dxa"/>
            <w:vAlign w:val="center"/>
          </w:tcPr>
          <w:p>
            <w:pPr>
              <w:spacing w:line="276" w:lineRule="auto"/>
              <w:jc w:val="both"/>
              <w:rPr>
                <w:szCs w:val="21"/>
                <w:lang w:eastAsia="zh-CN"/>
              </w:rPr>
            </w:pPr>
            <w:r>
              <w:rPr>
                <w:rFonts w:hint="eastAsia"/>
                <w:szCs w:val="21"/>
                <w:lang w:eastAsia="zh-CN"/>
              </w:rPr>
              <w:t>101楼配电室内。</w:t>
            </w:r>
          </w:p>
        </w:tc>
        <w:tc>
          <w:tcPr>
            <w:tcW w:w="2125" w:type="dxa"/>
            <w:vAlign w:val="center"/>
          </w:tcPr>
          <w:p>
            <w:pPr>
              <w:jc w:val="both"/>
              <w:rPr>
                <w:szCs w:val="21"/>
                <w:lang w:eastAsia="zh-CN"/>
              </w:rPr>
            </w:pPr>
            <w:r>
              <w:rPr>
                <w:szCs w:val="21"/>
                <w:lang w:eastAsia="zh-CN"/>
              </w:rPr>
              <w:t>关键</w:t>
            </w: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安装尺寸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1" w:edGrp="everyone"/>
          </w:p>
        </w:tc>
        <w:tc>
          <w:tcPr>
            <w:tcW w:w="7128" w:type="dxa"/>
            <w:vAlign w:val="center"/>
          </w:tcPr>
          <w:p>
            <w:pPr>
              <w:spacing w:line="276" w:lineRule="auto"/>
              <w:jc w:val="both"/>
              <w:rPr>
                <w:szCs w:val="21"/>
                <w:lang w:eastAsia="zh-CN"/>
              </w:rPr>
            </w:pPr>
            <w:r>
              <w:rPr>
                <w:szCs w:val="21"/>
                <w:lang w:eastAsia="zh-CN"/>
              </w:rPr>
              <w:t>设备的形式尺寸应符合制造商说明书及技术文件规定的要求。</w:t>
            </w:r>
          </w:p>
        </w:tc>
        <w:tc>
          <w:tcPr>
            <w:tcW w:w="2125" w:type="dxa"/>
            <w:vAlign w:val="center"/>
          </w:tcPr>
          <w:p>
            <w:pPr>
              <w:jc w:val="both"/>
              <w:rPr>
                <w:szCs w:val="21"/>
                <w:lang w:eastAsia="zh-CN"/>
              </w:rPr>
            </w:pPr>
            <w:r>
              <w:rPr>
                <w:rFonts w:hint="eastAsia"/>
                <w:szCs w:val="21"/>
                <w:lang w:eastAsia="zh-CN"/>
              </w:rPr>
              <w:t>关键</w:t>
            </w: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承重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2"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可用的公用系统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3"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洁净级别和房间环境条件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4" w:edGrp="everyone"/>
          </w:p>
        </w:tc>
        <w:tc>
          <w:tcPr>
            <w:tcW w:w="7128" w:type="dxa"/>
            <w:vAlign w:val="center"/>
          </w:tcPr>
          <w:p>
            <w:pPr>
              <w:spacing w:line="276" w:lineRule="auto"/>
              <w:jc w:val="both"/>
              <w:rPr>
                <w:szCs w:val="21"/>
                <w:lang w:eastAsia="zh-CN"/>
              </w:rPr>
            </w:pPr>
            <w:r>
              <w:rPr>
                <w:lang w:eastAsia="zh-CN"/>
              </w:rPr>
              <w:t>工作环境温度：能适应</w:t>
            </w:r>
            <w:r>
              <w:rPr>
                <w:rFonts w:hint="eastAsia"/>
                <w:lang w:eastAsia="zh-CN"/>
              </w:rPr>
              <w:t>-5</w:t>
            </w:r>
            <w:r>
              <w:rPr>
                <w:rFonts w:hint="eastAsia" w:ascii="宋体" w:hAnsi="宋体" w:cs="宋体"/>
                <w:lang w:eastAsia="zh-CN"/>
              </w:rPr>
              <w:t>℃</w:t>
            </w:r>
            <w:r>
              <w:rPr>
                <w:lang w:eastAsia="zh-CN"/>
              </w:rPr>
              <w:t>～</w:t>
            </w:r>
            <w:r>
              <w:rPr>
                <w:rFonts w:hint="eastAsia"/>
                <w:lang w:eastAsia="zh-CN"/>
              </w:rPr>
              <w:t>40</w:t>
            </w:r>
            <w:r>
              <w:rPr>
                <w:rFonts w:hint="eastAsia" w:ascii="宋体" w:hAnsi="宋体" w:cs="宋体"/>
                <w:lang w:eastAsia="zh-CN"/>
              </w:rPr>
              <w:t>℃</w:t>
            </w:r>
            <w:r>
              <w:rPr>
                <w:lang w:eastAsia="zh-CN"/>
              </w:rPr>
              <w:t xml:space="preserve">环境 </w:t>
            </w:r>
          </w:p>
        </w:tc>
        <w:tc>
          <w:tcPr>
            <w:tcW w:w="2125" w:type="dxa"/>
            <w:vAlign w:val="center"/>
          </w:tcPr>
          <w:p>
            <w:pPr>
              <w:jc w:val="both"/>
              <w:rPr>
                <w:szCs w:val="21"/>
                <w:lang w:eastAsia="zh-CN"/>
              </w:rPr>
            </w:pPr>
            <w:r>
              <w:rPr>
                <w:rFonts w:hint="eastAsia"/>
                <w:szCs w:val="21"/>
                <w:lang w:eastAsia="zh-CN"/>
              </w:rPr>
              <w:t>关键</w:t>
            </w: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5" w:edGrp="everyone"/>
          </w:p>
        </w:tc>
        <w:tc>
          <w:tcPr>
            <w:tcW w:w="7128" w:type="dxa"/>
            <w:vAlign w:val="center"/>
          </w:tcPr>
          <w:p>
            <w:pPr>
              <w:spacing w:line="276" w:lineRule="auto"/>
              <w:jc w:val="both"/>
              <w:rPr>
                <w:szCs w:val="21"/>
                <w:lang w:eastAsia="zh-CN"/>
              </w:rPr>
            </w:pPr>
            <w:r>
              <w:rPr>
                <w:lang w:eastAsia="zh-CN"/>
              </w:rPr>
              <w:t>工作环境湿度：至少包括45%～</w:t>
            </w:r>
            <w:r>
              <w:rPr>
                <w:rFonts w:hint="eastAsia"/>
                <w:lang w:eastAsia="zh-CN"/>
              </w:rPr>
              <w:t>90</w:t>
            </w:r>
            <w:r>
              <w:rPr>
                <w:lang w:eastAsia="zh-CN"/>
              </w:rPr>
              <w:t>%</w:t>
            </w:r>
          </w:p>
        </w:tc>
        <w:tc>
          <w:tcPr>
            <w:tcW w:w="2125" w:type="dxa"/>
            <w:vAlign w:val="center"/>
          </w:tcPr>
          <w:p>
            <w:pPr>
              <w:jc w:val="both"/>
              <w:rPr>
                <w:szCs w:val="21"/>
                <w:lang w:eastAsia="zh-CN"/>
              </w:rPr>
            </w:pPr>
            <w:r>
              <w:rPr>
                <w:rFonts w:hint="eastAsia"/>
                <w:szCs w:val="21"/>
                <w:lang w:eastAsia="zh-CN"/>
              </w:rPr>
              <w:t>关键</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6" w:edGrp="everyone"/>
          </w:p>
        </w:tc>
        <w:tc>
          <w:tcPr>
            <w:tcW w:w="7128" w:type="dxa"/>
            <w:vAlign w:val="center"/>
          </w:tcPr>
          <w:p>
            <w:pPr>
              <w:spacing w:line="276" w:lineRule="auto"/>
              <w:jc w:val="both"/>
              <w:rPr>
                <w:lang w:eastAsia="zh-CN"/>
              </w:rPr>
            </w:pPr>
            <w:r>
              <w:rPr>
                <w:lang w:eastAsia="zh-CN"/>
              </w:rPr>
              <w:t>工作环境洁净级别：普通区域</w:t>
            </w:r>
            <w:r>
              <w:rPr>
                <w:rFonts w:hint="eastAsia"/>
                <w:lang w:eastAsia="zh-CN"/>
              </w:rPr>
              <w:t xml:space="preserve"> </w:t>
            </w:r>
          </w:p>
        </w:tc>
        <w:tc>
          <w:tcPr>
            <w:tcW w:w="2125" w:type="dxa"/>
            <w:vAlign w:val="center"/>
          </w:tcPr>
          <w:p>
            <w:pPr>
              <w:jc w:val="both"/>
              <w:rPr>
                <w:szCs w:val="21"/>
                <w:lang w:eastAsia="zh-CN"/>
              </w:rPr>
            </w:pPr>
            <w:r>
              <w:rPr>
                <w:rFonts w:hint="eastAsia"/>
                <w:szCs w:val="21"/>
                <w:lang w:eastAsia="zh-CN"/>
              </w:rPr>
              <w:t>关键</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可用的能源配置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7" w:edGrp="everyone"/>
          </w:p>
        </w:tc>
        <w:tc>
          <w:tcPr>
            <w:tcW w:w="9253" w:type="dxa"/>
            <w:gridSpan w:val="2"/>
            <w:vAlign w:val="center"/>
          </w:tcPr>
          <w:p>
            <w:pPr>
              <w:jc w:val="both"/>
              <w:rPr>
                <w:szCs w:val="21"/>
                <w:lang w:eastAsia="zh-CN"/>
              </w:rPr>
            </w:pPr>
            <w:r>
              <w:rPr>
                <w:color w:val="000000"/>
                <w:lang w:eastAsia="zh-CN"/>
              </w:rPr>
              <w:t>N</w:t>
            </w:r>
            <w:r>
              <w:rPr>
                <w:rFonts w:hint="eastAsia"/>
                <w:color w:val="000000"/>
                <w:lang w:eastAsia="zh-CN"/>
              </w:rPr>
              <w:t>/</w:t>
            </w:r>
            <w:r>
              <w:rPr>
                <w:color w:val="000000"/>
                <w:lang w:eastAsia="zh-CN"/>
              </w:rPr>
              <w:t>A</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外观材质要求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8" w:edGrp="everyone"/>
          </w:p>
        </w:tc>
        <w:tc>
          <w:tcPr>
            <w:tcW w:w="7128" w:type="dxa"/>
            <w:vAlign w:val="center"/>
          </w:tcPr>
          <w:p>
            <w:pPr>
              <w:spacing w:line="276" w:lineRule="auto"/>
              <w:jc w:val="both"/>
              <w:rPr>
                <w:color w:val="000000"/>
                <w:lang w:eastAsia="zh-CN"/>
              </w:rPr>
            </w:pPr>
            <w:r>
              <w:rPr>
                <w:rFonts w:hint="eastAsia"/>
                <w:lang w:eastAsia="zh-CN"/>
              </w:rPr>
              <w:t>外壳上应有“高压危险”和“禁止触摸”的警示标示。</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val="en-US" w:eastAsia="zh-CN"/>
              </w:rPr>
              <w:t>标识</w:t>
            </w:r>
            <w:r>
              <w:rPr>
                <w:szCs w:val="21"/>
                <w:lang w:eastAsia="zh-CN"/>
              </w:rPr>
              <w:t xml:space="preserve">：至少应有以下永久贴牢和清楚易认的标识： </w:t>
            </w:r>
          </w:p>
          <w:p>
            <w:pPr>
              <w:spacing w:line="276" w:lineRule="auto"/>
              <w:jc w:val="both"/>
              <w:rPr>
                <w:szCs w:val="21"/>
                <w:lang w:eastAsia="zh-CN"/>
              </w:rPr>
            </w:pPr>
            <w:r>
              <w:rPr>
                <w:szCs w:val="21"/>
                <w:lang w:eastAsia="zh-CN"/>
              </w:rPr>
              <w:t>（1）制造/供应单位；</w:t>
            </w:r>
          </w:p>
          <w:p>
            <w:pPr>
              <w:spacing w:line="276" w:lineRule="auto"/>
              <w:jc w:val="both"/>
              <w:rPr>
                <w:szCs w:val="21"/>
                <w:lang w:eastAsia="zh-CN"/>
              </w:rPr>
            </w:pPr>
            <w:r>
              <w:rPr>
                <w:szCs w:val="21"/>
                <w:lang w:eastAsia="zh-CN"/>
              </w:rPr>
              <w:t>（2）产品注册号；</w:t>
            </w:r>
          </w:p>
          <w:p>
            <w:pPr>
              <w:spacing w:line="276" w:lineRule="auto"/>
              <w:jc w:val="both"/>
              <w:rPr>
                <w:szCs w:val="21"/>
                <w:lang w:eastAsia="zh-CN"/>
              </w:rPr>
            </w:pPr>
            <w:r>
              <w:rPr>
                <w:szCs w:val="21"/>
                <w:lang w:eastAsia="zh-CN"/>
              </w:rPr>
              <w:t>（3）型号；</w:t>
            </w:r>
          </w:p>
          <w:p>
            <w:pPr>
              <w:spacing w:line="276" w:lineRule="auto"/>
              <w:jc w:val="both"/>
              <w:rPr>
                <w:szCs w:val="21"/>
                <w:lang w:eastAsia="zh-CN"/>
              </w:rPr>
            </w:pPr>
            <w:r>
              <w:rPr>
                <w:szCs w:val="21"/>
                <w:lang w:eastAsia="zh-CN"/>
              </w:rPr>
              <w:t>（4）生产日期或编号；</w:t>
            </w:r>
          </w:p>
          <w:p>
            <w:pPr>
              <w:spacing w:line="276" w:lineRule="auto"/>
              <w:jc w:val="both"/>
              <w:rPr>
                <w:szCs w:val="21"/>
                <w:lang w:eastAsia="zh-CN"/>
              </w:rPr>
            </w:pPr>
            <w:r>
              <w:rPr>
                <w:szCs w:val="21"/>
                <w:lang w:eastAsia="zh-CN"/>
              </w:rPr>
              <w:t>（5）</w:t>
            </w:r>
            <w:r>
              <w:rPr>
                <w:rFonts w:hint="eastAsia"/>
                <w:szCs w:val="21"/>
                <w:lang w:eastAsia="zh-CN"/>
              </w:rPr>
              <w:t>标注</w:t>
            </w:r>
            <w:r>
              <w:rPr>
                <w:szCs w:val="21"/>
                <w:lang w:eastAsia="zh-CN"/>
              </w:rPr>
              <w:t>设备</w:t>
            </w:r>
            <w:r>
              <w:rPr>
                <w:rFonts w:hint="eastAsia"/>
                <w:szCs w:val="21"/>
                <w:lang w:eastAsia="zh-CN"/>
              </w:rPr>
              <w:t>重要参数</w:t>
            </w:r>
            <w:r>
              <w:rPr>
                <w:szCs w:val="21"/>
                <w:lang w:eastAsia="zh-CN"/>
              </w:rPr>
              <w:t>；</w:t>
            </w:r>
          </w:p>
          <w:p>
            <w:pPr>
              <w:pStyle w:val="8"/>
              <w:spacing w:line="276" w:lineRule="auto"/>
              <w:rPr>
                <w:color w:val="0070C0"/>
                <w:sz w:val="21"/>
                <w:szCs w:val="21"/>
                <w:lang w:eastAsia="zh-CN"/>
              </w:rPr>
            </w:pPr>
            <w:r>
              <w:rPr>
                <w:sz w:val="21"/>
                <w:szCs w:val="21"/>
              </w:rPr>
              <w:t>（</w:t>
            </w:r>
            <w:r>
              <w:rPr>
                <w:sz w:val="21"/>
                <w:szCs w:val="21"/>
                <w:lang w:eastAsia="zh-CN"/>
              </w:rPr>
              <w:t>6</w:t>
            </w:r>
            <w:r>
              <w:rPr>
                <w:sz w:val="21"/>
                <w:szCs w:val="21"/>
              </w:rPr>
              <w:t>）安全标识。</w:t>
            </w:r>
          </w:p>
        </w:tc>
        <w:tc>
          <w:tcPr>
            <w:tcW w:w="2125" w:type="dxa"/>
            <w:vAlign w:val="center"/>
          </w:tcPr>
          <w:p>
            <w:pPr>
              <w:jc w:val="both"/>
              <w:rPr>
                <w:szCs w:val="21"/>
                <w:lang w:eastAsia="zh-CN"/>
              </w:rPr>
            </w:pPr>
            <w:r>
              <w:rPr>
                <w:rFonts w:hint="eastAsia"/>
                <w:szCs w:val="21"/>
                <w:lang w:eastAsia="zh-CN"/>
              </w:rPr>
              <w:t>关键</w:t>
            </w:r>
          </w:p>
        </w:tc>
      </w:tr>
      <w:bookmarkEnd w:id="25"/>
      <w:bookmarkEnd w:id="26"/>
      <w:permEnd w:id="18"/>
    </w:tbl>
    <w:p>
      <w:pPr>
        <w:pStyle w:val="30"/>
        <w:spacing w:after="158" w:afterLines="50"/>
        <w:ind w:left="425" w:firstLine="0" w:firstLineChars="0"/>
        <w:rPr>
          <w:rFonts w:ascii="Times New Roman" w:hAnsi="Times New Roman"/>
          <w:szCs w:val="21"/>
        </w:rPr>
      </w:pPr>
    </w:p>
    <w:p>
      <w:pPr>
        <w:pStyle w:val="30"/>
        <w:numPr>
          <w:ilvl w:val="0"/>
          <w:numId w:val="3"/>
        </w:numPr>
        <w:spacing w:after="158" w:afterLines="50"/>
        <w:ind w:left="426" w:hanging="426" w:hangingChars="202"/>
        <w:outlineLvl w:val="0"/>
        <w:rPr>
          <w:rFonts w:ascii="Times New Roman" w:hAnsi="Times New Roman"/>
          <w:b/>
        </w:rPr>
      </w:pPr>
      <w:bookmarkStart w:id="27" w:name="_Toc522107740"/>
      <w:bookmarkStart w:id="28" w:name="_Toc522716121"/>
      <w:r>
        <w:rPr>
          <w:rFonts w:ascii="Times New Roman" w:hAnsi="Times New Roman"/>
          <w:b/>
        </w:rPr>
        <w:t>运行要求</w:t>
      </w:r>
      <w:bookmarkEnd w:id="27"/>
      <w:bookmarkEnd w:id="28"/>
    </w:p>
    <w:p>
      <w:pPr>
        <w:pStyle w:val="34"/>
        <w:spacing w:before="0" w:line="360" w:lineRule="auto"/>
        <w:jc w:val="left"/>
        <w:rPr>
          <w:bCs/>
          <w:i/>
          <w:color w:val="4472C4"/>
          <w:kern w:val="44"/>
          <w:szCs w:val="21"/>
          <w:lang w:eastAsia="zh-CN"/>
        </w:rPr>
      </w:pPr>
      <w:permStart w:id="19"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19"/>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lang w:eastAsia="zh-CN"/>
              </w:rPr>
              <w:t>原辅料、包装材料、产品的规格标准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20" w:edGrp="everyone"/>
          </w:p>
        </w:tc>
        <w:tc>
          <w:tcPr>
            <w:tcW w:w="7128" w:type="dxa"/>
            <w:vAlign w:val="center"/>
          </w:tcPr>
          <w:p>
            <w:pPr>
              <w:spacing w:line="276" w:lineRule="auto"/>
              <w:jc w:val="both"/>
              <w:rPr>
                <w:szCs w:val="21"/>
                <w:lang w:eastAsia="zh-CN"/>
              </w:rPr>
            </w:pPr>
            <w:r>
              <w:rPr>
                <w:rFonts w:hint="eastAsia"/>
                <w:szCs w:val="21"/>
                <w:lang w:eastAsia="zh-CN"/>
              </w:rPr>
              <w:t>型号：明珠电气股份有限公司SCB11；额定电压:10/0.4kV；3相；频率：50Hz</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额定容量：2500KVA；变压器能调压；接线组别:D.yn11。</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冷却方式: AN/FN；冷却介质：空气。</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分接范围：10±2X2.5%。</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绝缘等级:H级。阻抗电压：Ud％=6。</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防护等级：IP4X。噪声标准：≤45dB。</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附机： 风冷系统＋温显温控系统＋铝合金外壳。</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环氧树脂产地为进口树脂。</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线圈产地为99.99%的进口铜。</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变压器设备需按业主要求安放至指定位置，应配合并满足设备安装条件。</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铁芯磁密度选项：日本新日铁120、美国冶联钢铁、武钢</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高压线圈材质：铜线（进口）</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低压线圈材质：铜线（箔）</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短期过载能力（6小时内）130%</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长期过载能力（使用寿命内）120%</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绝缘水平：H</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使用寿命：20年</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变压器外壳有明显的接地点（螺栓连接）和标志。变压器的金属骨架均应有符合技术条件的接地, 并且可与专门的接地体连接牢固</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含IP3X保护罩、温控控制设备</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变压器的附件</w:t>
            </w:r>
          </w:p>
          <w:p>
            <w:pPr>
              <w:spacing w:line="276" w:lineRule="auto"/>
              <w:jc w:val="both"/>
              <w:rPr>
                <w:lang w:eastAsia="zh-CN"/>
              </w:rPr>
            </w:pPr>
            <w:r>
              <w:rPr>
                <w:rFonts w:hint="eastAsia"/>
                <w:lang w:eastAsia="zh-CN"/>
              </w:rPr>
              <w:t>（1）温度显示控制系统</w:t>
            </w:r>
          </w:p>
          <w:p>
            <w:pPr>
              <w:spacing w:line="276" w:lineRule="auto"/>
              <w:jc w:val="both"/>
              <w:rPr>
                <w:lang w:eastAsia="zh-CN"/>
              </w:rPr>
            </w:pPr>
            <w:r>
              <w:rPr>
                <w:rFonts w:hint="eastAsia"/>
                <w:lang w:eastAsia="zh-CN"/>
              </w:rPr>
              <w:t>变压器采用温度显示控制系统，PT100线性铂电阻测温双重回路保护，LED温度巡回显示，单片机控制，可校调控制温度、自动/手动启停风机，自动发出报警、跳闸信号、记录运行温度的最大值。配置RS485通讯接口。</w:t>
            </w:r>
          </w:p>
          <w:p>
            <w:pPr>
              <w:spacing w:line="276" w:lineRule="auto"/>
              <w:jc w:val="both"/>
              <w:rPr>
                <w:lang w:eastAsia="zh-CN"/>
              </w:rPr>
            </w:pPr>
            <w:r>
              <w:rPr>
                <w:rFonts w:hint="eastAsia"/>
                <w:lang w:eastAsia="zh-CN"/>
              </w:rPr>
              <w:t>（2）风冷系统</w:t>
            </w:r>
          </w:p>
          <w:p>
            <w:pPr>
              <w:spacing w:line="276" w:lineRule="auto"/>
              <w:jc w:val="both"/>
              <w:rPr>
                <w:lang w:eastAsia="zh-CN"/>
              </w:rPr>
            </w:pPr>
            <w:r>
              <w:rPr>
                <w:rFonts w:hint="eastAsia"/>
                <w:lang w:eastAsia="zh-CN"/>
              </w:rPr>
              <w:t>采用帘式风机，具有噪音低、省电、冷却均匀、易安装的优点。</w:t>
            </w:r>
          </w:p>
          <w:p>
            <w:pPr>
              <w:spacing w:line="276" w:lineRule="auto"/>
              <w:jc w:val="both"/>
              <w:rPr>
                <w:lang w:eastAsia="zh-CN"/>
              </w:rPr>
            </w:pPr>
            <w:r>
              <w:rPr>
                <w:rFonts w:hint="eastAsia"/>
                <w:lang w:eastAsia="zh-CN"/>
              </w:rPr>
              <w:t>（3）变压器可以根据不同的接口形式制造常规出线、标准封闭母线出线和标准侧出线，也可根据用户要求设计特殊出线方式。</w:t>
            </w:r>
          </w:p>
        </w:tc>
        <w:tc>
          <w:tcPr>
            <w:tcW w:w="2125" w:type="dxa"/>
            <w:vAlign w:val="center"/>
          </w:tcPr>
          <w:p>
            <w:pPr>
              <w:jc w:val="both"/>
            </w:pPr>
            <w:r>
              <w:rPr>
                <w:rFonts w:hint="eastAsia"/>
              </w:rPr>
              <w:t>关键</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设备效率、产能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1" w:edGrp="everyone"/>
          </w:p>
        </w:tc>
        <w:tc>
          <w:tcPr>
            <w:tcW w:w="9253" w:type="dxa"/>
            <w:gridSpan w:val="2"/>
            <w:vAlign w:val="center"/>
          </w:tcPr>
          <w:p>
            <w:pPr>
              <w:jc w:val="both"/>
              <w:rPr>
                <w:szCs w:val="21"/>
                <w:lang w:eastAsia="zh-CN"/>
              </w:rPr>
            </w:pPr>
            <w:r>
              <w:rPr>
                <w:lang w:eastAsia="zh-CN"/>
              </w:rPr>
              <w:t>N</w:t>
            </w:r>
            <w:r>
              <w:rPr>
                <w:rFonts w:hint="eastAsia"/>
                <w:lang w:eastAsia="zh-CN"/>
              </w:rPr>
              <w:t>/</w:t>
            </w:r>
            <w:r>
              <w:rPr>
                <w:lang w:eastAsia="zh-CN"/>
              </w:rPr>
              <w:t>A</w:t>
            </w: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工艺参数范围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2"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其他运行要求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3"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3"/>
    </w:tbl>
    <w:p>
      <w:pPr>
        <w:pStyle w:val="30"/>
        <w:numPr>
          <w:ilvl w:val="0"/>
          <w:numId w:val="3"/>
        </w:numPr>
        <w:spacing w:after="158" w:afterLines="50"/>
        <w:ind w:left="426" w:hanging="426" w:hangingChars="202"/>
        <w:outlineLvl w:val="0"/>
        <w:rPr>
          <w:rFonts w:ascii="Times New Roman" w:hAnsi="Times New Roman"/>
          <w:b/>
        </w:rPr>
      </w:pPr>
      <w:bookmarkStart w:id="29" w:name="_Toc522716122"/>
      <w:bookmarkStart w:id="30" w:name="_Toc522107742"/>
      <w:bookmarkStart w:id="31" w:name="_Toc482370359"/>
      <w:bookmarkStart w:id="32" w:name="_Toc481702480"/>
      <w:bookmarkStart w:id="33" w:name="_Toc482359946"/>
      <w:bookmarkStart w:id="34" w:name="_Toc482360291"/>
      <w:bookmarkStart w:id="35" w:name="_Toc482369815"/>
      <w:bookmarkStart w:id="36" w:name="_Toc482370071"/>
      <w:bookmarkStart w:id="37" w:name="_Toc483400317"/>
      <w:bookmarkStart w:id="38" w:name="_Toc482370767"/>
      <w:bookmarkStart w:id="39" w:name="_Toc482625289"/>
      <w:bookmarkStart w:id="40" w:name="_Toc482717202"/>
      <w:bookmarkStart w:id="41" w:name="_Toc483227237"/>
      <w:bookmarkStart w:id="42" w:name="_Toc482370151"/>
      <w:r>
        <w:rPr>
          <w:rFonts w:ascii="Times New Roman" w:hAnsi="Times New Roman"/>
          <w:b/>
        </w:rPr>
        <w:t>电气、自动控制要求</w:t>
      </w:r>
      <w:bookmarkEnd w:id="29"/>
    </w:p>
    <w:p>
      <w:pPr>
        <w:pStyle w:val="34"/>
        <w:spacing w:before="0" w:line="360" w:lineRule="auto"/>
        <w:jc w:val="left"/>
        <w:rPr>
          <w:i/>
          <w:color w:val="4472C4"/>
          <w:szCs w:val="21"/>
          <w:lang w:eastAsia="zh-CN"/>
        </w:rPr>
      </w:pPr>
      <w:permStart w:id="24"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24"/>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自动控制要求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5"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rPr>
            </w:pPr>
            <w:r>
              <w:rPr>
                <w:szCs w:val="21"/>
                <w:lang w:eastAsia="zh-CN"/>
              </w:rPr>
              <w:t>计算机化系统要求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6"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6"/>
    </w:tbl>
    <w:p>
      <w:pPr>
        <w:spacing w:after="158" w:afterLines="50"/>
        <w:rPr>
          <w:b/>
          <w:lang w:eastAsia="zh-CN"/>
        </w:rPr>
      </w:pPr>
    </w:p>
    <w:p>
      <w:pPr>
        <w:pStyle w:val="30"/>
        <w:numPr>
          <w:ilvl w:val="0"/>
          <w:numId w:val="3"/>
        </w:numPr>
        <w:spacing w:after="158" w:afterLines="50"/>
        <w:ind w:left="426" w:hanging="426" w:hangingChars="202"/>
        <w:outlineLvl w:val="0"/>
        <w:rPr>
          <w:rFonts w:ascii="Times New Roman" w:hAnsi="Times New Roman"/>
          <w:b/>
        </w:rPr>
      </w:pPr>
      <w:bookmarkStart w:id="43" w:name="_Toc522716123"/>
      <w:r>
        <w:rPr>
          <w:rFonts w:ascii="Times New Roman" w:hAnsi="Times New Roman"/>
          <w:b/>
        </w:rPr>
        <w:t>安全要求</w:t>
      </w:r>
      <w:bookmarkEnd w:id="30"/>
      <w:bookmarkEnd w:id="43"/>
    </w:p>
    <w:p>
      <w:pPr>
        <w:pStyle w:val="34"/>
        <w:spacing w:before="0" w:line="360" w:lineRule="auto"/>
        <w:jc w:val="left"/>
        <w:rPr>
          <w:i/>
          <w:color w:val="4472C4"/>
          <w:szCs w:val="21"/>
          <w:lang w:eastAsia="zh-CN"/>
        </w:rPr>
      </w:pPr>
      <w:permStart w:id="27"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27"/>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密封连锁及压力保护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8"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0"/>
              </w:numPr>
              <w:ind w:firstLineChars="0"/>
              <w:rPr>
                <w:rFonts w:ascii="Times New Roman" w:hAnsi="Times New Roman"/>
                <w:szCs w:val="21"/>
              </w:rPr>
            </w:pPr>
          </w:p>
        </w:tc>
        <w:tc>
          <w:tcPr>
            <w:tcW w:w="7128" w:type="dxa"/>
            <w:shd w:val="clear" w:color="auto" w:fill="D9D9D9"/>
            <w:vAlign w:val="center"/>
          </w:tcPr>
          <w:p>
            <w:pPr>
              <w:jc w:val="both"/>
              <w:rPr>
                <w:szCs w:val="21"/>
                <w:lang w:eastAsia="zh-CN"/>
              </w:rPr>
            </w:pPr>
            <w:r>
              <w:rPr>
                <w:szCs w:val="21"/>
                <w:lang w:eastAsia="zh-CN"/>
              </w:rPr>
              <w:t>电气保护</w:t>
            </w:r>
          </w:p>
        </w:tc>
        <w:tc>
          <w:tcPr>
            <w:tcW w:w="2125" w:type="dxa"/>
            <w:shd w:val="clear" w:color="auto" w:fill="D9D9D9"/>
            <w:vAlign w:val="center"/>
          </w:tcPr>
          <w:p>
            <w:pPr>
              <w:jc w:val="both"/>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29" w:edGrp="everyone"/>
          </w:p>
        </w:tc>
        <w:tc>
          <w:tcPr>
            <w:tcW w:w="7128" w:type="dxa"/>
            <w:vAlign w:val="center"/>
          </w:tcPr>
          <w:p>
            <w:pPr>
              <w:jc w:val="both"/>
              <w:rPr>
                <w:szCs w:val="21"/>
                <w:lang w:eastAsia="zh-CN"/>
              </w:rPr>
            </w:pPr>
            <w:r>
              <w:rPr>
                <w:rFonts w:hint="eastAsia"/>
                <w:szCs w:val="21"/>
                <w:lang w:eastAsia="zh-CN"/>
              </w:rPr>
              <w:t>温度保护</w:t>
            </w:r>
          </w:p>
        </w:tc>
        <w:tc>
          <w:tcPr>
            <w:tcW w:w="2125" w:type="dxa"/>
            <w:vAlign w:val="center"/>
          </w:tcPr>
          <w:p>
            <w:pPr>
              <w:jc w:val="both"/>
              <w:rPr>
                <w:szCs w:val="21"/>
                <w:lang w:eastAsia="zh-CN"/>
              </w:rPr>
            </w:pPr>
            <w:r>
              <w:rPr>
                <w:rFonts w:hint="eastAsia"/>
                <w:szCs w:val="21"/>
                <w:lang w:eastAsia="zh-CN"/>
              </w:rPr>
              <w:t>关键</w:t>
            </w:r>
          </w:p>
        </w:tc>
      </w:tr>
      <w:permEnd w:id="29"/>
    </w:tbl>
    <w:p>
      <w:pPr>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44" w:name="_Toc522107743"/>
      <w:bookmarkStart w:id="45" w:name="_Toc522716124"/>
      <w:r>
        <w:rPr>
          <w:rFonts w:ascii="Times New Roman" w:hAnsi="Times New Roman"/>
          <w:b/>
        </w:rPr>
        <w:t>文件要求</w:t>
      </w:r>
      <w:bookmarkEnd w:id="44"/>
      <w:bookmarkEnd w:id="45"/>
    </w:p>
    <w:p>
      <w:pPr>
        <w:pStyle w:val="34"/>
        <w:spacing w:before="0" w:line="360" w:lineRule="auto"/>
        <w:ind w:left="357"/>
        <w:jc w:val="left"/>
        <w:rPr>
          <w:i/>
          <w:szCs w:val="21"/>
          <w:lang w:eastAsia="zh-CN"/>
        </w:rPr>
      </w:pPr>
      <w:permStart w:id="30"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30"/>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1" w:edGrp="everyone"/>
          </w:p>
        </w:tc>
        <w:tc>
          <w:tcPr>
            <w:tcW w:w="7128" w:type="dxa"/>
            <w:vAlign w:val="center"/>
          </w:tcPr>
          <w:p>
            <w:pPr>
              <w:jc w:val="both"/>
              <w:rPr>
                <w:szCs w:val="21"/>
                <w:lang w:eastAsia="zh-CN"/>
              </w:rPr>
            </w:pPr>
            <w:r>
              <w:rPr>
                <w:rFonts w:hint="eastAsia"/>
                <w:szCs w:val="21"/>
                <w:lang w:eastAsia="zh-CN"/>
              </w:rPr>
              <w:t>投标文件、合同及订单，在设备开箱验收前移交。</w:t>
            </w:r>
          </w:p>
        </w:tc>
        <w:tc>
          <w:tcPr>
            <w:tcW w:w="2125" w:type="dxa"/>
            <w:vAlign w:val="center"/>
          </w:tcPr>
          <w:p>
            <w:pPr>
              <w:jc w:val="both"/>
              <w:rPr>
                <w:szCs w:val="21"/>
                <w:lang w:eastAsia="zh-CN"/>
              </w:rPr>
            </w:pPr>
            <w:r>
              <w:rPr>
                <w:rFonts w:hint="eastAsia"/>
                <w:szCs w:val="21"/>
                <w:lang w:eastAsia="zh-CN"/>
              </w:rPr>
              <w:t>关键</w:t>
            </w:r>
          </w:p>
        </w:tc>
      </w:tr>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2" w:edGrp="everyone"/>
          </w:p>
        </w:tc>
        <w:tc>
          <w:tcPr>
            <w:tcW w:w="7128" w:type="dxa"/>
            <w:vAlign w:val="center"/>
          </w:tcPr>
          <w:p>
            <w:pPr>
              <w:jc w:val="both"/>
              <w:rPr>
                <w:szCs w:val="21"/>
                <w:lang w:eastAsia="zh-CN"/>
              </w:rPr>
            </w:pPr>
            <w:r>
              <w:rPr>
                <w:rFonts w:hint="eastAsia"/>
                <w:szCs w:val="21"/>
                <w:lang w:eastAsia="zh-CN"/>
              </w:rPr>
              <w:t>卖方发运清单及相关检验报告，不晚于设备安装前移交。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提供设备的相关图纸，不晚于设备安装前移交。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设备制造相关文件：工厂相关检测报告、材质清单、材质报告及合格证（写明材料有效期）、各种标示、出厂合格证、各组件相关报告及合格证。不晚于设备安装前移交。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本设备安装调试报告，出厂检验合格证，不晚于设备安装前移交。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设备的操作使用说明书、设备的电气原理图和安全保护装置工作原理以及安装、调试、操作及维护文件，在设备开箱验收前移交。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技术数据；设备技术说明；设备详细尺寸；描述安装和空间要求；基础和空间要求；安装时的运输；使用说明书，在设备开箱验收前移交。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维护说明书；（电气部分）；备品备件表（推荐的备件），在设备开箱验收前移交。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提供设备及其零部件使用寿命清单，在设备开箱验收前移交。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文件具体要求：</w:t>
            </w:r>
          </w:p>
          <w:p>
            <w:pPr>
              <w:jc w:val="both"/>
              <w:rPr>
                <w:szCs w:val="21"/>
                <w:lang w:eastAsia="zh-CN"/>
              </w:rPr>
            </w:pPr>
            <w:r>
              <w:rPr>
                <w:szCs w:val="21"/>
                <w:lang w:eastAsia="zh-CN"/>
              </w:rPr>
              <w:t></w:t>
            </w:r>
            <w:r>
              <w:rPr>
                <w:rFonts w:hint="eastAsia"/>
                <w:szCs w:val="21"/>
                <w:lang w:eastAsia="zh-CN"/>
              </w:rPr>
              <w:t>标书中明确系统所有组件的品牌、材质、型号，并且注明每一个组件的保修期；</w:t>
            </w:r>
          </w:p>
          <w:p>
            <w:pPr>
              <w:jc w:val="both"/>
              <w:rPr>
                <w:szCs w:val="21"/>
                <w:lang w:eastAsia="zh-CN"/>
              </w:rPr>
            </w:pPr>
            <w:r>
              <w:rPr>
                <w:szCs w:val="21"/>
                <w:lang w:eastAsia="zh-CN"/>
              </w:rPr>
              <w:t></w:t>
            </w:r>
            <w:r>
              <w:rPr>
                <w:rFonts w:hint="eastAsia"/>
                <w:szCs w:val="21"/>
                <w:lang w:eastAsia="zh-CN"/>
              </w:rPr>
              <w:t>设备供应商应提供一份工作计划，以便于我公司做好相关准备工作。</w:t>
            </w:r>
          </w:p>
          <w:p>
            <w:pPr>
              <w:jc w:val="both"/>
              <w:rPr>
                <w:szCs w:val="21"/>
                <w:lang w:eastAsia="zh-CN"/>
              </w:rPr>
            </w:pPr>
            <w:r>
              <w:rPr>
                <w:szCs w:val="21"/>
                <w:lang w:eastAsia="zh-CN"/>
              </w:rPr>
              <w:t></w:t>
            </w:r>
            <w:r>
              <w:rPr>
                <w:rFonts w:hint="eastAsia"/>
                <w:szCs w:val="21"/>
                <w:lang w:eastAsia="zh-CN"/>
              </w:rPr>
              <w:t>以上资料提供</w:t>
            </w:r>
            <w:r>
              <w:rPr>
                <w:szCs w:val="21"/>
                <w:lang w:eastAsia="zh-CN"/>
              </w:rPr>
              <w:t>2</w:t>
            </w:r>
            <w:r>
              <w:rPr>
                <w:rFonts w:hint="eastAsia"/>
                <w:szCs w:val="21"/>
                <w:lang w:eastAsia="zh-CN"/>
              </w:rPr>
              <w:t>套纸质技术资料，一份电子版技术资料。</w:t>
            </w:r>
          </w:p>
          <w:p>
            <w:pPr>
              <w:jc w:val="both"/>
              <w:rPr>
                <w:szCs w:val="21"/>
                <w:lang w:eastAsia="zh-CN"/>
              </w:rPr>
            </w:pPr>
            <w:r>
              <w:rPr>
                <w:rFonts w:hint="eastAsia"/>
                <w:szCs w:val="21"/>
                <w:lang w:eastAsia="zh-CN"/>
              </w:rPr>
              <w:t>以上在设备开箱验收前移交。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提供有资质的第三方检测机构出具的全套检测报告，并取得武汉市质量技术监督局颁发的使用注册登记证等必要的证书，在设备开箱验收前移交。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供应商及时向采购人提交进度计划、验收通知及竣工验收报告等，在设备开箱验收前移交。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合同设备提供2套纸质技术资料，一套电子版技术资料，在设备开箱验收前移交。</w:t>
            </w:r>
          </w:p>
        </w:tc>
        <w:tc>
          <w:tcPr>
            <w:tcW w:w="2125" w:type="dxa"/>
            <w:vAlign w:val="center"/>
          </w:tcPr>
          <w:p>
            <w:pPr>
              <w:jc w:val="both"/>
            </w:pPr>
            <w:r>
              <w:rPr>
                <w:rFonts w:hint="eastAsia"/>
                <w:szCs w:val="21"/>
                <w:lang w:eastAsia="zh-CN"/>
              </w:rPr>
              <w:t>关键</w:t>
            </w:r>
          </w:p>
        </w:tc>
      </w:tr>
      <w:permEnd w:id="32"/>
    </w:tbl>
    <w:p>
      <w:pPr>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46" w:name="_Toc522716125"/>
      <w:r>
        <w:rPr>
          <w:rFonts w:ascii="Times New Roman" w:hAnsi="Times New Roman"/>
          <w:b/>
          <w:szCs w:val="21"/>
        </w:rPr>
        <w:t>服务要求</w:t>
      </w:r>
      <w:bookmarkEnd w:id="46"/>
    </w:p>
    <w:p>
      <w:pPr>
        <w:pStyle w:val="34"/>
        <w:spacing w:before="0" w:line="360" w:lineRule="auto"/>
        <w:jc w:val="left"/>
        <w:rPr>
          <w:i/>
          <w:color w:val="4472C4"/>
          <w:szCs w:val="21"/>
          <w:lang w:eastAsia="zh-CN"/>
        </w:rPr>
      </w:pPr>
      <w:permStart w:id="33"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33"/>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1"/>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培训要求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4" w:edGrp="everyone"/>
          </w:p>
        </w:tc>
        <w:tc>
          <w:tcPr>
            <w:tcW w:w="7128" w:type="dxa"/>
            <w:vAlign w:val="center"/>
          </w:tcPr>
          <w:p>
            <w:pPr>
              <w:spacing w:line="276" w:lineRule="auto"/>
              <w:jc w:val="both"/>
              <w:rPr>
                <w:color w:val="0070C0"/>
                <w:szCs w:val="21"/>
                <w:lang w:eastAsia="zh-CN"/>
              </w:rPr>
            </w:pPr>
            <w:r>
              <w:rPr>
                <w:rFonts w:hint="eastAsia"/>
                <w:lang w:eastAsia="zh-CN"/>
              </w:rPr>
              <w:t>免费提供设备原理、功能、故障排除、安全使用和应急处置措施等方面的培训。</w:t>
            </w:r>
          </w:p>
        </w:tc>
        <w:tc>
          <w:tcPr>
            <w:tcW w:w="2125" w:type="dxa"/>
            <w:vAlign w:val="center"/>
          </w:tcPr>
          <w:p>
            <w:pPr>
              <w:jc w:val="both"/>
              <w:rPr>
                <w:szCs w:val="21"/>
                <w:lang w:eastAsia="zh-CN"/>
              </w:rPr>
            </w:pPr>
            <w:r>
              <w:rPr>
                <w:rFonts w:hint="eastAsia"/>
                <w:szCs w:val="21"/>
                <w:lang w:eastAsia="zh-CN"/>
              </w:rPr>
              <w:t>关键</w:t>
            </w:r>
          </w:p>
        </w:tc>
      </w:tr>
      <w:perm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1"/>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5" w:edGrp="everyone"/>
          </w:p>
        </w:tc>
        <w:tc>
          <w:tcPr>
            <w:tcW w:w="7128" w:type="dxa"/>
            <w:vAlign w:val="center"/>
          </w:tcPr>
          <w:p>
            <w:pPr>
              <w:spacing w:line="276" w:lineRule="auto"/>
              <w:jc w:val="both"/>
              <w:rPr>
                <w:szCs w:val="21"/>
                <w:lang w:eastAsia="zh-CN"/>
              </w:rPr>
            </w:pPr>
            <w:r>
              <w:rPr>
                <w:lang w:eastAsia="zh-CN"/>
              </w:rPr>
              <w:t>设备运输在运输途中需做好防护措施，不得有任何损伤。</w:t>
            </w:r>
          </w:p>
        </w:tc>
        <w:tc>
          <w:tcPr>
            <w:tcW w:w="2125" w:type="dxa"/>
            <w:vAlign w:val="center"/>
          </w:tcPr>
          <w:p>
            <w:pPr>
              <w:jc w:val="both"/>
              <w:rPr>
                <w:szCs w:val="21"/>
                <w:lang w:eastAsia="zh-CN"/>
              </w:rPr>
            </w:pPr>
            <w:r>
              <w:rPr>
                <w:rFonts w:hint="eastAsia"/>
                <w:szCs w:val="21"/>
                <w:lang w:eastAsia="zh-CN"/>
              </w:rPr>
              <w:t>关键</w:t>
            </w:r>
          </w:p>
        </w:tc>
      </w:tr>
      <w:perm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1"/>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验证要求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36"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1"/>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售后服务及备件要求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7" w:edGrp="everyone"/>
          </w:p>
        </w:tc>
        <w:tc>
          <w:tcPr>
            <w:tcW w:w="7128" w:type="dxa"/>
            <w:vAlign w:val="center"/>
          </w:tcPr>
          <w:p>
            <w:pPr>
              <w:spacing w:line="276" w:lineRule="auto"/>
              <w:jc w:val="both"/>
              <w:rPr>
                <w:szCs w:val="21"/>
                <w:lang w:eastAsia="zh-CN"/>
              </w:rPr>
            </w:pPr>
            <w:r>
              <w:rPr>
                <w:rFonts w:hint="eastAsia"/>
                <w:szCs w:val="21"/>
                <w:lang w:eastAsia="zh-CN"/>
              </w:rPr>
              <w:t>设备保质期从确认验收的阶段开始计算：</w:t>
            </w:r>
          </w:p>
          <w:p>
            <w:pPr>
              <w:spacing w:line="276" w:lineRule="auto"/>
              <w:jc w:val="both"/>
              <w:rPr>
                <w:szCs w:val="21"/>
                <w:lang w:eastAsia="zh-CN"/>
              </w:rPr>
            </w:pPr>
            <w:r>
              <w:rPr>
                <w:szCs w:val="21"/>
                <w:lang w:eastAsia="zh-CN"/>
              </w:rPr>
              <w:t></w:t>
            </w:r>
            <w:r>
              <w:rPr>
                <w:rFonts w:hint="eastAsia"/>
                <w:szCs w:val="21"/>
                <w:lang w:eastAsia="zh-CN"/>
              </w:rPr>
              <w:t>不少于一年的设备保修期，一年内免费保修，一年后应提供良好的售后服务。</w:t>
            </w:r>
          </w:p>
          <w:p>
            <w:pPr>
              <w:spacing w:line="276" w:lineRule="auto"/>
              <w:jc w:val="both"/>
              <w:rPr>
                <w:szCs w:val="21"/>
                <w:lang w:eastAsia="zh-CN"/>
              </w:rPr>
            </w:pPr>
            <w:r>
              <w:rPr>
                <w:szCs w:val="21"/>
                <w:lang w:eastAsia="zh-CN"/>
              </w:rPr>
              <w:t></w:t>
            </w:r>
            <w:r>
              <w:rPr>
                <w:rFonts w:hint="eastAsia"/>
                <w:szCs w:val="21"/>
                <w:lang w:eastAsia="zh-CN"/>
              </w:rPr>
              <w:t>售后服务必须响应及时，要求设备出现须厂家维修的故障后，应在</w:t>
            </w:r>
            <w:r>
              <w:rPr>
                <w:szCs w:val="21"/>
                <w:lang w:eastAsia="zh-CN"/>
              </w:rPr>
              <w:t>4</w:t>
            </w:r>
            <w:r>
              <w:rPr>
                <w:rFonts w:hint="eastAsia"/>
                <w:szCs w:val="21"/>
                <w:lang w:eastAsia="zh-CN"/>
              </w:rPr>
              <w:t>小时内明确答复，当电话沟通无法解决时，须</w:t>
            </w:r>
            <w:r>
              <w:rPr>
                <w:szCs w:val="21"/>
                <w:lang w:eastAsia="zh-CN"/>
              </w:rPr>
              <w:t>24</w:t>
            </w:r>
            <w:r>
              <w:rPr>
                <w:rFonts w:hint="eastAsia"/>
                <w:szCs w:val="21"/>
                <w:lang w:eastAsia="zh-CN"/>
              </w:rPr>
              <w:t>小时内派人至现场解决。</w:t>
            </w:r>
          </w:p>
          <w:p>
            <w:pPr>
              <w:spacing w:line="276" w:lineRule="auto"/>
              <w:jc w:val="both"/>
              <w:rPr>
                <w:szCs w:val="21"/>
                <w:lang w:eastAsia="zh-CN"/>
              </w:rPr>
            </w:pPr>
            <w:r>
              <w:rPr>
                <w:szCs w:val="21"/>
                <w:lang w:eastAsia="zh-CN"/>
              </w:rPr>
              <w:t></w:t>
            </w:r>
            <w:r>
              <w:rPr>
                <w:rFonts w:hint="eastAsia"/>
                <w:szCs w:val="21"/>
                <w:lang w:eastAsia="zh-CN"/>
              </w:rPr>
              <w:t>一年免费保修期后，厂家应终生提供及时的维修、维护、配件服务，厂家应定期回访，解决设备运行当中可能出现的疑问，排除潜在故障，使设备保持良好工作状态。</w:t>
            </w:r>
          </w:p>
          <w:p>
            <w:pPr>
              <w:spacing w:line="276" w:lineRule="auto"/>
              <w:jc w:val="both"/>
              <w:rPr>
                <w:szCs w:val="21"/>
                <w:lang w:eastAsia="zh-CN"/>
              </w:rPr>
            </w:pPr>
            <w:r>
              <w:rPr>
                <w:szCs w:val="21"/>
                <w:lang w:eastAsia="zh-CN"/>
              </w:rPr>
              <w:t></w:t>
            </w:r>
            <w:r>
              <w:rPr>
                <w:rFonts w:hint="eastAsia"/>
                <w:szCs w:val="21"/>
                <w:lang w:eastAsia="zh-CN"/>
              </w:rPr>
              <w:t>供货方随机供应</w:t>
            </w:r>
            <w:r>
              <w:rPr>
                <w:szCs w:val="21"/>
                <w:lang w:eastAsia="zh-CN"/>
              </w:rPr>
              <w:t>1</w:t>
            </w:r>
            <w:r>
              <w:rPr>
                <w:rFonts w:hint="eastAsia"/>
                <w:szCs w:val="21"/>
                <w:lang w:eastAsia="zh-CN"/>
              </w:rPr>
              <w:t>年备品备件，保证质保期满后零部件的长期供应。供应商以优惠价格终身提供采购人所需的全部配件。如因设备本身质量问题需要更换配件，供应商免费提供配件。如因使用不当造成质量问题，供应商只收配件成本费，不收人工费。</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造成的设备材料损坏及人员伤亡事故由供应商负责处理。</w:t>
            </w:r>
          </w:p>
        </w:tc>
        <w:tc>
          <w:tcPr>
            <w:tcW w:w="2125" w:type="dxa"/>
            <w:vAlign w:val="center"/>
          </w:tcPr>
          <w:p>
            <w:pPr>
              <w:jc w:val="both"/>
              <w:rPr>
                <w:szCs w:val="21"/>
                <w:lang w:eastAsia="zh-CN"/>
              </w:rPr>
            </w:pPr>
            <w:r>
              <w:rPr>
                <w:rFonts w:hint="eastAsia"/>
                <w:szCs w:val="21"/>
                <w:lang w:eastAsia="zh-CN"/>
              </w:rPr>
              <w:t>关键</w:t>
            </w:r>
          </w:p>
        </w:tc>
      </w:tr>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1"/>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8" w:edGrp="everyone"/>
          </w:p>
        </w:tc>
        <w:tc>
          <w:tcPr>
            <w:tcW w:w="7128" w:type="dxa"/>
            <w:vAlign w:val="center"/>
          </w:tcPr>
          <w:p>
            <w:pPr>
              <w:spacing w:line="276" w:lineRule="auto"/>
              <w:jc w:val="both"/>
              <w:rPr>
                <w:szCs w:val="21"/>
                <w:lang w:eastAsia="zh-CN"/>
              </w:rPr>
            </w:pPr>
            <w:r>
              <w:rPr>
                <w:rFonts w:hint="eastAsia"/>
                <w:szCs w:val="21"/>
                <w:lang w:eastAsia="zh-CN"/>
              </w:rPr>
              <w:t>产品技术参数符合要求；安装调试达到供电部门验收要求；使用过程无安全问题；连续使用 30     个工作日无故障及影响整机产品质量。</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货物到达买方使用现场后，由买卖双方共同验收，卖方工程师免费为买方提供调试。</w:t>
            </w:r>
          </w:p>
        </w:tc>
        <w:tc>
          <w:tcPr>
            <w:tcW w:w="2125" w:type="dxa"/>
            <w:vAlign w:val="top"/>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供应商进厂施工需遵守安全和施工规定。</w:t>
            </w:r>
          </w:p>
        </w:tc>
        <w:tc>
          <w:tcPr>
            <w:tcW w:w="2125" w:type="dxa"/>
            <w:vAlign w:val="top"/>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安装期间供应商必须服从采购人及总包单位的统一安排，其配合费用采购人统一扣缴。</w:t>
            </w:r>
          </w:p>
        </w:tc>
        <w:tc>
          <w:tcPr>
            <w:tcW w:w="2125" w:type="dxa"/>
            <w:vAlign w:val="top"/>
          </w:tcPr>
          <w:p>
            <w:pPr>
              <w:rPr>
                <w:lang w:eastAsia="zh-CN"/>
              </w:rPr>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top"/>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供应商负责提交竣工验收技术资料，办理竣工报验手续，负责验收工作并确保工程一次性验收合格；协助工程整体竣工验收。供应商承担检验费用。</w:t>
            </w:r>
          </w:p>
        </w:tc>
        <w:tc>
          <w:tcPr>
            <w:tcW w:w="2125" w:type="dxa"/>
            <w:vAlign w:val="top"/>
          </w:tcPr>
          <w:p>
            <w:pPr>
              <w:rPr>
                <w:lang w:eastAsia="zh-CN"/>
              </w:rPr>
            </w:pPr>
            <w:r>
              <w:rPr>
                <w:rFonts w:hint="eastAsia"/>
              </w:rPr>
              <w:t>关键</w:t>
            </w:r>
          </w:p>
        </w:tc>
      </w:tr>
      <w:permEnd w:id="38"/>
    </w:tbl>
    <w:p/>
    <w:p>
      <w:pPr>
        <w:pStyle w:val="30"/>
        <w:numPr>
          <w:ilvl w:val="0"/>
          <w:numId w:val="3"/>
        </w:numPr>
        <w:spacing w:after="158" w:afterLines="50"/>
        <w:ind w:left="426" w:hanging="426" w:hangingChars="202"/>
        <w:outlineLvl w:val="0"/>
        <w:rPr>
          <w:rFonts w:ascii="Times New Roman" w:hAnsi="Times New Roman"/>
          <w:b/>
        </w:rPr>
      </w:pPr>
      <w:bookmarkStart w:id="47" w:name="_Toc522716126"/>
      <w:bookmarkStart w:id="48" w:name="_Toc522107746"/>
      <w:r>
        <w:rPr>
          <w:rFonts w:ascii="Times New Roman" w:hAnsi="Times New Roman"/>
          <w:b/>
        </w:rPr>
        <w:t>附件</w:t>
      </w:r>
      <w:bookmarkEnd w:id="47"/>
      <w:bookmarkEnd w:id="48"/>
    </w:p>
    <w:bookmarkEnd w:id="31"/>
    <w:bookmarkEnd w:id="32"/>
    <w:bookmarkEnd w:id="33"/>
    <w:bookmarkEnd w:id="34"/>
    <w:bookmarkEnd w:id="35"/>
    <w:bookmarkEnd w:id="36"/>
    <w:bookmarkEnd w:id="37"/>
    <w:bookmarkEnd w:id="38"/>
    <w:bookmarkEnd w:id="39"/>
    <w:bookmarkEnd w:id="40"/>
    <w:bookmarkEnd w:id="41"/>
    <w:bookmarkEnd w:id="42"/>
    <w:p>
      <w:pPr>
        <w:pStyle w:val="34"/>
        <w:spacing w:before="0" w:line="360" w:lineRule="auto"/>
        <w:ind w:left="357"/>
        <w:jc w:val="left"/>
        <w:rPr>
          <w:szCs w:val="21"/>
          <w:lang w:eastAsia="zh-CN"/>
        </w:rPr>
      </w:pPr>
      <w:permStart w:id="39" w:edGrp="everyone"/>
      <w:r>
        <w:rPr>
          <w:rFonts w:hint="eastAsia"/>
          <w:szCs w:val="21"/>
          <w:lang w:eastAsia="zh-CN"/>
        </w:rPr>
        <w:t xml:space="preserve"> </w:t>
      </w:r>
      <w:permEnd w:id="39"/>
    </w:p>
    <w:sectPr>
      <w:headerReference r:id="rId4" w:type="default"/>
      <w:footerReference r:id="rId5" w:type="default"/>
      <w:pgSz w:w="11907" w:h="16840"/>
      <w:pgMar w:top="1134" w:right="567" w:bottom="1134" w:left="993" w:header="851" w:footer="992" w:gutter="0"/>
      <w:pgNumType w:start="1"/>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4"/>
      <w:tabs>
        <w:tab w:val="right" w:pos="9356"/>
        <w:tab w:val="clear" w:pos="8640"/>
      </w:tabs>
      <w:ind w:right="-285"/>
      <w:rPr>
        <w:sz w:val="18"/>
        <w:szCs w:val="1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812762">
    <w:nsid w:val="0892689A"/>
    <w:multiLevelType w:val="multilevel"/>
    <w:tmpl w:val="0892689A"/>
    <w:lvl w:ilvl="0" w:tentative="1">
      <w:start w:val="1"/>
      <w:numFmt w:val="decimal"/>
      <w:lvlText w:val="6.%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0755389">
    <w:nsid w:val="08FC583D"/>
    <w:multiLevelType w:val="multilevel"/>
    <w:tmpl w:val="08FC583D"/>
    <w:lvl w:ilvl="0" w:tentative="1">
      <w:start w:val="1"/>
      <w:numFmt w:val="decimal"/>
      <w:pStyle w:val="2"/>
      <w:lvlText w:val="%1."/>
      <w:lvlJc w:val="left"/>
      <w:pPr>
        <w:tabs>
          <w:tab w:val="left" w:pos="425"/>
        </w:tabs>
        <w:ind w:left="425" w:hanging="425"/>
      </w:pPr>
      <w:rPr>
        <w:rFonts w:hint="default"/>
        <w:sz w:val="22"/>
      </w:rPr>
    </w:lvl>
    <w:lvl w:ilvl="1" w:tentative="1">
      <w:start w:val="1"/>
      <w:numFmt w:val="decimal"/>
      <w:lvlText w:val="%1.%2."/>
      <w:lvlJc w:val="left"/>
      <w:pPr>
        <w:tabs>
          <w:tab w:val="left" w:pos="567"/>
        </w:tabs>
        <w:ind w:left="567" w:hanging="567"/>
      </w:pPr>
      <w:rPr>
        <w:rFonts w:hint="default"/>
        <w:sz w:val="22"/>
      </w:rPr>
    </w:lvl>
    <w:lvl w:ilvl="2" w:tentative="1">
      <w:start w:val="1"/>
      <w:numFmt w:val="decimal"/>
      <w:lvlText w:val="%1.%2.%3."/>
      <w:lvlJc w:val="left"/>
      <w:pPr>
        <w:tabs>
          <w:tab w:val="left" w:pos="709"/>
        </w:tabs>
        <w:ind w:left="709" w:hanging="709"/>
      </w:pPr>
      <w:rPr>
        <w:rFonts w:hint="default"/>
      </w:rPr>
    </w:lvl>
    <w:lvl w:ilvl="3" w:tentative="1">
      <w:start w:val="1"/>
      <w:numFmt w:val="decimal"/>
      <w:lvlText w:val="%1.%2.%3.%4."/>
      <w:lvlJc w:val="left"/>
      <w:pPr>
        <w:tabs>
          <w:tab w:val="left" w:pos="851"/>
        </w:tabs>
        <w:ind w:left="851" w:hanging="851"/>
      </w:pPr>
      <w:rPr>
        <w:rFonts w:hint="default"/>
      </w:rPr>
    </w:lvl>
    <w:lvl w:ilvl="4" w:tentative="1">
      <w:start w:val="1"/>
      <w:numFmt w:val="decimal"/>
      <w:lvlText w:val="%1.%2.%3.%4.%5."/>
      <w:lvlJc w:val="left"/>
      <w:pPr>
        <w:tabs>
          <w:tab w:val="left" w:pos="992"/>
        </w:tabs>
        <w:ind w:left="992" w:hanging="992"/>
      </w:pPr>
      <w:rPr>
        <w:rFonts w:hint="default"/>
      </w:rPr>
    </w:lvl>
    <w:lvl w:ilvl="5" w:tentative="1">
      <w:start w:val="1"/>
      <w:numFmt w:val="decimal"/>
      <w:lvlText w:val="%1.%2.%3.%4.%5.%6."/>
      <w:lvlJc w:val="left"/>
      <w:pPr>
        <w:tabs>
          <w:tab w:val="left" w:pos="1134"/>
        </w:tabs>
        <w:ind w:left="1134" w:hanging="1134"/>
      </w:pPr>
      <w:rPr>
        <w:rFonts w:hint="default"/>
      </w:rPr>
    </w:lvl>
    <w:lvl w:ilvl="6" w:tentative="1">
      <w:start w:val="1"/>
      <w:numFmt w:val="decimal"/>
      <w:lvlText w:val="%1.%2.%3.%4.%5.%6.%7."/>
      <w:lvlJc w:val="left"/>
      <w:pPr>
        <w:tabs>
          <w:tab w:val="left" w:pos="1276"/>
        </w:tabs>
        <w:ind w:left="1276" w:hanging="1276"/>
      </w:pPr>
      <w:rPr>
        <w:rFonts w:hint="default"/>
      </w:rPr>
    </w:lvl>
    <w:lvl w:ilvl="7" w:tentative="1">
      <w:start w:val="1"/>
      <w:numFmt w:val="decimal"/>
      <w:lvlText w:val="%1.%2.%3.%4.%5.%6.%7.%8."/>
      <w:lvlJc w:val="left"/>
      <w:pPr>
        <w:tabs>
          <w:tab w:val="left" w:pos="1418"/>
        </w:tabs>
        <w:ind w:left="1418" w:hanging="1418"/>
      </w:pPr>
      <w:rPr>
        <w:rFonts w:hint="default"/>
      </w:rPr>
    </w:lvl>
    <w:lvl w:ilvl="8" w:tentative="1">
      <w:start w:val="1"/>
      <w:numFmt w:val="decimal"/>
      <w:lvlText w:val="%1.%2.%3.%4.%5.%6.%7.%8.%9."/>
      <w:lvlJc w:val="left"/>
      <w:pPr>
        <w:tabs>
          <w:tab w:val="left" w:pos="1559"/>
        </w:tabs>
        <w:ind w:left="1559" w:hanging="1559"/>
      </w:pPr>
      <w:rPr>
        <w:rFonts w:hint="default"/>
      </w:rPr>
    </w:lvl>
  </w:abstractNum>
  <w:abstractNum w:abstractNumId="196115971">
    <w:nsid w:val="0BB07E03"/>
    <w:multiLevelType w:val="multilevel"/>
    <w:tmpl w:val="0BB07E03"/>
    <w:lvl w:ilvl="0" w:tentative="1">
      <w:start w:val="1"/>
      <w:numFmt w:val="decimal"/>
      <w:lvlText w:val="9.%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87781897">
    <w:nsid w:val="11273409"/>
    <w:multiLevelType w:val="multilevel"/>
    <w:tmpl w:val="11273409"/>
    <w:lvl w:ilvl="0" w:tentative="1">
      <w:start w:val="1"/>
      <w:numFmt w:val="decimal"/>
      <w:lvlText w:val="7.%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82943692">
    <w:nsid w:val="16D341CC"/>
    <w:multiLevelType w:val="multilevel"/>
    <w:tmpl w:val="16D341CC"/>
    <w:lvl w:ilvl="0" w:tentative="1">
      <w:start w:val="1"/>
      <w:numFmt w:val="decimal"/>
      <w:lvlText w:val="URS %1"/>
      <w:lvlJc w:val="left"/>
      <w:pPr>
        <w:ind w:left="987" w:hanging="420"/>
      </w:pPr>
      <w:rPr>
        <w:rFonts w:hint="eastAsia"/>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512037502">
    <w:nsid w:val="1E85127E"/>
    <w:multiLevelType w:val="multilevel"/>
    <w:tmpl w:val="1E85127E"/>
    <w:lvl w:ilvl="0" w:tentative="1">
      <w:start w:val="1"/>
      <w:numFmt w:val="bullet"/>
      <w:lvlText w:val=""/>
      <w:lvlJc w:val="left"/>
      <w:pPr>
        <w:ind w:left="988" w:hanging="420"/>
      </w:pPr>
      <w:rPr>
        <w:rFonts w:hint="default" w:ascii="Wingdings" w:hAnsi="Wingdings"/>
        <w:color w:val="000000"/>
      </w:rPr>
    </w:lvl>
    <w:lvl w:ilvl="1" w:tentative="1">
      <w:start w:val="1"/>
      <w:numFmt w:val="bullet"/>
      <w:lvlText w:val=""/>
      <w:lvlJc w:val="left"/>
      <w:pPr>
        <w:ind w:left="1200" w:hanging="420"/>
      </w:pPr>
      <w:rPr>
        <w:rFonts w:hint="default" w:ascii="Wingdings" w:hAnsi="Wingdings"/>
      </w:rPr>
    </w:lvl>
    <w:lvl w:ilvl="2" w:tentative="1">
      <w:start w:val="1"/>
      <w:numFmt w:val="bullet"/>
      <w:lvlText w:val=""/>
      <w:lvlJc w:val="left"/>
      <w:pPr>
        <w:ind w:left="1620" w:hanging="420"/>
      </w:pPr>
      <w:rPr>
        <w:rFonts w:hint="default" w:ascii="Wingdings" w:hAnsi="Wingdings"/>
      </w:rPr>
    </w:lvl>
    <w:lvl w:ilvl="3" w:tentative="1">
      <w:start w:val="1"/>
      <w:numFmt w:val="bullet"/>
      <w:lvlText w:val=""/>
      <w:lvlJc w:val="left"/>
      <w:pPr>
        <w:ind w:left="2040" w:hanging="420"/>
      </w:pPr>
      <w:rPr>
        <w:rFonts w:hint="default" w:ascii="Wingdings" w:hAnsi="Wingdings"/>
      </w:rPr>
    </w:lvl>
    <w:lvl w:ilvl="4" w:tentative="1">
      <w:start w:val="1"/>
      <w:numFmt w:val="bullet"/>
      <w:lvlText w:val=""/>
      <w:lvlJc w:val="left"/>
      <w:pPr>
        <w:ind w:left="2460" w:hanging="420"/>
      </w:pPr>
      <w:rPr>
        <w:rFonts w:hint="default" w:ascii="Wingdings" w:hAnsi="Wingdings"/>
      </w:rPr>
    </w:lvl>
    <w:lvl w:ilvl="5" w:tentative="1">
      <w:start w:val="1"/>
      <w:numFmt w:val="bullet"/>
      <w:lvlText w:val=""/>
      <w:lvlJc w:val="left"/>
      <w:pPr>
        <w:ind w:left="2880" w:hanging="420"/>
      </w:pPr>
      <w:rPr>
        <w:rFonts w:hint="default" w:ascii="Wingdings" w:hAnsi="Wingdings"/>
      </w:rPr>
    </w:lvl>
    <w:lvl w:ilvl="6" w:tentative="1">
      <w:start w:val="1"/>
      <w:numFmt w:val="bullet"/>
      <w:lvlText w:val=""/>
      <w:lvlJc w:val="left"/>
      <w:pPr>
        <w:ind w:left="3300" w:hanging="420"/>
      </w:pPr>
      <w:rPr>
        <w:rFonts w:hint="default" w:ascii="Wingdings" w:hAnsi="Wingdings"/>
      </w:rPr>
    </w:lvl>
    <w:lvl w:ilvl="7" w:tentative="1">
      <w:start w:val="1"/>
      <w:numFmt w:val="bullet"/>
      <w:lvlText w:val=""/>
      <w:lvlJc w:val="left"/>
      <w:pPr>
        <w:ind w:left="3720" w:hanging="420"/>
      </w:pPr>
      <w:rPr>
        <w:rFonts w:hint="default" w:ascii="Wingdings" w:hAnsi="Wingdings"/>
      </w:rPr>
    </w:lvl>
    <w:lvl w:ilvl="8" w:tentative="1">
      <w:start w:val="1"/>
      <w:numFmt w:val="bullet"/>
      <w:lvlText w:val=""/>
      <w:lvlJc w:val="left"/>
      <w:pPr>
        <w:ind w:left="4140" w:hanging="420"/>
      </w:pPr>
      <w:rPr>
        <w:rFonts w:hint="default" w:ascii="Wingdings" w:hAnsi="Wingdings"/>
      </w:rPr>
    </w:lvl>
  </w:abstractNum>
  <w:abstractNum w:abstractNumId="594097956">
    <w:nsid w:val="23693724"/>
    <w:multiLevelType w:val="multilevel"/>
    <w:tmpl w:val="23693724"/>
    <w:lvl w:ilvl="0" w:tentative="1">
      <w:start w:val="1"/>
      <w:numFmt w:val="decimal"/>
      <w:lvlText w:val="%1"/>
      <w:lvlJc w:val="left"/>
      <w:pPr>
        <w:ind w:left="425" w:hanging="425"/>
      </w:p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839589741">
    <w:nsid w:val="320B1F6D"/>
    <w:multiLevelType w:val="multilevel"/>
    <w:tmpl w:val="320B1F6D"/>
    <w:lvl w:ilvl="0" w:tentative="1">
      <w:start w:val="1"/>
      <w:numFmt w:val="decimal"/>
      <w:lvlText w:val="8.%1"/>
      <w:lvlJc w:val="left"/>
      <w:pPr>
        <w:ind w:left="777" w:hanging="420"/>
      </w:pPr>
      <w:rPr>
        <w:rFonts w:hint="eastAsia"/>
      </w:rPr>
    </w:lvl>
    <w:lvl w:ilvl="1" w:tentative="1">
      <w:start w:val="1"/>
      <w:numFmt w:val="lowerLetter"/>
      <w:lvlText w:val="%2)"/>
      <w:lvlJc w:val="left"/>
      <w:pPr>
        <w:ind w:left="840" w:hanging="420"/>
      </w:pPr>
    </w:lvl>
    <w:lvl w:ilvl="2" w:tentative="1">
      <w:start w:val="1"/>
      <w:numFmt w:val="decimal"/>
      <w:lvlText w:val="8.%3"/>
      <w:lvlJc w:val="right"/>
      <w:pPr>
        <w:ind w:left="1260" w:hanging="420"/>
      </w:pPr>
      <w:rPr>
        <w:rFonts w:hint="eastAsia"/>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19404300">
    <w:nsid w:val="549A640C"/>
    <w:multiLevelType w:val="multilevel"/>
    <w:tmpl w:val="549A640C"/>
    <w:lvl w:ilvl="0" w:tentative="1">
      <w:start w:val="1"/>
      <w:numFmt w:val="decimal"/>
      <w:lvlText w:val="12.%1"/>
      <w:lvlJc w:val="left"/>
      <w:pPr>
        <w:ind w:left="846"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53867252">
    <w:nsid w:val="629402F4"/>
    <w:multiLevelType w:val="multilevel"/>
    <w:tmpl w:val="629402F4"/>
    <w:lvl w:ilvl="0" w:tentative="1">
      <w:start w:val="1"/>
      <w:numFmt w:val="decimal"/>
      <w:lvlText w:val="3.%1"/>
      <w:lvlJc w:val="left"/>
      <w:pPr>
        <w:ind w:left="777"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51467757">
    <w:nsid w:val="686546ED"/>
    <w:multiLevelType w:val="multilevel"/>
    <w:tmpl w:val="686546ED"/>
    <w:lvl w:ilvl="0" w:tentative="1">
      <w:start w:val="1"/>
      <w:numFmt w:val="decimal"/>
      <w:pStyle w:val="32"/>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50755389"/>
  </w:num>
  <w:num w:numId="2">
    <w:abstractNumId w:val="1751467757"/>
  </w:num>
  <w:num w:numId="3">
    <w:abstractNumId w:val="594097956"/>
  </w:num>
  <w:num w:numId="4">
    <w:abstractNumId w:val="1653867252"/>
  </w:num>
  <w:num w:numId="5">
    <w:abstractNumId w:val="512037502"/>
  </w:num>
  <w:num w:numId="6">
    <w:abstractNumId w:val="143812762"/>
  </w:num>
  <w:num w:numId="7">
    <w:abstractNumId w:val="382943692"/>
  </w:num>
  <w:num w:numId="8">
    <w:abstractNumId w:val="287781897"/>
  </w:num>
  <w:num w:numId="9">
    <w:abstractNumId w:val="839589741"/>
  </w:num>
  <w:num w:numId="10">
    <w:abstractNumId w:val="196115971"/>
  </w:num>
  <w:num w:numId="11">
    <w:abstractNumId w:val="14194043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0"/>
  <w:defaultTabStop w:val="720"/>
  <w:drawingGridHorizontalSpacing w:val="120"/>
  <w:drawingGridVerticalSpacing w:val="158"/>
  <w:displayHorizontalDrawingGridEvery w:val="0"/>
  <w:displayVerticalDrawingGridEvery w:val="0"/>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92C03"/>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684"/>
    <w:rsid w:val="000E5B57"/>
    <w:rsid w:val="000F0D08"/>
    <w:rsid w:val="000F2CD3"/>
    <w:rsid w:val="000F36B9"/>
    <w:rsid w:val="000F3A00"/>
    <w:rsid w:val="000F4E03"/>
    <w:rsid w:val="000F606A"/>
    <w:rsid w:val="000F706D"/>
    <w:rsid w:val="00100F65"/>
    <w:rsid w:val="0010110F"/>
    <w:rsid w:val="00102DC9"/>
    <w:rsid w:val="001031DF"/>
    <w:rsid w:val="001032CB"/>
    <w:rsid w:val="00103F05"/>
    <w:rsid w:val="00104160"/>
    <w:rsid w:val="0010503D"/>
    <w:rsid w:val="00106571"/>
    <w:rsid w:val="00106B5D"/>
    <w:rsid w:val="00110CF0"/>
    <w:rsid w:val="001120B7"/>
    <w:rsid w:val="0011231F"/>
    <w:rsid w:val="00112670"/>
    <w:rsid w:val="00112DD4"/>
    <w:rsid w:val="00112F30"/>
    <w:rsid w:val="00114353"/>
    <w:rsid w:val="001144F0"/>
    <w:rsid w:val="00115728"/>
    <w:rsid w:val="001163FC"/>
    <w:rsid w:val="00116F39"/>
    <w:rsid w:val="00117A01"/>
    <w:rsid w:val="00120AD8"/>
    <w:rsid w:val="00121B6E"/>
    <w:rsid w:val="00122051"/>
    <w:rsid w:val="00124244"/>
    <w:rsid w:val="00124E69"/>
    <w:rsid w:val="00125CC1"/>
    <w:rsid w:val="001273B0"/>
    <w:rsid w:val="00127CB8"/>
    <w:rsid w:val="001313C3"/>
    <w:rsid w:val="00132F4C"/>
    <w:rsid w:val="00134C68"/>
    <w:rsid w:val="00135FD6"/>
    <w:rsid w:val="001374CF"/>
    <w:rsid w:val="00143952"/>
    <w:rsid w:val="001442AB"/>
    <w:rsid w:val="0014477D"/>
    <w:rsid w:val="00144D00"/>
    <w:rsid w:val="00145034"/>
    <w:rsid w:val="00145DC7"/>
    <w:rsid w:val="00145F74"/>
    <w:rsid w:val="00146568"/>
    <w:rsid w:val="00150BCC"/>
    <w:rsid w:val="001537F7"/>
    <w:rsid w:val="001541A9"/>
    <w:rsid w:val="001549D1"/>
    <w:rsid w:val="00154CD3"/>
    <w:rsid w:val="001560AD"/>
    <w:rsid w:val="0015633E"/>
    <w:rsid w:val="0015752C"/>
    <w:rsid w:val="0016077F"/>
    <w:rsid w:val="00161486"/>
    <w:rsid w:val="0016194A"/>
    <w:rsid w:val="00161F7F"/>
    <w:rsid w:val="00162A78"/>
    <w:rsid w:val="00163A08"/>
    <w:rsid w:val="00164CDC"/>
    <w:rsid w:val="00164E0D"/>
    <w:rsid w:val="00166311"/>
    <w:rsid w:val="00166478"/>
    <w:rsid w:val="00167B0E"/>
    <w:rsid w:val="00170B7D"/>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D54"/>
    <w:rsid w:val="001F1FE7"/>
    <w:rsid w:val="001F25DD"/>
    <w:rsid w:val="001F3552"/>
    <w:rsid w:val="001F473D"/>
    <w:rsid w:val="001F4BFD"/>
    <w:rsid w:val="001F7405"/>
    <w:rsid w:val="001F7E95"/>
    <w:rsid w:val="00200903"/>
    <w:rsid w:val="00201487"/>
    <w:rsid w:val="00203D68"/>
    <w:rsid w:val="0020539A"/>
    <w:rsid w:val="00205E00"/>
    <w:rsid w:val="00206107"/>
    <w:rsid w:val="002070B2"/>
    <w:rsid w:val="0020756B"/>
    <w:rsid w:val="00210177"/>
    <w:rsid w:val="00212297"/>
    <w:rsid w:val="002129BC"/>
    <w:rsid w:val="00212BD9"/>
    <w:rsid w:val="00213AA9"/>
    <w:rsid w:val="002168FE"/>
    <w:rsid w:val="00217048"/>
    <w:rsid w:val="002178C5"/>
    <w:rsid w:val="00220757"/>
    <w:rsid w:val="00222993"/>
    <w:rsid w:val="00223661"/>
    <w:rsid w:val="00224129"/>
    <w:rsid w:val="00225DD2"/>
    <w:rsid w:val="002279A2"/>
    <w:rsid w:val="00227A0D"/>
    <w:rsid w:val="002320D9"/>
    <w:rsid w:val="00234C07"/>
    <w:rsid w:val="002355FF"/>
    <w:rsid w:val="002367A6"/>
    <w:rsid w:val="00236BE9"/>
    <w:rsid w:val="00237E6C"/>
    <w:rsid w:val="00240A09"/>
    <w:rsid w:val="00240B1E"/>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253"/>
    <w:rsid w:val="002D03CD"/>
    <w:rsid w:val="002D2477"/>
    <w:rsid w:val="002D2AAB"/>
    <w:rsid w:val="002D4A68"/>
    <w:rsid w:val="002D691F"/>
    <w:rsid w:val="002D6A50"/>
    <w:rsid w:val="002D6D1C"/>
    <w:rsid w:val="002E1D21"/>
    <w:rsid w:val="002E3B36"/>
    <w:rsid w:val="002E59BF"/>
    <w:rsid w:val="002E63F6"/>
    <w:rsid w:val="002E69A1"/>
    <w:rsid w:val="002F1C5E"/>
    <w:rsid w:val="002F1D63"/>
    <w:rsid w:val="002F340E"/>
    <w:rsid w:val="002F4392"/>
    <w:rsid w:val="002F4641"/>
    <w:rsid w:val="002F4B22"/>
    <w:rsid w:val="00302176"/>
    <w:rsid w:val="00302AF8"/>
    <w:rsid w:val="00304F96"/>
    <w:rsid w:val="00306131"/>
    <w:rsid w:val="00311B2C"/>
    <w:rsid w:val="00311EE4"/>
    <w:rsid w:val="0031318B"/>
    <w:rsid w:val="003137B7"/>
    <w:rsid w:val="003148D1"/>
    <w:rsid w:val="00314CFF"/>
    <w:rsid w:val="00315038"/>
    <w:rsid w:val="00315C3E"/>
    <w:rsid w:val="00316EEF"/>
    <w:rsid w:val="003172B7"/>
    <w:rsid w:val="00320FEA"/>
    <w:rsid w:val="00321298"/>
    <w:rsid w:val="00321D97"/>
    <w:rsid w:val="00323423"/>
    <w:rsid w:val="003240E5"/>
    <w:rsid w:val="00324B23"/>
    <w:rsid w:val="003257E0"/>
    <w:rsid w:val="00325FFA"/>
    <w:rsid w:val="00330D16"/>
    <w:rsid w:val="00330FFF"/>
    <w:rsid w:val="00333C91"/>
    <w:rsid w:val="0033470D"/>
    <w:rsid w:val="0033695C"/>
    <w:rsid w:val="00341B2F"/>
    <w:rsid w:val="00342278"/>
    <w:rsid w:val="00342915"/>
    <w:rsid w:val="00344B04"/>
    <w:rsid w:val="00345847"/>
    <w:rsid w:val="003464DD"/>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7B81"/>
    <w:rsid w:val="00391016"/>
    <w:rsid w:val="00393529"/>
    <w:rsid w:val="00393B6A"/>
    <w:rsid w:val="003946C3"/>
    <w:rsid w:val="00395CE1"/>
    <w:rsid w:val="00395D47"/>
    <w:rsid w:val="00396425"/>
    <w:rsid w:val="003970BE"/>
    <w:rsid w:val="00397C18"/>
    <w:rsid w:val="003A04A8"/>
    <w:rsid w:val="003A1311"/>
    <w:rsid w:val="003A2EC5"/>
    <w:rsid w:val="003A3AAC"/>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01B"/>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2568"/>
    <w:rsid w:val="00434313"/>
    <w:rsid w:val="00436C7C"/>
    <w:rsid w:val="00437440"/>
    <w:rsid w:val="00440378"/>
    <w:rsid w:val="00442B53"/>
    <w:rsid w:val="00443256"/>
    <w:rsid w:val="00444D2D"/>
    <w:rsid w:val="00447378"/>
    <w:rsid w:val="004510B1"/>
    <w:rsid w:val="00451C5D"/>
    <w:rsid w:val="00451D74"/>
    <w:rsid w:val="004525EF"/>
    <w:rsid w:val="00452E73"/>
    <w:rsid w:val="004565EF"/>
    <w:rsid w:val="00457FF9"/>
    <w:rsid w:val="004601ED"/>
    <w:rsid w:val="00460711"/>
    <w:rsid w:val="0046108B"/>
    <w:rsid w:val="00465667"/>
    <w:rsid w:val="00467AE6"/>
    <w:rsid w:val="00467EC9"/>
    <w:rsid w:val="00477791"/>
    <w:rsid w:val="00480286"/>
    <w:rsid w:val="00480C3B"/>
    <w:rsid w:val="00480FE3"/>
    <w:rsid w:val="00481C94"/>
    <w:rsid w:val="00484A8D"/>
    <w:rsid w:val="00486A4E"/>
    <w:rsid w:val="00486B09"/>
    <w:rsid w:val="0049139F"/>
    <w:rsid w:val="0049207B"/>
    <w:rsid w:val="00494F07"/>
    <w:rsid w:val="00496116"/>
    <w:rsid w:val="004965A0"/>
    <w:rsid w:val="00497335"/>
    <w:rsid w:val="004A05A7"/>
    <w:rsid w:val="004A3F98"/>
    <w:rsid w:val="004A5532"/>
    <w:rsid w:val="004A5958"/>
    <w:rsid w:val="004A76DF"/>
    <w:rsid w:val="004B0A75"/>
    <w:rsid w:val="004B2190"/>
    <w:rsid w:val="004B69B2"/>
    <w:rsid w:val="004B7507"/>
    <w:rsid w:val="004B7DC4"/>
    <w:rsid w:val="004B7F85"/>
    <w:rsid w:val="004C099B"/>
    <w:rsid w:val="004C42AE"/>
    <w:rsid w:val="004C49B0"/>
    <w:rsid w:val="004C4F53"/>
    <w:rsid w:val="004C4F7F"/>
    <w:rsid w:val="004C592E"/>
    <w:rsid w:val="004C77B9"/>
    <w:rsid w:val="004D050F"/>
    <w:rsid w:val="004D0E3A"/>
    <w:rsid w:val="004D1A73"/>
    <w:rsid w:val="004D2A45"/>
    <w:rsid w:val="004D48C2"/>
    <w:rsid w:val="004D67B1"/>
    <w:rsid w:val="004D7128"/>
    <w:rsid w:val="004D751D"/>
    <w:rsid w:val="004E05C2"/>
    <w:rsid w:val="004E0B02"/>
    <w:rsid w:val="004E0C0D"/>
    <w:rsid w:val="004E255F"/>
    <w:rsid w:val="004E4C2D"/>
    <w:rsid w:val="004E5D98"/>
    <w:rsid w:val="004F0539"/>
    <w:rsid w:val="004F10A4"/>
    <w:rsid w:val="004F342E"/>
    <w:rsid w:val="004F4C63"/>
    <w:rsid w:val="004F5AE6"/>
    <w:rsid w:val="004F5C19"/>
    <w:rsid w:val="004F6EF3"/>
    <w:rsid w:val="004F7B6A"/>
    <w:rsid w:val="0050090F"/>
    <w:rsid w:val="0050208D"/>
    <w:rsid w:val="0050284B"/>
    <w:rsid w:val="00502F99"/>
    <w:rsid w:val="00504B71"/>
    <w:rsid w:val="00506EA6"/>
    <w:rsid w:val="00507991"/>
    <w:rsid w:val="00507C94"/>
    <w:rsid w:val="00507EB2"/>
    <w:rsid w:val="00510111"/>
    <w:rsid w:val="00511AB4"/>
    <w:rsid w:val="00512690"/>
    <w:rsid w:val="00512A4E"/>
    <w:rsid w:val="00514EA4"/>
    <w:rsid w:val="00516BB4"/>
    <w:rsid w:val="00517A5D"/>
    <w:rsid w:val="00517E1E"/>
    <w:rsid w:val="005217E8"/>
    <w:rsid w:val="005220FE"/>
    <w:rsid w:val="005247DE"/>
    <w:rsid w:val="00530B8F"/>
    <w:rsid w:val="00531434"/>
    <w:rsid w:val="00531754"/>
    <w:rsid w:val="00534840"/>
    <w:rsid w:val="00534D08"/>
    <w:rsid w:val="00536973"/>
    <w:rsid w:val="00536C6B"/>
    <w:rsid w:val="005409F4"/>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4D60"/>
    <w:rsid w:val="00575318"/>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5ACE"/>
    <w:rsid w:val="005964B1"/>
    <w:rsid w:val="005965FD"/>
    <w:rsid w:val="00597FCC"/>
    <w:rsid w:val="005A132A"/>
    <w:rsid w:val="005A337C"/>
    <w:rsid w:val="005A34B0"/>
    <w:rsid w:val="005A3ECF"/>
    <w:rsid w:val="005A6821"/>
    <w:rsid w:val="005B2393"/>
    <w:rsid w:val="005B750A"/>
    <w:rsid w:val="005C2B89"/>
    <w:rsid w:val="005C2FA7"/>
    <w:rsid w:val="005C386F"/>
    <w:rsid w:val="005C42AC"/>
    <w:rsid w:val="005C4D05"/>
    <w:rsid w:val="005C506B"/>
    <w:rsid w:val="005C71BF"/>
    <w:rsid w:val="005C723D"/>
    <w:rsid w:val="005C7601"/>
    <w:rsid w:val="005D1094"/>
    <w:rsid w:val="005D3394"/>
    <w:rsid w:val="005D3989"/>
    <w:rsid w:val="005D42FF"/>
    <w:rsid w:val="005E2725"/>
    <w:rsid w:val="005E65FA"/>
    <w:rsid w:val="005F19CE"/>
    <w:rsid w:val="005F28F4"/>
    <w:rsid w:val="005F43BB"/>
    <w:rsid w:val="005F503E"/>
    <w:rsid w:val="005F6CB3"/>
    <w:rsid w:val="005F7612"/>
    <w:rsid w:val="005F7663"/>
    <w:rsid w:val="005F7D63"/>
    <w:rsid w:val="00600BD4"/>
    <w:rsid w:val="0060429B"/>
    <w:rsid w:val="00607170"/>
    <w:rsid w:val="00607408"/>
    <w:rsid w:val="00610AEE"/>
    <w:rsid w:val="00613EE5"/>
    <w:rsid w:val="00616BAC"/>
    <w:rsid w:val="00620598"/>
    <w:rsid w:val="00620FEC"/>
    <w:rsid w:val="006214DC"/>
    <w:rsid w:val="006215E2"/>
    <w:rsid w:val="0062168F"/>
    <w:rsid w:val="006221A2"/>
    <w:rsid w:val="00627113"/>
    <w:rsid w:val="00627B8B"/>
    <w:rsid w:val="0063106D"/>
    <w:rsid w:val="006312FF"/>
    <w:rsid w:val="00631E5C"/>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7045"/>
    <w:rsid w:val="00670A00"/>
    <w:rsid w:val="00670C23"/>
    <w:rsid w:val="00672B86"/>
    <w:rsid w:val="00673031"/>
    <w:rsid w:val="00673EB3"/>
    <w:rsid w:val="00680BE8"/>
    <w:rsid w:val="00686409"/>
    <w:rsid w:val="00686D19"/>
    <w:rsid w:val="0068777F"/>
    <w:rsid w:val="00693018"/>
    <w:rsid w:val="006A0059"/>
    <w:rsid w:val="006A7425"/>
    <w:rsid w:val="006B058A"/>
    <w:rsid w:val="006B1299"/>
    <w:rsid w:val="006B26D9"/>
    <w:rsid w:val="006B310C"/>
    <w:rsid w:val="006B664C"/>
    <w:rsid w:val="006C1125"/>
    <w:rsid w:val="006C1C83"/>
    <w:rsid w:val="006C3E78"/>
    <w:rsid w:val="006C54E6"/>
    <w:rsid w:val="006C5762"/>
    <w:rsid w:val="006C690D"/>
    <w:rsid w:val="006D149F"/>
    <w:rsid w:val="006D3396"/>
    <w:rsid w:val="006D5AFF"/>
    <w:rsid w:val="006E050C"/>
    <w:rsid w:val="006E152B"/>
    <w:rsid w:val="006E36D1"/>
    <w:rsid w:val="006E4002"/>
    <w:rsid w:val="006E4DB6"/>
    <w:rsid w:val="006E5C1A"/>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6FFB"/>
    <w:rsid w:val="00740080"/>
    <w:rsid w:val="00741A30"/>
    <w:rsid w:val="007504DC"/>
    <w:rsid w:val="0075142F"/>
    <w:rsid w:val="00751965"/>
    <w:rsid w:val="007524EF"/>
    <w:rsid w:val="00752689"/>
    <w:rsid w:val="00756D1D"/>
    <w:rsid w:val="00760886"/>
    <w:rsid w:val="007615CA"/>
    <w:rsid w:val="00761ADD"/>
    <w:rsid w:val="00762B3A"/>
    <w:rsid w:val="00765D6E"/>
    <w:rsid w:val="00765D7E"/>
    <w:rsid w:val="007674B6"/>
    <w:rsid w:val="00770E90"/>
    <w:rsid w:val="00772C42"/>
    <w:rsid w:val="0077302F"/>
    <w:rsid w:val="00773661"/>
    <w:rsid w:val="00774A61"/>
    <w:rsid w:val="00774E08"/>
    <w:rsid w:val="00774E72"/>
    <w:rsid w:val="0077746F"/>
    <w:rsid w:val="007775FE"/>
    <w:rsid w:val="00780A5F"/>
    <w:rsid w:val="00784913"/>
    <w:rsid w:val="00785B90"/>
    <w:rsid w:val="0078639C"/>
    <w:rsid w:val="007913D3"/>
    <w:rsid w:val="0079790C"/>
    <w:rsid w:val="007A102A"/>
    <w:rsid w:val="007A122E"/>
    <w:rsid w:val="007A15E6"/>
    <w:rsid w:val="007A194B"/>
    <w:rsid w:val="007A4BCD"/>
    <w:rsid w:val="007A5714"/>
    <w:rsid w:val="007A5EFA"/>
    <w:rsid w:val="007A6821"/>
    <w:rsid w:val="007A75EF"/>
    <w:rsid w:val="007B03B6"/>
    <w:rsid w:val="007B1257"/>
    <w:rsid w:val="007B33CC"/>
    <w:rsid w:val="007B4133"/>
    <w:rsid w:val="007B49F4"/>
    <w:rsid w:val="007B7AB4"/>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6C8"/>
    <w:rsid w:val="007D4994"/>
    <w:rsid w:val="007D4BB3"/>
    <w:rsid w:val="007D4F6E"/>
    <w:rsid w:val="007D5ECD"/>
    <w:rsid w:val="007D61CA"/>
    <w:rsid w:val="007D6DCF"/>
    <w:rsid w:val="007D6F0D"/>
    <w:rsid w:val="007D7963"/>
    <w:rsid w:val="007E3532"/>
    <w:rsid w:val="007E3A3F"/>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6EAB"/>
    <w:rsid w:val="00810E52"/>
    <w:rsid w:val="00811CA7"/>
    <w:rsid w:val="00813840"/>
    <w:rsid w:val="0081636E"/>
    <w:rsid w:val="0082112E"/>
    <w:rsid w:val="00822F2B"/>
    <w:rsid w:val="00823D9A"/>
    <w:rsid w:val="00827EA4"/>
    <w:rsid w:val="008301D6"/>
    <w:rsid w:val="008305B7"/>
    <w:rsid w:val="00830C78"/>
    <w:rsid w:val="00830FB9"/>
    <w:rsid w:val="00834968"/>
    <w:rsid w:val="00834B53"/>
    <w:rsid w:val="00840298"/>
    <w:rsid w:val="00841BE4"/>
    <w:rsid w:val="00845A53"/>
    <w:rsid w:val="00847E8C"/>
    <w:rsid w:val="008505E1"/>
    <w:rsid w:val="00850B19"/>
    <w:rsid w:val="00852488"/>
    <w:rsid w:val="00853F8E"/>
    <w:rsid w:val="0085405E"/>
    <w:rsid w:val="008571DD"/>
    <w:rsid w:val="008574E8"/>
    <w:rsid w:val="0085772E"/>
    <w:rsid w:val="00860344"/>
    <w:rsid w:val="00860E2C"/>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3D74"/>
    <w:rsid w:val="008A4E05"/>
    <w:rsid w:val="008A56DB"/>
    <w:rsid w:val="008A6CFC"/>
    <w:rsid w:val="008B2125"/>
    <w:rsid w:val="008B25D4"/>
    <w:rsid w:val="008B3673"/>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1850"/>
    <w:rsid w:val="00904BA9"/>
    <w:rsid w:val="00904E7E"/>
    <w:rsid w:val="0091086B"/>
    <w:rsid w:val="00911129"/>
    <w:rsid w:val="00912EA3"/>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634C"/>
    <w:rsid w:val="0094638D"/>
    <w:rsid w:val="009463AB"/>
    <w:rsid w:val="00950239"/>
    <w:rsid w:val="00950332"/>
    <w:rsid w:val="00955899"/>
    <w:rsid w:val="00955A03"/>
    <w:rsid w:val="0096203D"/>
    <w:rsid w:val="0096224A"/>
    <w:rsid w:val="00963289"/>
    <w:rsid w:val="00964A78"/>
    <w:rsid w:val="00964DC9"/>
    <w:rsid w:val="009656B4"/>
    <w:rsid w:val="00966CA0"/>
    <w:rsid w:val="00966D74"/>
    <w:rsid w:val="00967F9D"/>
    <w:rsid w:val="00970275"/>
    <w:rsid w:val="00970ABF"/>
    <w:rsid w:val="009710E2"/>
    <w:rsid w:val="00972E9C"/>
    <w:rsid w:val="0097391E"/>
    <w:rsid w:val="00973DF3"/>
    <w:rsid w:val="0097403C"/>
    <w:rsid w:val="009742DA"/>
    <w:rsid w:val="009743BE"/>
    <w:rsid w:val="009753A0"/>
    <w:rsid w:val="00977437"/>
    <w:rsid w:val="00977C89"/>
    <w:rsid w:val="00980AB3"/>
    <w:rsid w:val="009848CB"/>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806"/>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2985"/>
    <w:rsid w:val="009D3033"/>
    <w:rsid w:val="009D5770"/>
    <w:rsid w:val="009D6AF5"/>
    <w:rsid w:val="009D6CF1"/>
    <w:rsid w:val="009D74BA"/>
    <w:rsid w:val="009E0874"/>
    <w:rsid w:val="009E1A16"/>
    <w:rsid w:val="009E2045"/>
    <w:rsid w:val="009E4A84"/>
    <w:rsid w:val="009E6973"/>
    <w:rsid w:val="009F0466"/>
    <w:rsid w:val="009F4200"/>
    <w:rsid w:val="009F4933"/>
    <w:rsid w:val="009F5FD0"/>
    <w:rsid w:val="009F6DD5"/>
    <w:rsid w:val="009F7B12"/>
    <w:rsid w:val="00A01AFD"/>
    <w:rsid w:val="00A020A2"/>
    <w:rsid w:val="00A0297B"/>
    <w:rsid w:val="00A0358E"/>
    <w:rsid w:val="00A049F9"/>
    <w:rsid w:val="00A04C21"/>
    <w:rsid w:val="00A0529B"/>
    <w:rsid w:val="00A0766F"/>
    <w:rsid w:val="00A10713"/>
    <w:rsid w:val="00A1252C"/>
    <w:rsid w:val="00A13B8B"/>
    <w:rsid w:val="00A151B7"/>
    <w:rsid w:val="00A17C22"/>
    <w:rsid w:val="00A200FC"/>
    <w:rsid w:val="00A21225"/>
    <w:rsid w:val="00A2139C"/>
    <w:rsid w:val="00A218F9"/>
    <w:rsid w:val="00A21E37"/>
    <w:rsid w:val="00A23314"/>
    <w:rsid w:val="00A235BB"/>
    <w:rsid w:val="00A23F10"/>
    <w:rsid w:val="00A23F72"/>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476"/>
    <w:rsid w:val="00A526D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2075"/>
    <w:rsid w:val="00A82192"/>
    <w:rsid w:val="00A82270"/>
    <w:rsid w:val="00A857AB"/>
    <w:rsid w:val="00A90009"/>
    <w:rsid w:val="00A927A4"/>
    <w:rsid w:val="00A94CC0"/>
    <w:rsid w:val="00A9534A"/>
    <w:rsid w:val="00A957FA"/>
    <w:rsid w:val="00A968DC"/>
    <w:rsid w:val="00A977BA"/>
    <w:rsid w:val="00AA1A89"/>
    <w:rsid w:val="00AA346E"/>
    <w:rsid w:val="00AA3770"/>
    <w:rsid w:val="00AA3CFA"/>
    <w:rsid w:val="00AA41C3"/>
    <w:rsid w:val="00AA423C"/>
    <w:rsid w:val="00AA53E2"/>
    <w:rsid w:val="00AA73FD"/>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40DA"/>
    <w:rsid w:val="00B4415A"/>
    <w:rsid w:val="00B503CD"/>
    <w:rsid w:val="00B548AB"/>
    <w:rsid w:val="00B54BBE"/>
    <w:rsid w:val="00B553F8"/>
    <w:rsid w:val="00B560B6"/>
    <w:rsid w:val="00B5630E"/>
    <w:rsid w:val="00B62FB6"/>
    <w:rsid w:val="00B635BF"/>
    <w:rsid w:val="00B63BB1"/>
    <w:rsid w:val="00B7050A"/>
    <w:rsid w:val="00B70904"/>
    <w:rsid w:val="00B70A42"/>
    <w:rsid w:val="00B744E1"/>
    <w:rsid w:val="00B74791"/>
    <w:rsid w:val="00B76AF9"/>
    <w:rsid w:val="00B8115B"/>
    <w:rsid w:val="00B81AE2"/>
    <w:rsid w:val="00B82D30"/>
    <w:rsid w:val="00B87F62"/>
    <w:rsid w:val="00B914A4"/>
    <w:rsid w:val="00B92497"/>
    <w:rsid w:val="00B92D41"/>
    <w:rsid w:val="00B93679"/>
    <w:rsid w:val="00B9369E"/>
    <w:rsid w:val="00B9422D"/>
    <w:rsid w:val="00B95A1D"/>
    <w:rsid w:val="00B9634B"/>
    <w:rsid w:val="00BA5072"/>
    <w:rsid w:val="00BA5B65"/>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03AC"/>
    <w:rsid w:val="00BE1F47"/>
    <w:rsid w:val="00BE24AD"/>
    <w:rsid w:val="00BE2787"/>
    <w:rsid w:val="00BE51BB"/>
    <w:rsid w:val="00BE7ECD"/>
    <w:rsid w:val="00BF1682"/>
    <w:rsid w:val="00BF1930"/>
    <w:rsid w:val="00BF241A"/>
    <w:rsid w:val="00BF3AFB"/>
    <w:rsid w:val="00BF3DD2"/>
    <w:rsid w:val="00BF4344"/>
    <w:rsid w:val="00BF6970"/>
    <w:rsid w:val="00BF69C6"/>
    <w:rsid w:val="00C005D8"/>
    <w:rsid w:val="00C02F31"/>
    <w:rsid w:val="00C04DA5"/>
    <w:rsid w:val="00C050FC"/>
    <w:rsid w:val="00C05D40"/>
    <w:rsid w:val="00C11905"/>
    <w:rsid w:val="00C14462"/>
    <w:rsid w:val="00C16542"/>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65A"/>
    <w:rsid w:val="00C52841"/>
    <w:rsid w:val="00C54FC6"/>
    <w:rsid w:val="00C56F88"/>
    <w:rsid w:val="00C57B7E"/>
    <w:rsid w:val="00C60217"/>
    <w:rsid w:val="00C66D15"/>
    <w:rsid w:val="00C671D0"/>
    <w:rsid w:val="00C70449"/>
    <w:rsid w:val="00C7071B"/>
    <w:rsid w:val="00C73904"/>
    <w:rsid w:val="00C73BAE"/>
    <w:rsid w:val="00C73F7B"/>
    <w:rsid w:val="00C74055"/>
    <w:rsid w:val="00C7421D"/>
    <w:rsid w:val="00C76481"/>
    <w:rsid w:val="00C76812"/>
    <w:rsid w:val="00C83D88"/>
    <w:rsid w:val="00C84961"/>
    <w:rsid w:val="00C84B06"/>
    <w:rsid w:val="00C87100"/>
    <w:rsid w:val="00C87CAC"/>
    <w:rsid w:val="00C913A1"/>
    <w:rsid w:val="00C918EF"/>
    <w:rsid w:val="00C950D6"/>
    <w:rsid w:val="00C97646"/>
    <w:rsid w:val="00C97672"/>
    <w:rsid w:val="00CA55BD"/>
    <w:rsid w:val="00CA6BB5"/>
    <w:rsid w:val="00CB0837"/>
    <w:rsid w:val="00CB2BFA"/>
    <w:rsid w:val="00CB3888"/>
    <w:rsid w:val="00CB400E"/>
    <w:rsid w:val="00CB48F6"/>
    <w:rsid w:val="00CB5F04"/>
    <w:rsid w:val="00CB67F1"/>
    <w:rsid w:val="00CB7DC8"/>
    <w:rsid w:val="00CC0EC0"/>
    <w:rsid w:val="00CC34DB"/>
    <w:rsid w:val="00CC51AC"/>
    <w:rsid w:val="00CC609D"/>
    <w:rsid w:val="00CC7044"/>
    <w:rsid w:val="00CD11FF"/>
    <w:rsid w:val="00CD15E7"/>
    <w:rsid w:val="00CE07A9"/>
    <w:rsid w:val="00CE1012"/>
    <w:rsid w:val="00CE419E"/>
    <w:rsid w:val="00CE5011"/>
    <w:rsid w:val="00CE574A"/>
    <w:rsid w:val="00CE5DC5"/>
    <w:rsid w:val="00CE629E"/>
    <w:rsid w:val="00CE66CE"/>
    <w:rsid w:val="00CE77AA"/>
    <w:rsid w:val="00CE7B59"/>
    <w:rsid w:val="00CF23C6"/>
    <w:rsid w:val="00CF352C"/>
    <w:rsid w:val="00CF4570"/>
    <w:rsid w:val="00CF527F"/>
    <w:rsid w:val="00CF58EE"/>
    <w:rsid w:val="00D00811"/>
    <w:rsid w:val="00D02A43"/>
    <w:rsid w:val="00D04518"/>
    <w:rsid w:val="00D05489"/>
    <w:rsid w:val="00D05CA1"/>
    <w:rsid w:val="00D061CB"/>
    <w:rsid w:val="00D0796C"/>
    <w:rsid w:val="00D07B7D"/>
    <w:rsid w:val="00D11A35"/>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FC2"/>
    <w:rsid w:val="00D37394"/>
    <w:rsid w:val="00D444D4"/>
    <w:rsid w:val="00D46699"/>
    <w:rsid w:val="00D47345"/>
    <w:rsid w:val="00D5073F"/>
    <w:rsid w:val="00D51573"/>
    <w:rsid w:val="00D5399A"/>
    <w:rsid w:val="00D5444F"/>
    <w:rsid w:val="00D54E0D"/>
    <w:rsid w:val="00D54F7D"/>
    <w:rsid w:val="00D57528"/>
    <w:rsid w:val="00D602CA"/>
    <w:rsid w:val="00D60DD8"/>
    <w:rsid w:val="00D64C6C"/>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27F9"/>
    <w:rsid w:val="00DA3B2F"/>
    <w:rsid w:val="00DA4731"/>
    <w:rsid w:val="00DA5040"/>
    <w:rsid w:val="00DA7D5F"/>
    <w:rsid w:val="00DB053E"/>
    <w:rsid w:val="00DB11B2"/>
    <w:rsid w:val="00DB161E"/>
    <w:rsid w:val="00DB31B5"/>
    <w:rsid w:val="00DB5BBA"/>
    <w:rsid w:val="00DC03DB"/>
    <w:rsid w:val="00DC1206"/>
    <w:rsid w:val="00DC2BE8"/>
    <w:rsid w:val="00DC2BEC"/>
    <w:rsid w:val="00DC3256"/>
    <w:rsid w:val="00DC35A6"/>
    <w:rsid w:val="00DD090A"/>
    <w:rsid w:val="00DD2421"/>
    <w:rsid w:val="00DD3222"/>
    <w:rsid w:val="00DD3D81"/>
    <w:rsid w:val="00DD571C"/>
    <w:rsid w:val="00DD64E1"/>
    <w:rsid w:val="00DE039A"/>
    <w:rsid w:val="00DE0403"/>
    <w:rsid w:val="00DE4811"/>
    <w:rsid w:val="00DE5458"/>
    <w:rsid w:val="00DE5EE6"/>
    <w:rsid w:val="00DE77EA"/>
    <w:rsid w:val="00DF0ABA"/>
    <w:rsid w:val="00DF1EEE"/>
    <w:rsid w:val="00DF413D"/>
    <w:rsid w:val="00DF631C"/>
    <w:rsid w:val="00DF6C58"/>
    <w:rsid w:val="00E001C1"/>
    <w:rsid w:val="00E029B3"/>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558AB"/>
    <w:rsid w:val="00E60540"/>
    <w:rsid w:val="00E61C74"/>
    <w:rsid w:val="00E63D8F"/>
    <w:rsid w:val="00E706B6"/>
    <w:rsid w:val="00E75FD9"/>
    <w:rsid w:val="00E76FF1"/>
    <w:rsid w:val="00E774FE"/>
    <w:rsid w:val="00E77916"/>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1327"/>
    <w:rsid w:val="00EA623C"/>
    <w:rsid w:val="00EA6395"/>
    <w:rsid w:val="00EB044B"/>
    <w:rsid w:val="00EB067C"/>
    <w:rsid w:val="00EB3C66"/>
    <w:rsid w:val="00EB4B03"/>
    <w:rsid w:val="00EB5DEE"/>
    <w:rsid w:val="00EB64CB"/>
    <w:rsid w:val="00EB6D46"/>
    <w:rsid w:val="00EC07F3"/>
    <w:rsid w:val="00EC3194"/>
    <w:rsid w:val="00EC518D"/>
    <w:rsid w:val="00EC71D3"/>
    <w:rsid w:val="00ED02FE"/>
    <w:rsid w:val="00ED1EC9"/>
    <w:rsid w:val="00ED3737"/>
    <w:rsid w:val="00ED3856"/>
    <w:rsid w:val="00ED3E2E"/>
    <w:rsid w:val="00ED4CC8"/>
    <w:rsid w:val="00ED6A08"/>
    <w:rsid w:val="00EE05EE"/>
    <w:rsid w:val="00EE0AE2"/>
    <w:rsid w:val="00EE35B4"/>
    <w:rsid w:val="00EE5643"/>
    <w:rsid w:val="00EE7CEC"/>
    <w:rsid w:val="00EF056E"/>
    <w:rsid w:val="00EF09B3"/>
    <w:rsid w:val="00EF0A3E"/>
    <w:rsid w:val="00EF5EC6"/>
    <w:rsid w:val="00EF646F"/>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2A5E"/>
    <w:rsid w:val="00F130D3"/>
    <w:rsid w:val="00F13B2E"/>
    <w:rsid w:val="00F176A0"/>
    <w:rsid w:val="00F20174"/>
    <w:rsid w:val="00F22098"/>
    <w:rsid w:val="00F223BC"/>
    <w:rsid w:val="00F23780"/>
    <w:rsid w:val="00F26185"/>
    <w:rsid w:val="00F3178C"/>
    <w:rsid w:val="00F33DE5"/>
    <w:rsid w:val="00F34B8F"/>
    <w:rsid w:val="00F36D7F"/>
    <w:rsid w:val="00F37186"/>
    <w:rsid w:val="00F40D29"/>
    <w:rsid w:val="00F42FCF"/>
    <w:rsid w:val="00F44A83"/>
    <w:rsid w:val="00F44AAA"/>
    <w:rsid w:val="00F51743"/>
    <w:rsid w:val="00F529D4"/>
    <w:rsid w:val="00F5323E"/>
    <w:rsid w:val="00F54F27"/>
    <w:rsid w:val="00F55FC8"/>
    <w:rsid w:val="00F604E3"/>
    <w:rsid w:val="00F610E6"/>
    <w:rsid w:val="00F61FCC"/>
    <w:rsid w:val="00F66036"/>
    <w:rsid w:val="00F6689D"/>
    <w:rsid w:val="00F67DEC"/>
    <w:rsid w:val="00F67E23"/>
    <w:rsid w:val="00F70324"/>
    <w:rsid w:val="00F71601"/>
    <w:rsid w:val="00F72C75"/>
    <w:rsid w:val="00F74033"/>
    <w:rsid w:val="00F759EB"/>
    <w:rsid w:val="00F772F7"/>
    <w:rsid w:val="00F81334"/>
    <w:rsid w:val="00F81A81"/>
    <w:rsid w:val="00F81CC5"/>
    <w:rsid w:val="00F83E18"/>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B020D"/>
    <w:rsid w:val="00FB3F33"/>
    <w:rsid w:val="00FB43E4"/>
    <w:rsid w:val="00FB4889"/>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31C6"/>
    <w:rsid w:val="00FE4A65"/>
    <w:rsid w:val="00FE51E8"/>
    <w:rsid w:val="00FE602F"/>
    <w:rsid w:val="00FE7611"/>
    <w:rsid w:val="00FF0769"/>
    <w:rsid w:val="00FF0DB8"/>
    <w:rsid w:val="00FF1A76"/>
    <w:rsid w:val="00FF1C1D"/>
    <w:rsid w:val="00FF3330"/>
    <w:rsid w:val="00FF4080"/>
    <w:rsid w:val="00FF40A5"/>
    <w:rsid w:val="00FF48DA"/>
    <w:rsid w:val="00FF5E19"/>
    <w:rsid w:val="00FF61AD"/>
    <w:rsid w:val="00FF76BD"/>
    <w:rsid w:val="6CED6BD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imes New Roman" w:eastAsia="宋体" w:cs="Times New Roman"/>
      <w:sz w:val="21"/>
      <w:lang w:eastAsia="en-US" w:bidi="ar-SA"/>
    </w:rPr>
  </w:style>
  <w:style w:type="paragraph" w:styleId="2">
    <w:name w:val="heading 1"/>
    <w:basedOn w:val="1"/>
    <w:next w:val="1"/>
    <w:qFormat/>
    <w:uiPriority w:val="0"/>
    <w:pPr>
      <w:keepNext/>
      <w:keepLines/>
      <w:numPr>
        <w:ilvl w:val="0"/>
        <w:numId w:val="1"/>
      </w:numPr>
      <w:spacing w:line="360" w:lineRule="auto"/>
      <w:outlineLvl w:val="0"/>
    </w:pPr>
    <w:rPr>
      <w:b/>
      <w:bCs/>
      <w:kern w:val="44"/>
      <w:sz w:val="22"/>
      <w:szCs w:val="44"/>
    </w:rPr>
  </w:style>
  <w:style w:type="paragraph" w:styleId="3">
    <w:name w:val="heading 2"/>
    <w:basedOn w:val="1"/>
    <w:next w:val="1"/>
    <w:qFormat/>
    <w:uiPriority w:val="0"/>
    <w:pPr>
      <w:keepNext/>
      <w:keepLines/>
      <w:spacing w:line="360" w:lineRule="auto"/>
      <w:outlineLvl w:val="1"/>
    </w:pPr>
    <w:rPr>
      <w:bCs/>
      <w:sz w:val="22"/>
      <w:szCs w:val="32"/>
    </w:rPr>
  </w:style>
  <w:style w:type="paragraph" w:styleId="4">
    <w:name w:val="heading 3"/>
    <w:basedOn w:val="1"/>
    <w:next w:val="1"/>
    <w:qFormat/>
    <w:uiPriority w:val="0"/>
    <w:pPr>
      <w:keepNext/>
      <w:spacing w:line="360" w:lineRule="auto"/>
      <w:outlineLvl w:val="2"/>
    </w:pPr>
    <w:rPr>
      <w:sz w:val="22"/>
    </w:rPr>
  </w:style>
  <w:style w:type="paragraph" w:styleId="5">
    <w:name w:val="heading 4"/>
    <w:basedOn w:val="1"/>
    <w:next w:val="1"/>
    <w:qFormat/>
    <w:uiPriority w:val="0"/>
    <w:pPr>
      <w:keepNext/>
      <w:spacing w:before="240" w:after="60"/>
      <w:outlineLvl w:val="3"/>
    </w:pPr>
    <w:rPr>
      <w:b/>
      <w:i/>
    </w:rPr>
  </w:style>
  <w:style w:type="character" w:default="1" w:styleId="19">
    <w:name w:val="Default Paragraph Font"/>
    <w:unhideWhenUsed/>
    <w:uiPriority w:val="1"/>
  </w:style>
  <w:style w:type="table" w:default="1" w:styleId="23">
    <w:name w:val="Normal Table"/>
    <w:unhideWhenUsed/>
    <w:uiPriority w:val="99"/>
    <w:tblPr>
      <w:tblStyle w:val="23"/>
      <w:tblLayout w:type="fixed"/>
      <w:tblCellMar>
        <w:top w:w="0" w:type="dxa"/>
        <w:left w:w="108" w:type="dxa"/>
        <w:bottom w:w="0" w:type="dxa"/>
        <w:right w:w="108" w:type="dxa"/>
      </w:tblCellMar>
    </w:tblPr>
    <w:tcPr>
      <w:textDirection w:val="lrTb"/>
    </w:tcPr>
  </w:style>
  <w:style w:type="paragraph" w:styleId="6">
    <w:name w:val="annotation subject"/>
    <w:basedOn w:val="7"/>
    <w:next w:val="7"/>
    <w:semiHidden/>
    <w:uiPriority w:val="0"/>
    <w:rPr>
      <w:b/>
      <w:bCs/>
    </w:rPr>
  </w:style>
  <w:style w:type="paragraph" w:styleId="7">
    <w:name w:val="annotation text"/>
    <w:basedOn w:val="1"/>
    <w:link w:val="37"/>
    <w:semiHidden/>
    <w:uiPriority w:val="0"/>
  </w:style>
  <w:style w:type="paragraph" w:styleId="8">
    <w:name w:val="Body Text 3"/>
    <w:basedOn w:val="1"/>
    <w:uiPriority w:val="0"/>
    <w:pPr>
      <w:spacing w:after="120"/>
    </w:pPr>
    <w:rPr>
      <w:sz w:val="16"/>
      <w:szCs w:val="16"/>
    </w:rPr>
  </w:style>
  <w:style w:type="paragraph" w:styleId="9">
    <w:name w:val="Body Text"/>
    <w:basedOn w:val="1"/>
    <w:uiPriority w:val="0"/>
    <w:pPr>
      <w:ind w:right="56"/>
    </w:pPr>
    <w:rPr>
      <w:b/>
      <w:sz w:val="22"/>
    </w:rPr>
  </w:style>
  <w:style w:type="paragraph" w:styleId="10">
    <w:name w:val="Body Text Indent"/>
    <w:basedOn w:val="1"/>
    <w:uiPriority w:val="0"/>
    <w:pPr>
      <w:spacing w:after="120"/>
      <w:ind w:left="420" w:leftChars="200"/>
    </w:pPr>
  </w:style>
  <w:style w:type="paragraph" w:styleId="11">
    <w:name w:val="toc 3"/>
    <w:basedOn w:val="1"/>
    <w:next w:val="1"/>
    <w:uiPriority w:val="39"/>
    <w:pPr>
      <w:tabs>
        <w:tab w:val="right" w:leader="dot" w:pos="8302"/>
        <w:tab w:val="right" w:leader="dot" w:pos="8835"/>
      </w:tabs>
      <w:spacing w:line="360" w:lineRule="auto"/>
      <w:ind w:left="300" w:leftChars="300"/>
    </w:pPr>
    <w:rPr>
      <w:sz w:val="20"/>
    </w:rPr>
  </w:style>
  <w:style w:type="paragraph" w:styleId="12">
    <w:name w:val="Body Text Indent 2"/>
    <w:basedOn w:val="1"/>
    <w:uiPriority w:val="0"/>
    <w:pPr>
      <w:spacing w:after="120" w:line="480" w:lineRule="auto"/>
      <w:ind w:left="420" w:leftChars="200"/>
    </w:pPr>
  </w:style>
  <w:style w:type="paragraph" w:styleId="13">
    <w:name w:val="Balloon Text"/>
    <w:basedOn w:val="1"/>
    <w:semiHidden/>
    <w:uiPriority w:val="0"/>
    <w:rPr>
      <w:sz w:val="18"/>
      <w:szCs w:val="18"/>
    </w:rPr>
  </w:style>
  <w:style w:type="paragraph" w:styleId="14">
    <w:name w:val="footer"/>
    <w:basedOn w:val="1"/>
    <w:link w:val="38"/>
    <w:uiPriority w:val="99"/>
    <w:pPr>
      <w:tabs>
        <w:tab w:val="center" w:pos="4320"/>
        <w:tab w:val="right" w:pos="8640"/>
      </w:tabs>
    </w:pPr>
  </w:style>
  <w:style w:type="paragraph" w:styleId="15">
    <w:name w:val="header"/>
    <w:basedOn w:val="1"/>
    <w:link w:val="36"/>
    <w:uiPriority w:val="0"/>
    <w:pPr>
      <w:tabs>
        <w:tab w:val="center" w:pos="4320"/>
        <w:tab w:val="right" w:pos="8640"/>
      </w:tabs>
    </w:pPr>
  </w:style>
  <w:style w:type="paragraph" w:styleId="16">
    <w:name w:val="toc 1"/>
    <w:basedOn w:val="1"/>
    <w:next w:val="1"/>
    <w:uiPriority w:val="39"/>
    <w:pPr>
      <w:widowControl w:val="0"/>
      <w:tabs>
        <w:tab w:val="left" w:pos="840"/>
        <w:tab w:val="right" w:leader="dot" w:pos="10080"/>
      </w:tabs>
      <w:adjustRightInd/>
      <w:spacing w:line="360" w:lineRule="auto"/>
      <w:ind w:left="210"/>
      <w:textAlignment w:val="auto"/>
    </w:pPr>
    <w:rPr>
      <w:b/>
      <w:bCs/>
      <w:caps/>
      <w:kern w:val="2"/>
      <w:lang w:val="en-US" w:eastAsia="zh-CN"/>
    </w:rPr>
  </w:style>
  <w:style w:type="paragraph" w:styleId="17">
    <w:name w:val="toc 2"/>
    <w:basedOn w:val="1"/>
    <w:next w:val="1"/>
    <w:uiPriority w:val="39"/>
    <w:pPr>
      <w:widowControl w:val="0"/>
      <w:tabs>
        <w:tab w:val="right" w:leader="dot" w:pos="8302"/>
      </w:tabs>
      <w:adjustRightInd/>
      <w:spacing w:line="360" w:lineRule="auto"/>
      <w:ind w:left="200" w:leftChars="200"/>
      <w:textAlignment w:val="auto"/>
    </w:pPr>
    <w:rPr>
      <w:rFonts w:eastAsia="Times New Roman"/>
      <w:kern w:val="2"/>
      <w:lang w:val="en-US" w:eastAsia="zh-CN"/>
    </w:rPr>
  </w:style>
  <w:style w:type="paragraph" w:styleId="18">
    <w:name w:val="Title"/>
    <w:basedOn w:val="1"/>
    <w:next w:val="1"/>
    <w:link w:val="45"/>
    <w:qFormat/>
    <w:uiPriority w:val="0"/>
    <w:pPr>
      <w:spacing w:before="240" w:after="60"/>
      <w:jc w:val="center"/>
      <w:outlineLvl w:val="0"/>
    </w:pPr>
    <w:rPr>
      <w:rFonts w:ascii="Calibri Light" w:hAnsi="Calibri Light"/>
      <w:b/>
      <w:bCs/>
      <w:sz w:val="32"/>
      <w:szCs w:val="32"/>
    </w:rPr>
  </w:style>
  <w:style w:type="character" w:styleId="20">
    <w:name w:val="page number"/>
    <w:basedOn w:val="19"/>
    <w:uiPriority w:val="0"/>
    <w:rPr/>
  </w:style>
  <w:style w:type="character" w:styleId="21">
    <w:name w:val="Hyperlink"/>
    <w:uiPriority w:val="99"/>
    <w:rPr>
      <w:color w:val="0000FF"/>
      <w:u w:val="single"/>
    </w:rPr>
  </w:style>
  <w:style w:type="character" w:styleId="22">
    <w:name w:val="annotation reference"/>
    <w:semiHidden/>
    <w:uiPriority w:val="0"/>
    <w:rPr>
      <w:sz w:val="21"/>
      <w:szCs w:val="21"/>
    </w:rPr>
  </w:style>
  <w:style w:type="table" w:styleId="24">
    <w:name w:val="Table Grid"/>
    <w:basedOn w:val="23"/>
    <w:uiPriority w:val="59"/>
    <w:pPr>
      <w:overflowPunct w:val="0"/>
      <w:autoSpaceDE w:val="0"/>
      <w:autoSpaceDN w:val="0"/>
      <w:adjustRightInd w:val="0"/>
      <w:textAlignment w:val="baseline"/>
    </w:p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25">
    <w:name w:val="Table"/>
    <w:basedOn w:val="1"/>
    <w:uiPriority w:val="0"/>
    <w:pPr>
      <w:keepLines/>
      <w:tabs>
        <w:tab w:val="left" w:pos="284"/>
      </w:tabs>
      <w:adjustRightInd/>
      <w:spacing w:before="40" w:after="20"/>
      <w:textAlignment w:val="auto"/>
    </w:pPr>
    <w:rPr>
      <w:rFonts w:ascii="Arial" w:hAnsi="Arial"/>
      <w:sz w:val="20"/>
      <w:lang w:val="en-US"/>
    </w:rPr>
  </w:style>
  <w:style w:type="paragraph" w:customStyle="1" w:styleId="26">
    <w:name w:val="Default Text"/>
    <w:basedOn w:val="1"/>
    <w:uiPriority w:val="0"/>
    <w:pPr>
      <w:textAlignment w:val="auto"/>
    </w:pPr>
    <w:rPr>
      <w:rFonts w:ascii="Arial" w:hAnsi="Arial"/>
      <w:szCs w:val="24"/>
      <w:lang w:val="en-US"/>
    </w:rPr>
  </w:style>
  <w:style w:type="paragraph" w:customStyle="1" w:styleId="27">
    <w:name w:val="Style"/>
    <w:basedOn w:val="1"/>
    <w:uiPriority w:val="0"/>
    <w:pPr>
      <w:textAlignment w:val="auto"/>
    </w:pPr>
    <w:rPr>
      <w:rFonts w:ascii="Arial" w:hAnsi="Arial"/>
      <w:szCs w:val="24"/>
      <w:lang w:val="en-US"/>
    </w:rPr>
  </w:style>
  <w:style w:type="paragraph" w:customStyle="1" w:styleId="28">
    <w:name w:val="正文1"/>
    <w:basedOn w:val="1"/>
    <w:uiPriority w:val="0"/>
    <w:pPr>
      <w:textAlignment w:val="auto"/>
    </w:pPr>
    <w:rPr>
      <w:rFonts w:ascii="Arial" w:hAnsi="Arial"/>
      <w:sz w:val="20"/>
      <w:lang w:val="en-US"/>
    </w:rPr>
  </w:style>
  <w:style w:type="paragraph" w:customStyle="1" w:styleId="29">
    <w:name w:val="Revision"/>
    <w:hidden/>
    <w:semiHidden/>
    <w:uiPriority w:val="99"/>
    <w:rPr>
      <w:rFonts w:ascii="Times New Roman" w:hAnsi="Times New Roman" w:eastAsia="宋体" w:cs="Times New Roman"/>
      <w:sz w:val="24"/>
      <w:lang w:eastAsia="en-US" w:bidi="ar-SA"/>
    </w:rPr>
  </w:style>
  <w:style w:type="paragraph" w:customStyle="1" w:styleId="30">
    <w:name w:val="List Paragraph"/>
    <w:basedOn w:val="1"/>
    <w:qFormat/>
    <w:uiPriority w:val="34"/>
    <w:pPr>
      <w:widowControl w:val="0"/>
      <w:adjustRightInd/>
      <w:ind w:firstLine="420" w:firstLineChars="200"/>
      <w:jc w:val="both"/>
      <w:textAlignment w:val="auto"/>
    </w:pPr>
    <w:rPr>
      <w:rFonts w:ascii="Calibri" w:hAnsi="Calibri"/>
      <w:kern w:val="2"/>
      <w:szCs w:val="22"/>
      <w:lang w:val="en-US" w:eastAsia="zh-CN"/>
    </w:rPr>
  </w:style>
  <w:style w:type="paragraph" w:customStyle="1" w:styleId="31">
    <w:name w:val="TOC Heading"/>
    <w:basedOn w:val="2"/>
    <w:next w:val="1"/>
    <w:qFormat/>
    <w:uiPriority w:val="39"/>
    <w:pPr>
      <w:numPr>
        <w:ilvl w:val="0"/>
        <w:numId w:val="0"/>
      </w:numPr>
      <w:outlineLvl w:val="9"/>
    </w:pPr>
  </w:style>
  <w:style w:type="paragraph" w:customStyle="1" w:styleId="32">
    <w:name w:val="numbering blue"/>
    <w:basedOn w:val="1"/>
    <w:link w:val="41"/>
    <w:qFormat/>
    <w:uiPriority w:val="0"/>
    <w:pPr>
      <w:numPr>
        <w:ilvl w:val="0"/>
        <w:numId w:val="2"/>
      </w:numPr>
      <w:adjustRightInd/>
      <w:spacing w:after="120"/>
      <w:ind w:left="357" w:hanging="357"/>
      <w:contextualSpacing/>
      <w:textAlignment w:val="auto"/>
    </w:pPr>
    <w:rPr>
      <w:rFonts w:ascii="Arial" w:hAnsi="Arial" w:eastAsia="PMingLiU"/>
      <w:color w:val="0070C0"/>
      <w:sz w:val="20"/>
      <w:lang w:eastAsia="zh-TW"/>
    </w:rPr>
  </w:style>
  <w:style w:type="paragraph" w:customStyle="1" w:styleId="33">
    <w:name w:val="Default"/>
    <w:uiPriority w:val="0"/>
    <w:pPr>
      <w:widowControl w:val="0"/>
      <w:autoSpaceDE w:val="0"/>
      <w:autoSpaceDN w:val="0"/>
    </w:pPr>
    <w:rPr>
      <w:rFonts w:hint="eastAsia" w:ascii="Arial" w:hAnsi="Arial" w:eastAsia="宋体" w:cs="Times New Roman"/>
      <w:color w:val="000000"/>
      <w:sz w:val="24"/>
      <w:lang w:val="en-US" w:eastAsia="zh-CN" w:bidi="ar-SA"/>
    </w:rPr>
  </w:style>
  <w:style w:type="paragraph" w:customStyle="1" w:styleId="34">
    <w:name w:val="Text"/>
    <w:basedOn w:val="1"/>
    <w:link w:val="42"/>
    <w:uiPriority w:val="0"/>
    <w:pPr>
      <w:adjustRightInd/>
      <w:spacing w:before="120"/>
      <w:jc w:val="both"/>
      <w:textAlignment w:val="auto"/>
    </w:pPr>
    <w:rPr>
      <w:lang w:val="en-US"/>
    </w:rPr>
  </w:style>
  <w:style w:type="paragraph" w:customStyle="1" w:styleId="35">
    <w:name w:val="Table text"/>
    <w:basedOn w:val="1"/>
    <w:qFormat/>
    <w:uiPriority w:val="0"/>
    <w:pPr>
      <w:adjustRightInd/>
      <w:spacing w:before="120" w:after="120"/>
      <w:jc w:val="both"/>
      <w:textAlignment w:val="auto"/>
    </w:pPr>
    <w:rPr>
      <w:lang w:val="en-US"/>
    </w:rPr>
  </w:style>
  <w:style w:type="character" w:customStyle="1" w:styleId="36">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15"/>
    <w:uiPriority w:val="0"/>
    <w:rPr>
      <w:rFonts w:eastAsia="宋体"/>
      <w:sz w:val="24"/>
      <w:lang w:eastAsia="en-US" w:bidi="ar-SA"/>
    </w:rPr>
  </w:style>
  <w:style w:type="character" w:customStyle="1" w:styleId="37">
    <w:name w:val="批注文字 Char"/>
    <w:link w:val="7"/>
    <w:semiHidden/>
    <w:uiPriority w:val="0"/>
    <w:rPr>
      <w:sz w:val="24"/>
      <w:lang w:eastAsia="en-US"/>
    </w:rPr>
  </w:style>
  <w:style w:type="character" w:customStyle="1" w:styleId="38">
    <w:name w:val="页脚 Char"/>
    <w:link w:val="14"/>
    <w:uiPriority w:val="99"/>
    <w:rPr>
      <w:sz w:val="24"/>
      <w:lang w:eastAsia="en-US"/>
    </w:rPr>
  </w:style>
  <w:style w:type="character" w:customStyle="1" w:styleId="39">
    <w:name w:val="instruction standard blue"/>
    <w:qFormat/>
    <w:uiPriority w:val="1"/>
    <w:rPr>
      <w:rFonts w:cs="Arial"/>
      <w:i/>
      <w:color w:val="0070C0"/>
    </w:rPr>
  </w:style>
  <w:style w:type="character" w:customStyle="1" w:styleId="40">
    <w:name w:val="keyword"/>
    <w:basedOn w:val="19"/>
    <w:uiPriority w:val="0"/>
    <w:rPr/>
  </w:style>
  <w:style w:type="character" w:customStyle="1" w:styleId="41">
    <w:name w:val="numbering blue Zchn"/>
    <w:link w:val="32"/>
    <w:uiPriority w:val="0"/>
    <w:rPr>
      <w:rFonts w:ascii="Arial" w:hAnsi="Arial" w:eastAsia="PMingLiU"/>
      <w:color w:val="0070C0"/>
      <w:lang w:eastAsia="zh-TW"/>
    </w:rPr>
  </w:style>
  <w:style w:type="character" w:customStyle="1" w:styleId="42">
    <w:name w:val="Text Char"/>
    <w:link w:val="34"/>
    <w:locked/>
    <w:uiPriority w:val="0"/>
    <w:rPr>
      <w:sz w:val="24"/>
      <w:lang w:eastAsia="en-US"/>
    </w:rPr>
  </w:style>
  <w:style w:type="character" w:customStyle="1" w:styleId="43">
    <w:name w:val="ordinary-span-edit2"/>
    <w:uiPriority w:val="0"/>
  </w:style>
  <w:style w:type="character" w:customStyle="1" w:styleId="44">
    <w:name w:val="apple-converted-space"/>
    <w:basedOn w:val="19"/>
    <w:uiPriority w:val="0"/>
    <w:rPr/>
  </w:style>
  <w:style w:type="character" w:customStyle="1" w:styleId="45">
    <w:name w:val="标题 Char"/>
    <w:link w:val="18"/>
    <w:uiPriority w:val="0"/>
    <w:rPr>
      <w:rFonts w:ascii="Calibri Light" w:hAnsi="Calibri Light" w:cs="Times New Roman"/>
      <w:b/>
      <w:bCs/>
      <w:sz w:val="32"/>
      <w:szCs w:val="32"/>
      <w:lang w:eastAsia="en-US"/>
    </w:rPr>
  </w:style>
  <w:style w:type="character" w:customStyle="1" w:styleId="46">
    <w:name w:val="Footer Char"/>
    <w:basedOn w:val="19"/>
    <w:semiHidden/>
    <w:locked/>
    <w:uiPriority w:val="0"/>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757</Words>
  <Characters>4318</Characters>
  <Lines>35</Lines>
  <Paragraphs>10</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2020-05-20T00:55:00Z</dcterms:created>
  <dc:creator>Lilly</dc:creator>
  <cp:lastModifiedBy>汪洋</cp:lastModifiedBy>
  <cp:lastPrinted>2017-06-22T01:53:00Z</cp:lastPrinted>
  <dcterms:modified xsi:type="dcterms:W3CDTF">2020-07-15T02:21:52Z</dcterms:modified>
  <dc:title>生效期：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