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1"/>
        <w:spacing w:line="460" w:lineRule="exact"/>
        <w:jc w:val="center"/>
        <w:rPr>
          <w:rFonts w:ascii="宋体" w:hAnsi="宋体" w:eastAsia="宋体"/>
          <w:b/>
        </w:rPr>
      </w:pPr>
    </w:p>
    <w:p>
      <w:pPr>
        <w:pStyle w:val="11"/>
        <w:spacing w:line="460" w:lineRule="exact"/>
        <w:jc w:val="center"/>
        <w:rPr>
          <w:rFonts w:ascii="宋体" w:hAnsi="宋体" w:eastAsia="宋体"/>
          <w:b/>
        </w:rPr>
      </w:pPr>
    </w:p>
    <w:p>
      <w:pPr>
        <w:pStyle w:val="11"/>
        <w:spacing w:line="460" w:lineRule="exact"/>
        <w:jc w:val="center"/>
        <w:rPr>
          <w:rFonts w:ascii="宋体" w:hAnsi="宋体" w:eastAsia="宋体"/>
          <w:b/>
        </w:rPr>
      </w:pPr>
    </w:p>
    <w:p>
      <w:pPr>
        <w:pStyle w:val="11"/>
        <w:spacing w:line="460" w:lineRule="exact"/>
        <w:jc w:val="center"/>
        <w:rPr>
          <w:rFonts w:ascii="宋体" w:hAnsi="宋体" w:eastAsia="宋体"/>
          <w:b/>
        </w:rPr>
      </w:pPr>
    </w:p>
    <w:p>
      <w:pPr>
        <w:pStyle w:val="11"/>
        <w:spacing w:line="460" w:lineRule="exact"/>
        <w:jc w:val="center"/>
        <w:rPr>
          <w:rFonts w:ascii="宋体" w:hAnsi="宋体" w:eastAsia="宋体"/>
          <w:b/>
          <w:szCs w:val="28"/>
        </w:rPr>
      </w:pPr>
    </w:p>
    <w:p>
      <w:pPr>
        <w:pStyle w:val="11"/>
        <w:spacing w:line="460" w:lineRule="exact"/>
        <w:jc w:val="center"/>
        <w:rPr>
          <w:rFonts w:ascii="宋体" w:hAnsi="宋体" w:eastAsia="宋体"/>
          <w:b/>
          <w:sz w:val="44"/>
          <w:szCs w:val="44"/>
        </w:rPr>
      </w:pPr>
      <w:r>
        <w:rPr>
          <w:rFonts w:hint="eastAsia" w:ascii="宋体" w:hAnsi="宋体" w:eastAsia="宋体"/>
          <w:b/>
          <w:sz w:val="44"/>
          <w:szCs w:val="44"/>
        </w:rPr>
        <w:t>免疫制剂室移动搅拌器</w:t>
      </w:r>
      <w:r>
        <w:rPr>
          <w:rFonts w:ascii="宋体" w:hAnsi="宋体" w:eastAsia="宋体"/>
          <w:b/>
          <w:sz w:val="44"/>
          <w:szCs w:val="44"/>
        </w:rPr>
        <w:t>URS</w:t>
      </w: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 w:val="44"/>
          <w:szCs w:val="44"/>
        </w:rPr>
      </w:pPr>
    </w:p>
    <w:p>
      <w:pPr>
        <w:pStyle w:val="11"/>
        <w:spacing w:line="460" w:lineRule="exact"/>
        <w:jc w:val="center"/>
        <w:rPr>
          <w:rFonts w:ascii="宋体" w:hAnsi="宋体" w:eastAsia="宋体"/>
          <w:b/>
          <w:szCs w:val="24"/>
        </w:rPr>
      </w:pPr>
      <w:r>
        <w:rPr>
          <w:rFonts w:hint="eastAsia" w:ascii="宋体" w:hAnsi="宋体" w:eastAsia="宋体"/>
          <w:b/>
          <w:szCs w:val="24"/>
        </w:rPr>
        <w:t>目录</w:t>
      </w:r>
    </w:p>
    <w:p>
      <w:pPr>
        <w:pStyle w:val="11"/>
        <w:spacing w:line="360" w:lineRule="auto"/>
        <w:rPr>
          <w:rFonts w:ascii="宋体" w:hAnsi="宋体" w:eastAsia="宋体"/>
          <w:b/>
          <w:szCs w:val="28"/>
        </w:rPr>
      </w:pPr>
    </w:p>
    <w:p>
      <w:pPr>
        <w:pStyle w:val="20"/>
        <w:tabs>
          <w:tab w:val="right" w:leader="dot" w:pos="9346"/>
        </w:tabs>
        <w:rPr>
          <w:rFonts w:ascii="宋体" w:hAnsi="宋体" w:eastAsia="宋体" w:cs="黑体"/>
          <w:b/>
          <w:sz w:val="24"/>
        </w:rPr>
      </w:pPr>
      <w:r>
        <w:rPr>
          <w:rFonts w:ascii="宋体" w:hAnsi="宋体" w:eastAsia="宋体"/>
          <w:b/>
          <w:sz w:val="24"/>
        </w:rPr>
        <w:fldChar w:fldCharType="begin"/>
      </w:r>
      <w:r>
        <w:rPr>
          <w:rFonts w:ascii="宋体" w:hAnsi="宋体" w:eastAsia="宋体"/>
          <w:b/>
          <w:sz w:val="24"/>
        </w:rPr>
        <w:instrText xml:space="preserve">TOC \o "1-2" \h  \u </w:instrText>
      </w:r>
      <w:r>
        <w:rPr>
          <w:rFonts w:ascii="宋体" w:hAnsi="宋体" w:eastAsia="宋体"/>
          <w:b/>
          <w:sz w:val="24"/>
        </w:rPr>
        <w:fldChar w:fldCharType="separate"/>
      </w:r>
      <w:r>
        <w:fldChar w:fldCharType="begin"/>
      </w:r>
      <w:r>
        <w:instrText xml:space="preserve">HYPERLINK  \l "_Toc50632357" </w:instrText>
      </w:r>
      <w:r>
        <w:fldChar w:fldCharType="separate"/>
      </w:r>
      <w:r>
        <w:rPr>
          <w:rStyle w:val="30"/>
          <w:rFonts w:ascii="宋体" w:hAnsi="宋体" w:eastAsia="宋体"/>
          <w:b/>
          <w:sz w:val="24"/>
        </w:rPr>
        <w:t>1.</w:t>
      </w:r>
      <w:r>
        <w:rPr>
          <w:rStyle w:val="30"/>
          <w:rFonts w:hint="eastAsia" w:ascii="宋体" w:hAnsi="宋体" w:eastAsia="宋体"/>
          <w:b/>
          <w:sz w:val="24"/>
        </w:rPr>
        <w:t>目的</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_Toc50632357 \h </w:instrText>
      </w:r>
      <w:r>
        <w:rPr>
          <w:rFonts w:ascii="宋体" w:hAnsi="宋体" w:eastAsia="宋体"/>
          <w:b/>
          <w:sz w:val="24"/>
        </w:rPr>
        <w:fldChar w:fldCharType="separate"/>
      </w:r>
      <w:r>
        <w:rPr>
          <w:rFonts w:ascii="宋体" w:hAnsi="宋体" w:eastAsia="宋体"/>
          <w:b/>
          <w:sz w:val="24"/>
        </w:rPr>
        <w:t>3</w:t>
      </w:r>
      <w:r>
        <w:rPr>
          <w:rFonts w:ascii="宋体" w:hAnsi="宋体" w:eastAsia="宋体"/>
          <w:b/>
          <w:sz w:val="24"/>
        </w:rPr>
        <w:fldChar w:fldCharType="end"/>
      </w:r>
      <w:r>
        <w:fldChar w:fldCharType="end"/>
      </w:r>
    </w:p>
    <w:p>
      <w:pPr>
        <w:pStyle w:val="20"/>
        <w:tabs>
          <w:tab w:val="right" w:leader="dot" w:pos="9346"/>
        </w:tabs>
        <w:rPr>
          <w:rFonts w:ascii="宋体" w:hAnsi="宋体" w:eastAsia="宋体" w:cs="黑体"/>
          <w:b/>
          <w:sz w:val="24"/>
        </w:rPr>
      </w:pPr>
      <w:r>
        <w:fldChar w:fldCharType="begin"/>
      </w:r>
      <w:r>
        <w:instrText xml:space="preserve">HYPERLINK  \l "_Toc50632358" </w:instrText>
      </w:r>
      <w:r>
        <w:fldChar w:fldCharType="separate"/>
      </w:r>
      <w:r>
        <w:rPr>
          <w:rStyle w:val="30"/>
          <w:rFonts w:ascii="宋体" w:hAnsi="宋体" w:eastAsia="宋体"/>
          <w:b/>
          <w:sz w:val="24"/>
        </w:rPr>
        <w:t>2.</w:t>
      </w:r>
      <w:r>
        <w:rPr>
          <w:rStyle w:val="30"/>
          <w:rFonts w:hint="eastAsia" w:ascii="宋体" w:hAnsi="宋体" w:eastAsia="宋体"/>
          <w:b/>
          <w:sz w:val="24"/>
        </w:rPr>
        <w:t>范围</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_Toc50632358 \h </w:instrText>
      </w:r>
      <w:r>
        <w:rPr>
          <w:rFonts w:ascii="宋体" w:hAnsi="宋体" w:eastAsia="宋体"/>
          <w:b/>
          <w:sz w:val="24"/>
        </w:rPr>
        <w:fldChar w:fldCharType="separate"/>
      </w:r>
      <w:r>
        <w:rPr>
          <w:rFonts w:ascii="宋体" w:hAnsi="宋体" w:eastAsia="宋体"/>
          <w:b/>
          <w:sz w:val="24"/>
        </w:rPr>
        <w:t>3</w:t>
      </w:r>
      <w:r>
        <w:rPr>
          <w:rFonts w:ascii="宋体" w:hAnsi="宋体" w:eastAsia="宋体"/>
          <w:b/>
          <w:sz w:val="24"/>
        </w:rPr>
        <w:fldChar w:fldCharType="end"/>
      </w:r>
      <w:r>
        <w:fldChar w:fldCharType="end"/>
      </w:r>
    </w:p>
    <w:p>
      <w:pPr>
        <w:pStyle w:val="20"/>
        <w:tabs>
          <w:tab w:val="right" w:leader="dot" w:pos="9346"/>
        </w:tabs>
        <w:rPr>
          <w:rFonts w:ascii="宋体" w:hAnsi="宋体" w:eastAsia="宋体" w:cs="黑体"/>
          <w:b/>
          <w:sz w:val="24"/>
        </w:rPr>
      </w:pPr>
      <w:r>
        <w:fldChar w:fldCharType="begin"/>
      </w:r>
      <w:r>
        <w:instrText xml:space="preserve">HYPERLINK  \l "_Toc50632359" </w:instrText>
      </w:r>
      <w:r>
        <w:fldChar w:fldCharType="separate"/>
      </w:r>
      <w:r>
        <w:rPr>
          <w:rStyle w:val="30"/>
          <w:rFonts w:ascii="宋体" w:hAnsi="宋体" w:eastAsia="宋体"/>
          <w:b/>
          <w:sz w:val="24"/>
        </w:rPr>
        <w:t>3.</w:t>
      </w:r>
      <w:r>
        <w:rPr>
          <w:rStyle w:val="30"/>
          <w:rFonts w:hint="eastAsia" w:ascii="宋体" w:hAnsi="宋体" w:eastAsia="宋体"/>
          <w:b/>
          <w:sz w:val="24"/>
        </w:rPr>
        <w:t>职责</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_Toc50632359 \h </w:instrText>
      </w:r>
      <w:r>
        <w:rPr>
          <w:rFonts w:ascii="宋体" w:hAnsi="宋体" w:eastAsia="宋体"/>
          <w:b/>
          <w:sz w:val="24"/>
        </w:rPr>
        <w:fldChar w:fldCharType="separate"/>
      </w:r>
      <w:r>
        <w:rPr>
          <w:rFonts w:ascii="宋体" w:hAnsi="宋体" w:eastAsia="宋体"/>
          <w:b/>
          <w:sz w:val="24"/>
        </w:rPr>
        <w:t>3</w:t>
      </w:r>
      <w:r>
        <w:rPr>
          <w:rFonts w:ascii="宋体" w:hAnsi="宋体" w:eastAsia="宋体"/>
          <w:b/>
          <w:sz w:val="24"/>
        </w:rPr>
        <w:fldChar w:fldCharType="end"/>
      </w:r>
      <w:r>
        <w:fldChar w:fldCharType="end"/>
      </w:r>
    </w:p>
    <w:p>
      <w:pPr>
        <w:pStyle w:val="20"/>
        <w:tabs>
          <w:tab w:val="right" w:leader="dot" w:pos="9346"/>
        </w:tabs>
        <w:rPr>
          <w:rFonts w:ascii="宋体" w:hAnsi="宋体" w:eastAsia="宋体" w:cs="黑体"/>
          <w:b/>
          <w:sz w:val="24"/>
        </w:rPr>
      </w:pPr>
      <w:r>
        <w:fldChar w:fldCharType="begin"/>
      </w:r>
      <w:r>
        <w:instrText xml:space="preserve">HYPERLINK  \l "_Toc50632360" </w:instrText>
      </w:r>
      <w:r>
        <w:fldChar w:fldCharType="separate"/>
      </w:r>
      <w:r>
        <w:rPr>
          <w:rStyle w:val="30"/>
          <w:rFonts w:ascii="宋体" w:hAnsi="宋体" w:eastAsia="宋体"/>
          <w:b/>
          <w:sz w:val="24"/>
        </w:rPr>
        <w:t>4.</w:t>
      </w:r>
      <w:r>
        <w:rPr>
          <w:rStyle w:val="30"/>
          <w:rFonts w:hint="eastAsia" w:ascii="宋体" w:hAnsi="宋体" w:eastAsia="宋体"/>
          <w:b/>
          <w:sz w:val="24"/>
        </w:rPr>
        <w:t>内容</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_Toc50632360 \h </w:instrText>
      </w:r>
      <w:r>
        <w:rPr>
          <w:rFonts w:ascii="宋体" w:hAnsi="宋体" w:eastAsia="宋体"/>
          <w:b/>
          <w:sz w:val="24"/>
        </w:rPr>
        <w:fldChar w:fldCharType="separate"/>
      </w:r>
      <w:r>
        <w:rPr>
          <w:rFonts w:ascii="宋体" w:hAnsi="宋体" w:eastAsia="宋体"/>
          <w:b/>
          <w:sz w:val="24"/>
        </w:rPr>
        <w:t>3</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"_Toc50632361" </w:instrText>
      </w:r>
      <w:r>
        <w:fldChar w:fldCharType="separate"/>
      </w:r>
      <w:r>
        <w:rPr>
          <w:rStyle w:val="30"/>
          <w:rFonts w:ascii="宋体" w:hAnsi="宋体" w:eastAsia="宋体"/>
          <w:b/>
          <w:sz w:val="24"/>
        </w:rPr>
        <w:t>4.1</w:t>
      </w:r>
      <w:r>
        <w:rPr>
          <w:rStyle w:val="30"/>
          <w:rFonts w:hint="eastAsia" w:ascii="宋体" w:hAnsi="宋体" w:eastAsia="宋体"/>
          <w:b/>
          <w:sz w:val="24"/>
        </w:rPr>
        <w:t>概述</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_Toc50632361 \h </w:instrText>
      </w:r>
      <w:r>
        <w:rPr>
          <w:rFonts w:ascii="宋体" w:hAnsi="宋体" w:eastAsia="宋体"/>
          <w:b/>
          <w:sz w:val="24"/>
        </w:rPr>
        <w:fldChar w:fldCharType="separate"/>
      </w:r>
      <w:r>
        <w:rPr>
          <w:rFonts w:ascii="宋体" w:hAnsi="宋体" w:eastAsia="宋体"/>
          <w:b/>
          <w:sz w:val="24"/>
        </w:rPr>
        <w:t>3</w:t>
      </w:r>
      <w:r>
        <w:rPr>
          <w:rFonts w:ascii="宋体" w:hAnsi="宋体" w:eastAsia="宋体"/>
          <w:b/>
          <w:sz w:val="24"/>
        </w:rPr>
        <w:fldChar w:fldCharType="end"/>
      </w:r>
      <w:r>
        <w:fldChar w:fldCharType="end"/>
      </w:r>
    </w:p>
    <w:p>
      <w:pPr>
        <w:pStyle w:val="20"/>
        <w:tabs>
          <w:tab w:val="left" w:pos="420"/>
          <w:tab w:val="right" w:leader="dot" w:pos="9346"/>
        </w:tabs>
        <w:ind w:firstLine="420" w:firstLineChars="200"/>
        <w:rPr>
          <w:rFonts w:ascii="宋体" w:hAnsi="宋体" w:eastAsia="宋体"/>
          <w:b/>
          <w:color w:val="0000FF"/>
          <w:sz w:val="24"/>
          <w:u w:val="single"/>
        </w:rPr>
      </w:pPr>
      <w:r>
        <w:fldChar w:fldCharType="begin"/>
      </w:r>
      <w:r>
        <w:instrText xml:space="preserve">HYPERLINK  \l "_Toc50632362" </w:instrText>
      </w:r>
      <w:r>
        <w:fldChar w:fldCharType="separate"/>
      </w:r>
      <w:r>
        <w:rPr>
          <w:rStyle w:val="30"/>
          <w:rFonts w:ascii="宋体" w:hAnsi="宋体" w:eastAsia="宋体"/>
          <w:b/>
          <w:sz w:val="24"/>
        </w:rPr>
        <w:t>4.2</w:t>
      </w:r>
      <w:r>
        <w:rPr>
          <w:rStyle w:val="30"/>
          <w:rFonts w:hint="eastAsia" w:ascii="宋体" w:hAnsi="宋体" w:eastAsia="宋体"/>
          <w:b/>
          <w:sz w:val="24"/>
        </w:rPr>
        <w:t>法规与标准</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_Toc50632362 \h </w:instrText>
      </w:r>
      <w:r>
        <w:rPr>
          <w:rFonts w:ascii="宋体" w:hAnsi="宋体" w:eastAsia="宋体"/>
          <w:b/>
          <w:sz w:val="24"/>
        </w:rPr>
        <w:fldChar w:fldCharType="separate"/>
      </w:r>
      <w:r>
        <w:rPr>
          <w:rFonts w:ascii="宋体" w:hAnsi="宋体" w:eastAsia="宋体"/>
          <w:b/>
          <w:sz w:val="24"/>
        </w:rPr>
        <w:t>3</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"_Toc50632363" </w:instrText>
      </w:r>
      <w:r>
        <w:fldChar w:fldCharType="separate"/>
      </w:r>
      <w:r>
        <w:rPr>
          <w:rStyle w:val="30"/>
          <w:rFonts w:ascii="宋体" w:hAnsi="宋体" w:eastAsia="宋体"/>
          <w:b/>
          <w:sz w:val="24"/>
        </w:rPr>
        <w:t>4.3</w:t>
      </w:r>
      <w:r>
        <w:rPr>
          <w:rStyle w:val="30"/>
          <w:rFonts w:hint="eastAsia" w:ascii="宋体" w:hAnsi="宋体" w:eastAsia="宋体"/>
          <w:b/>
          <w:sz w:val="24"/>
        </w:rPr>
        <w:t>安装要求</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_Toc50632363 \h </w:instrText>
      </w:r>
      <w:r>
        <w:rPr>
          <w:rFonts w:ascii="宋体" w:hAnsi="宋体" w:eastAsia="宋体"/>
          <w:b/>
          <w:sz w:val="24"/>
        </w:rPr>
        <w:fldChar w:fldCharType="separate"/>
      </w:r>
      <w:r>
        <w:rPr>
          <w:rFonts w:ascii="宋体" w:hAnsi="宋体" w:eastAsia="宋体"/>
          <w:b/>
          <w:sz w:val="24"/>
        </w:rPr>
        <w:t>4</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"_Toc50632364" </w:instrText>
      </w:r>
      <w:r>
        <w:fldChar w:fldCharType="separate"/>
      </w:r>
      <w:r>
        <w:rPr>
          <w:rStyle w:val="30"/>
          <w:rFonts w:ascii="宋体" w:hAnsi="宋体" w:eastAsia="宋体"/>
          <w:b/>
          <w:sz w:val="24"/>
        </w:rPr>
        <w:t>4.4</w:t>
      </w:r>
      <w:r>
        <w:rPr>
          <w:rStyle w:val="30"/>
          <w:rFonts w:hint="eastAsia" w:ascii="宋体" w:hAnsi="宋体" w:eastAsia="宋体"/>
          <w:b/>
          <w:sz w:val="24"/>
        </w:rPr>
        <w:t>运行要求</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_Toc50632364 \h </w:instrText>
      </w:r>
      <w:r>
        <w:rPr>
          <w:rFonts w:ascii="宋体" w:hAnsi="宋体" w:eastAsia="宋体"/>
          <w:b/>
          <w:sz w:val="24"/>
        </w:rPr>
        <w:fldChar w:fldCharType="separate"/>
      </w:r>
      <w:r>
        <w:rPr>
          <w:rFonts w:ascii="宋体" w:hAnsi="宋体" w:eastAsia="宋体"/>
          <w:b/>
          <w:sz w:val="24"/>
        </w:rPr>
        <w:t>5</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"_Toc50632365" </w:instrText>
      </w:r>
      <w:r>
        <w:fldChar w:fldCharType="separate"/>
      </w:r>
      <w:r>
        <w:rPr>
          <w:rStyle w:val="30"/>
          <w:rFonts w:ascii="宋体" w:hAnsi="宋体" w:eastAsia="宋体"/>
          <w:b/>
          <w:sz w:val="24"/>
        </w:rPr>
        <w:t>4.5</w:t>
      </w:r>
      <w:r>
        <w:rPr>
          <w:rStyle w:val="30"/>
          <w:rFonts w:hint="eastAsia" w:ascii="宋体" w:hAnsi="宋体" w:eastAsia="宋体"/>
          <w:b/>
          <w:sz w:val="24"/>
        </w:rPr>
        <w:t>电气、自动控制要求</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_Toc50632365 \h </w:instrText>
      </w:r>
      <w:r>
        <w:rPr>
          <w:rFonts w:ascii="宋体" w:hAnsi="宋体" w:eastAsia="宋体"/>
          <w:b/>
          <w:sz w:val="24"/>
        </w:rPr>
        <w:fldChar w:fldCharType="separate"/>
      </w:r>
      <w:r>
        <w:rPr>
          <w:rFonts w:ascii="宋体" w:hAnsi="宋体" w:eastAsia="宋体"/>
          <w:b/>
          <w:sz w:val="24"/>
        </w:rPr>
        <w:t>5</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"_Toc50632366" </w:instrText>
      </w:r>
      <w:r>
        <w:fldChar w:fldCharType="separate"/>
      </w:r>
      <w:r>
        <w:rPr>
          <w:rStyle w:val="30"/>
          <w:rFonts w:ascii="宋体" w:hAnsi="宋体" w:eastAsia="宋体"/>
          <w:b/>
          <w:sz w:val="24"/>
        </w:rPr>
        <w:t xml:space="preserve">4.6 </w:t>
      </w:r>
      <w:r>
        <w:rPr>
          <w:rStyle w:val="30"/>
          <w:rFonts w:hint="eastAsia" w:ascii="宋体" w:hAnsi="宋体" w:eastAsia="宋体"/>
          <w:b/>
          <w:sz w:val="24"/>
        </w:rPr>
        <w:t>安全要求</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_Toc50632366 \h </w:instrText>
      </w:r>
      <w:r>
        <w:rPr>
          <w:rFonts w:ascii="宋体" w:hAnsi="宋体" w:eastAsia="宋体"/>
          <w:b/>
          <w:sz w:val="24"/>
        </w:rPr>
        <w:fldChar w:fldCharType="separate"/>
      </w:r>
      <w:r>
        <w:rPr>
          <w:rFonts w:ascii="宋体" w:hAnsi="宋体" w:eastAsia="宋体"/>
          <w:b/>
          <w:sz w:val="24"/>
        </w:rPr>
        <w:t>6</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"_Toc50632367" </w:instrText>
      </w:r>
      <w:r>
        <w:fldChar w:fldCharType="separate"/>
      </w:r>
      <w:r>
        <w:rPr>
          <w:rStyle w:val="30"/>
          <w:rFonts w:ascii="宋体" w:hAnsi="宋体" w:eastAsia="宋体"/>
          <w:b/>
          <w:sz w:val="24"/>
        </w:rPr>
        <w:t>4.7</w:t>
      </w:r>
      <w:r>
        <w:rPr>
          <w:rStyle w:val="30"/>
          <w:rFonts w:hint="eastAsia" w:ascii="宋体" w:hAnsi="宋体" w:eastAsia="宋体"/>
          <w:b/>
          <w:sz w:val="24"/>
        </w:rPr>
        <w:t>文件要求</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_Toc50632367 \h </w:instrText>
      </w:r>
      <w:r>
        <w:rPr>
          <w:rFonts w:ascii="宋体" w:hAnsi="宋体" w:eastAsia="宋体"/>
          <w:b/>
          <w:sz w:val="24"/>
        </w:rPr>
        <w:fldChar w:fldCharType="separate"/>
      </w:r>
      <w:r>
        <w:rPr>
          <w:rFonts w:ascii="宋体" w:hAnsi="宋体" w:eastAsia="宋体"/>
          <w:b/>
          <w:sz w:val="24"/>
        </w:rPr>
        <w:t>6</w:t>
      </w:r>
      <w:r>
        <w:rPr>
          <w:rFonts w:ascii="宋体" w:hAnsi="宋体" w:eastAsia="宋体"/>
          <w:b/>
          <w:sz w:val="24"/>
        </w:rPr>
        <w:fldChar w:fldCharType="end"/>
      </w:r>
      <w:r>
        <w:fldChar w:fldCharType="end"/>
      </w:r>
    </w:p>
    <w:p>
      <w:pPr>
        <w:pStyle w:val="23"/>
        <w:tabs>
          <w:tab w:val="right" w:leader="dot" w:pos="9346"/>
        </w:tabs>
        <w:rPr>
          <w:rFonts w:ascii="宋体" w:hAnsi="宋体" w:eastAsia="宋体" w:cs="黑体"/>
          <w:b/>
          <w:sz w:val="24"/>
        </w:rPr>
      </w:pPr>
      <w:r>
        <w:fldChar w:fldCharType="begin"/>
      </w:r>
      <w:r>
        <w:instrText xml:space="preserve">HYPERLINK  \l "_Toc50632368" </w:instrText>
      </w:r>
      <w:r>
        <w:fldChar w:fldCharType="separate"/>
      </w:r>
      <w:r>
        <w:rPr>
          <w:rStyle w:val="30"/>
          <w:rFonts w:ascii="宋体" w:hAnsi="宋体" w:eastAsia="宋体"/>
          <w:b/>
          <w:sz w:val="24"/>
        </w:rPr>
        <w:t>4.8</w:t>
      </w:r>
      <w:r>
        <w:rPr>
          <w:rStyle w:val="30"/>
          <w:rFonts w:hint="eastAsia" w:ascii="宋体" w:hAnsi="宋体" w:eastAsia="宋体"/>
          <w:b/>
          <w:sz w:val="24"/>
        </w:rPr>
        <w:t>服务要求</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_Toc50632368 \h </w:instrText>
      </w:r>
      <w:r>
        <w:rPr>
          <w:rFonts w:ascii="宋体" w:hAnsi="宋体" w:eastAsia="宋体"/>
          <w:b/>
          <w:sz w:val="24"/>
        </w:rPr>
        <w:fldChar w:fldCharType="separate"/>
      </w:r>
      <w:r>
        <w:rPr>
          <w:rFonts w:ascii="宋体" w:hAnsi="宋体" w:eastAsia="宋体"/>
          <w:b/>
          <w:sz w:val="24"/>
        </w:rPr>
        <w:t>7</w:t>
      </w:r>
      <w:r>
        <w:rPr>
          <w:rFonts w:ascii="宋体" w:hAnsi="宋体" w:eastAsia="宋体"/>
          <w:b/>
          <w:sz w:val="24"/>
        </w:rPr>
        <w:fldChar w:fldCharType="end"/>
      </w:r>
      <w:r>
        <w:fldChar w:fldCharType="end"/>
      </w:r>
    </w:p>
    <w:p>
      <w:pPr>
        <w:pStyle w:val="20"/>
        <w:tabs>
          <w:tab w:val="right" w:leader="dot" w:pos="9346"/>
        </w:tabs>
        <w:rPr>
          <w:rFonts w:ascii="Calibri" w:hAnsi="Calibri" w:eastAsia="宋体" w:cs="黑体"/>
          <w:szCs w:val="22"/>
        </w:rPr>
      </w:pPr>
      <w:r>
        <w:fldChar w:fldCharType="begin"/>
      </w:r>
      <w:r>
        <w:instrText xml:space="preserve">HYPERLINK  \l "_Toc50632369" </w:instrText>
      </w:r>
      <w:r>
        <w:fldChar w:fldCharType="separate"/>
      </w:r>
      <w:r>
        <w:rPr>
          <w:rStyle w:val="30"/>
          <w:rFonts w:ascii="宋体" w:hAnsi="宋体" w:eastAsia="宋体"/>
          <w:b/>
          <w:sz w:val="24"/>
        </w:rPr>
        <w:t>5.</w:t>
      </w:r>
      <w:r>
        <w:rPr>
          <w:rStyle w:val="30"/>
          <w:rFonts w:hint="eastAsia" w:ascii="宋体" w:hAnsi="宋体" w:eastAsia="宋体"/>
          <w:b/>
          <w:sz w:val="24"/>
        </w:rPr>
        <w:t>附件</w:t>
      </w:r>
      <w:r>
        <w:rPr>
          <w:rFonts w:ascii="宋体" w:hAnsi="宋体" w:eastAsia="宋体"/>
          <w:b/>
          <w:sz w:val="24"/>
        </w:rPr>
        <w:tab/>
      </w:r>
      <w:r>
        <w:rPr>
          <w:rFonts w:ascii="宋体" w:hAnsi="宋体" w:eastAsia="宋体"/>
          <w:b/>
          <w:sz w:val="24"/>
        </w:rPr>
        <w:fldChar w:fldCharType="begin"/>
      </w:r>
      <w:r>
        <w:rPr>
          <w:rFonts w:ascii="宋体" w:hAnsi="宋体" w:eastAsia="宋体"/>
          <w:b/>
          <w:sz w:val="24"/>
        </w:rPr>
        <w:instrText xml:space="preserve"> PAGEREF _Toc50632369 \h </w:instrText>
      </w:r>
      <w:r>
        <w:rPr>
          <w:rFonts w:ascii="宋体" w:hAnsi="宋体" w:eastAsia="宋体"/>
          <w:b/>
          <w:sz w:val="24"/>
        </w:rPr>
        <w:fldChar w:fldCharType="separate"/>
      </w:r>
      <w:r>
        <w:rPr>
          <w:rFonts w:ascii="宋体" w:hAnsi="宋体" w:eastAsia="宋体"/>
          <w:b/>
          <w:sz w:val="24"/>
        </w:rPr>
        <w:t>8</w:t>
      </w:r>
      <w:r>
        <w:rPr>
          <w:rFonts w:ascii="宋体" w:hAnsi="宋体" w:eastAsia="宋体"/>
          <w:b/>
          <w:sz w:val="24"/>
        </w:rPr>
        <w:fldChar w:fldCharType="end"/>
      </w:r>
      <w:r>
        <w:fldChar w:fldCharType="end"/>
      </w:r>
    </w:p>
    <w:p>
      <w:pPr>
        <w:pStyle w:val="11"/>
        <w:tabs>
          <w:tab w:val="left" w:pos="1628"/>
        </w:tabs>
        <w:spacing w:line="360" w:lineRule="auto"/>
        <w:rPr>
          <w:rFonts w:ascii="宋体" w:hAnsi="宋体" w:eastAsia="宋体"/>
          <w:b/>
          <w:bCs/>
          <w:szCs w:val="28"/>
        </w:rPr>
      </w:pPr>
      <w:r>
        <w:rPr>
          <w:rFonts w:ascii="宋体" w:hAnsi="宋体" w:eastAsia="宋体"/>
          <w:b/>
          <w:szCs w:val="24"/>
        </w:rPr>
        <w:fldChar w:fldCharType="end"/>
      </w:r>
    </w:p>
    <w:p>
      <w:pPr>
        <w:pStyle w:val="11"/>
        <w:snapToGrid w:val="0"/>
        <w:spacing w:line="460" w:lineRule="exact"/>
        <w:outlineLvl w:val="0"/>
        <w:rPr>
          <w:rFonts w:ascii="宋体" w:hAnsi="宋体" w:eastAsia="宋体"/>
          <w:b/>
          <w:szCs w:val="24"/>
        </w:rPr>
      </w:pPr>
      <w:r>
        <w:rPr>
          <w:rFonts w:ascii="宋体" w:hAnsi="宋体" w:eastAsia="宋体"/>
          <w:b/>
        </w:rPr>
        <w:br w:type="page"/>
      </w:r>
      <w:bookmarkStart w:id="0" w:name="_Toc361310618"/>
      <w:bookmarkStart w:id="1" w:name="_Toc50632357"/>
      <w:r>
        <w:rPr>
          <w:rFonts w:ascii="宋体" w:hAnsi="宋体" w:eastAsia="宋体"/>
          <w:b/>
          <w:szCs w:val="24"/>
        </w:rPr>
        <w:t>1.</w:t>
      </w:r>
      <w:r>
        <w:rPr>
          <w:rFonts w:hint="eastAsia" w:ascii="宋体" w:hAnsi="宋体" w:eastAsia="宋体"/>
          <w:b/>
          <w:szCs w:val="24"/>
        </w:rPr>
        <w:t>目的</w:t>
      </w:r>
      <w:bookmarkEnd w:id="0"/>
      <w:bookmarkEnd w:id="1"/>
    </w:p>
    <w:p>
      <w:pPr>
        <w:pStyle w:val="11"/>
        <w:snapToGrid w:val="0"/>
        <w:spacing w:line="460" w:lineRule="exact"/>
        <w:ind w:firstLine="480" w:firstLineChars="200"/>
        <w:rPr>
          <w:rFonts w:ascii="宋体" w:hAnsi="宋体" w:eastAsia="宋体"/>
        </w:rPr>
      </w:pPr>
      <w:r>
        <w:rPr>
          <w:rFonts w:hint="eastAsia" w:ascii="宋体" w:hAnsi="宋体" w:eastAsia="宋体"/>
        </w:rPr>
        <w:t>本</w:t>
      </w:r>
      <w:r>
        <w:rPr>
          <w:rFonts w:ascii="宋体" w:hAnsi="宋体" w:eastAsia="宋体"/>
        </w:rPr>
        <w:t>URS</w:t>
      </w:r>
      <w:r>
        <w:rPr>
          <w:rFonts w:hint="eastAsia" w:ascii="宋体" w:hAnsi="宋体" w:eastAsia="宋体"/>
        </w:rPr>
        <w:t>是一份用于定义</w:t>
      </w:r>
      <w:bookmarkStart w:id="2" w:name="_Hlk51676629"/>
      <w:r>
        <w:rPr>
          <w:rFonts w:hint="eastAsia" w:ascii="宋体" w:hAnsi="宋体" w:eastAsia="宋体"/>
        </w:rPr>
        <w:t>移动搅拌器</w:t>
      </w:r>
      <w:bookmarkEnd w:id="2"/>
      <w:r>
        <w:rPr>
          <w:rFonts w:hint="eastAsia" w:ascii="宋体" w:hAnsi="宋体" w:eastAsia="宋体"/>
        </w:rPr>
        <w:t>的选型方法、功能要求、关键参数等的关键文件。用于指导选型，产品提供单位按照我公司的相关要求并结合相关规范进行设计、安装及后期验证等一系列工作。</w:t>
      </w:r>
    </w:p>
    <w:p>
      <w:pPr>
        <w:pStyle w:val="3"/>
        <w:snapToGrid w:val="0"/>
        <w:spacing w:after="0" w:line="460" w:lineRule="exact"/>
        <w:outlineLvl w:val="0"/>
        <w:rPr>
          <w:rFonts w:ascii="宋体" w:hAnsi="宋体" w:eastAsia="宋体"/>
          <w:b/>
          <w:szCs w:val="24"/>
        </w:rPr>
      </w:pPr>
      <w:bookmarkStart w:id="3" w:name="_Toc361310619"/>
      <w:bookmarkStart w:id="4" w:name="_Toc50632358"/>
      <w:r>
        <w:rPr>
          <w:rFonts w:ascii="宋体" w:hAnsi="宋体" w:eastAsia="宋体"/>
          <w:b/>
          <w:szCs w:val="24"/>
        </w:rPr>
        <w:t>2.</w:t>
      </w:r>
      <w:r>
        <w:rPr>
          <w:rFonts w:hint="eastAsia" w:ascii="宋体" w:hAnsi="宋体" w:eastAsia="宋体"/>
          <w:b/>
          <w:szCs w:val="24"/>
        </w:rPr>
        <w:t>范围</w:t>
      </w:r>
      <w:bookmarkEnd w:id="3"/>
      <w:bookmarkEnd w:id="4"/>
    </w:p>
    <w:p>
      <w:pPr>
        <w:pStyle w:val="37"/>
        <w:snapToGrid w:val="0"/>
        <w:spacing w:line="460" w:lineRule="exact"/>
        <w:ind w:firstLine="480"/>
        <w:rPr>
          <w:rFonts w:ascii="宋体" w:hAnsi="宋体" w:eastAsia="宋体"/>
          <w:sz w:val="24"/>
          <w:szCs w:val="28"/>
        </w:rPr>
      </w:pPr>
      <w:bookmarkStart w:id="5" w:name="_Toc361310620"/>
      <w:r>
        <w:rPr>
          <w:rFonts w:hint="eastAsia" w:ascii="宋体" w:hAnsi="宋体" w:eastAsia="宋体"/>
          <w:sz w:val="24"/>
        </w:rPr>
        <w:t>本</w:t>
      </w:r>
      <w:r>
        <w:rPr>
          <w:rFonts w:ascii="宋体" w:hAnsi="宋体" w:eastAsia="宋体"/>
          <w:sz w:val="24"/>
        </w:rPr>
        <w:t>URS</w:t>
      </w:r>
      <w:r>
        <w:rPr>
          <w:rFonts w:hint="eastAsia" w:ascii="宋体" w:hAnsi="宋体" w:eastAsia="宋体"/>
          <w:sz w:val="24"/>
        </w:rPr>
        <w:t>仅用于武汉中生毓晋生物医药有限责任公司免疫制剂室移动搅拌器的购买。</w:t>
      </w:r>
    </w:p>
    <w:bookmarkEnd w:id="5"/>
    <w:p>
      <w:pPr>
        <w:pStyle w:val="11"/>
        <w:snapToGrid w:val="0"/>
        <w:spacing w:line="460" w:lineRule="exact"/>
        <w:outlineLvl w:val="0"/>
        <w:rPr>
          <w:rFonts w:ascii="宋体" w:hAnsi="宋体" w:eastAsia="宋体"/>
          <w:b/>
          <w:szCs w:val="28"/>
        </w:rPr>
      </w:pPr>
      <w:bookmarkStart w:id="6" w:name="_Toc361310621"/>
      <w:bookmarkStart w:id="7" w:name="_Toc50632360"/>
      <w:r>
        <w:rPr>
          <w:rFonts w:ascii="宋体" w:hAnsi="宋体" w:eastAsia="宋体"/>
          <w:b/>
          <w:szCs w:val="28"/>
        </w:rPr>
        <w:t>4.</w:t>
      </w:r>
      <w:r>
        <w:rPr>
          <w:rFonts w:hint="eastAsia" w:ascii="宋体" w:hAnsi="宋体" w:eastAsia="宋体"/>
          <w:b/>
          <w:szCs w:val="28"/>
        </w:rPr>
        <w:t>内容</w:t>
      </w:r>
      <w:bookmarkEnd w:id="6"/>
      <w:bookmarkEnd w:id="7"/>
      <w:bookmarkStart w:id="35" w:name="_GoBack"/>
      <w:bookmarkEnd w:id="35"/>
    </w:p>
    <w:p>
      <w:pPr>
        <w:pStyle w:val="11"/>
        <w:snapToGrid w:val="0"/>
        <w:spacing w:line="460" w:lineRule="exact"/>
        <w:outlineLvl w:val="1"/>
        <w:rPr>
          <w:rFonts w:ascii="宋体" w:hAnsi="宋体" w:eastAsia="宋体"/>
          <w:b/>
        </w:rPr>
      </w:pPr>
      <w:bookmarkStart w:id="8" w:name="_Toc361310622"/>
      <w:bookmarkStart w:id="9" w:name="_Toc50632361"/>
      <w:r>
        <w:rPr>
          <w:rFonts w:ascii="宋体" w:hAnsi="宋体" w:eastAsia="宋体"/>
          <w:b/>
        </w:rPr>
        <w:t>4.1</w:t>
      </w:r>
      <w:r>
        <w:rPr>
          <w:rFonts w:hint="eastAsia" w:ascii="宋体" w:hAnsi="宋体" w:eastAsia="宋体"/>
          <w:b/>
        </w:rPr>
        <w:t>概述</w:t>
      </w:r>
      <w:bookmarkEnd w:id="8"/>
      <w:bookmarkEnd w:id="9"/>
    </w:p>
    <w:p>
      <w:pPr>
        <w:pStyle w:val="11"/>
        <w:snapToGrid w:val="0"/>
        <w:spacing w:line="460" w:lineRule="exact"/>
        <w:ind w:firstLine="480" w:firstLineChars="200"/>
      </w:pPr>
      <w:bookmarkStart w:id="10" w:name="_Toc361310623"/>
      <w:r>
        <w:rPr>
          <w:rFonts w:hint="eastAsia"/>
        </w:rPr>
        <w:t>免疫制剂室需要购买1台移动搅拌器，用于</w:t>
      </w:r>
      <w:r>
        <w:rPr>
          <w:rFonts w:hint="eastAsia"/>
          <w:szCs w:val="28"/>
        </w:rPr>
        <w:t>免疫制剂室</w:t>
      </w:r>
      <w:r>
        <w:rPr>
          <w:rFonts w:hint="eastAsia"/>
        </w:rPr>
        <w:t>的生产过程中各种固液混合物的搅拌溶解。</w:t>
      </w:r>
      <w:bookmarkStart w:id="11" w:name="_Toc50632362"/>
    </w:p>
    <w:p>
      <w:pPr>
        <w:pStyle w:val="11"/>
        <w:snapToGrid w:val="0"/>
        <w:spacing w:line="460" w:lineRule="exact"/>
        <w:rPr>
          <w:rFonts w:ascii="宋体" w:hAnsi="宋体" w:eastAsia="宋体"/>
          <w:color w:val="FF0000"/>
        </w:rPr>
      </w:pPr>
      <w:r>
        <w:rPr>
          <w:b/>
        </w:rPr>
        <w:t>4.2</w:t>
      </w:r>
      <w:r>
        <w:rPr>
          <w:rFonts w:hint="eastAsia"/>
          <w:b/>
        </w:rPr>
        <w:t>法规</w:t>
      </w:r>
      <w:bookmarkEnd w:id="10"/>
      <w:r>
        <w:rPr>
          <w:rFonts w:hint="eastAsia"/>
          <w:b/>
        </w:rPr>
        <w:t>与标准</w:t>
      </w:r>
      <w:bookmarkEnd w:id="11"/>
    </w:p>
    <w:p>
      <w:pPr>
        <w:pStyle w:val="11"/>
        <w:snapToGrid w:val="0"/>
        <w:spacing w:line="460" w:lineRule="exact"/>
        <w:rPr>
          <w:rFonts w:ascii="宋体" w:hAnsi="宋体" w:eastAsia="宋体"/>
          <w:b/>
        </w:rPr>
      </w:pPr>
      <w:r>
        <w:rPr>
          <w:rFonts w:ascii="宋体" w:hAnsi="宋体" w:eastAsia="宋体"/>
          <w:b/>
        </w:rPr>
        <w:t>4.2.1 GMP</w:t>
      </w:r>
      <w:r>
        <w:rPr>
          <w:rFonts w:hint="eastAsia" w:ascii="宋体" w:hAnsi="宋体" w:eastAsia="宋体"/>
          <w:b/>
        </w:rPr>
        <w:t>要求</w:t>
      </w:r>
    </w:p>
    <w:p>
      <w:pPr>
        <w:pStyle w:val="11"/>
        <w:snapToGrid w:val="0"/>
        <w:spacing w:line="460" w:lineRule="exact"/>
        <w:rPr>
          <w:rFonts w:ascii="宋体" w:hAnsi="宋体" w:eastAsia="宋体"/>
        </w:rPr>
      </w:pPr>
      <w:r>
        <w:rPr>
          <w:rFonts w:hint="eastAsia" w:ascii="宋体" w:hAnsi="宋体" w:eastAsia="宋体"/>
          <w:bCs/>
        </w:rPr>
        <w:t>该</w:t>
      </w:r>
      <w:r>
        <w:rPr>
          <w:rFonts w:hint="eastAsia" w:ascii="宋体" w:hAnsi="宋体" w:eastAsia="宋体"/>
        </w:rPr>
        <w:t>设备用于公司生产的制品的制作工作，因此必须符合</w:t>
      </w:r>
      <w:r>
        <w:rPr>
          <w:rFonts w:ascii="宋体" w:hAnsi="宋体" w:eastAsia="宋体"/>
        </w:rPr>
        <w:t>GMP</w:t>
      </w:r>
      <w:r>
        <w:rPr>
          <w:rFonts w:hint="eastAsia" w:ascii="宋体" w:hAnsi="宋体" w:eastAsia="宋体"/>
        </w:rPr>
        <w:t>的要求，主要包括：</w:t>
      </w:r>
    </w:p>
    <w:p>
      <w:pPr>
        <w:pStyle w:val="11"/>
        <w:snapToGrid w:val="0"/>
        <w:spacing w:line="460" w:lineRule="exact"/>
        <w:rPr>
          <w:rFonts w:ascii="宋体" w:hAnsi="宋体" w:eastAsia="宋体"/>
        </w:rPr>
      </w:pPr>
      <w:r>
        <w:rPr>
          <w:rFonts w:hint="eastAsia" w:ascii="宋体" w:hAnsi="宋体" w:eastAsia="宋体"/>
        </w:rPr>
        <w:t>4.2.1.1《药品生产质量管理规范》（</w:t>
      </w:r>
      <w:r>
        <w:rPr>
          <w:rFonts w:ascii="宋体" w:hAnsi="宋体" w:eastAsia="宋体"/>
        </w:rPr>
        <w:t>2010</w:t>
      </w:r>
      <w:r>
        <w:rPr>
          <w:rFonts w:hint="eastAsia" w:ascii="宋体" w:hAnsi="宋体" w:eastAsia="宋体"/>
        </w:rPr>
        <w:t>修订版）</w:t>
      </w:r>
    </w:p>
    <w:p>
      <w:pPr>
        <w:pStyle w:val="11"/>
        <w:snapToGrid w:val="0"/>
        <w:spacing w:line="460" w:lineRule="exact"/>
        <w:rPr>
          <w:rFonts w:ascii="宋体" w:hAnsi="宋体" w:eastAsia="宋体"/>
        </w:rPr>
      </w:pPr>
      <w:r>
        <w:rPr>
          <w:rFonts w:hint="eastAsia" w:ascii="宋体" w:hAnsi="宋体" w:eastAsia="宋体"/>
        </w:rPr>
        <w:t xml:space="preserve">4.2.1.2 </w:t>
      </w:r>
      <w:r>
        <w:rPr>
          <w:rFonts w:hint="eastAsia"/>
          <w:color w:val="000000"/>
          <w:szCs w:val="21"/>
        </w:rPr>
        <w:t>中国药典</w:t>
      </w:r>
      <w:r>
        <w:rPr>
          <w:color w:val="000000"/>
          <w:szCs w:val="21"/>
        </w:rPr>
        <w:t xml:space="preserve"> 2015</w:t>
      </w:r>
      <w:r>
        <w:rPr>
          <w:rFonts w:hint="eastAsia"/>
          <w:color w:val="000000"/>
          <w:szCs w:val="21"/>
        </w:rPr>
        <w:t>年版</w:t>
      </w:r>
    </w:p>
    <w:p>
      <w:pPr>
        <w:pStyle w:val="11"/>
        <w:snapToGrid w:val="0"/>
        <w:spacing w:line="460" w:lineRule="exact"/>
        <w:rPr>
          <w:rFonts w:ascii="宋体" w:hAnsi="宋体" w:eastAsia="宋体"/>
        </w:rPr>
      </w:pPr>
      <w:r>
        <w:rPr>
          <w:rFonts w:hint="eastAsia" w:ascii="宋体" w:hAnsi="宋体" w:eastAsia="宋体"/>
        </w:rPr>
        <w:t>4.2.1.3</w:t>
      </w:r>
      <w:r>
        <w:rPr>
          <w:rFonts w:hint="eastAsia" w:ascii="宋体" w:hAnsi="宋体"/>
        </w:rPr>
        <w:t>《药品</w:t>
      </w:r>
      <w:r>
        <w:rPr>
          <w:rFonts w:ascii="宋体" w:hAnsi="宋体"/>
        </w:rPr>
        <w:t>GMP</w:t>
      </w:r>
      <w:r>
        <w:rPr>
          <w:rFonts w:hint="eastAsia" w:ascii="宋体" w:hAnsi="宋体"/>
        </w:rPr>
        <w:t>指南》无菌药品（</w:t>
      </w:r>
      <w:r>
        <w:rPr>
          <w:rFonts w:ascii="宋体" w:hAnsi="宋体"/>
        </w:rPr>
        <w:t>2011</w:t>
      </w:r>
      <w:r>
        <w:rPr>
          <w:rFonts w:hint="eastAsia" w:ascii="宋体" w:hAnsi="宋体"/>
        </w:rPr>
        <w:t>版）</w:t>
      </w:r>
    </w:p>
    <w:p>
      <w:pPr>
        <w:pStyle w:val="11"/>
        <w:snapToGrid w:val="0"/>
        <w:spacing w:line="460" w:lineRule="exact"/>
        <w:rPr>
          <w:rFonts w:ascii="宋体" w:hAnsi="宋体" w:eastAsia="宋体"/>
        </w:rPr>
      </w:pPr>
      <w:r>
        <w:rPr>
          <w:rFonts w:hint="eastAsia" w:ascii="宋体" w:hAnsi="宋体" w:eastAsia="宋体"/>
        </w:rPr>
        <w:t>4.2.1.4 GAMP5</w:t>
      </w:r>
    </w:p>
    <w:p>
      <w:pPr>
        <w:pStyle w:val="11"/>
        <w:snapToGrid w:val="0"/>
        <w:spacing w:line="460" w:lineRule="exact"/>
        <w:rPr>
          <w:rFonts w:ascii="宋体" w:hAnsi="宋体" w:eastAsia="宋体"/>
          <w:b/>
        </w:rPr>
      </w:pPr>
      <w:r>
        <w:rPr>
          <w:rFonts w:ascii="宋体" w:hAnsi="宋体" w:eastAsia="宋体"/>
          <w:b/>
        </w:rPr>
        <w:t>4.2.2</w:t>
      </w:r>
      <w:r>
        <w:rPr>
          <w:rFonts w:hint="eastAsia" w:ascii="宋体" w:hAnsi="宋体" w:eastAsia="宋体"/>
          <w:b/>
        </w:rPr>
        <w:t>安全及环保要求</w:t>
      </w:r>
    </w:p>
    <w:p>
      <w:pPr>
        <w:pStyle w:val="11"/>
        <w:snapToGrid w:val="0"/>
        <w:spacing w:line="460" w:lineRule="exact"/>
        <w:rPr>
          <w:rFonts w:ascii="宋体" w:hAnsi="宋体" w:cs="宋体"/>
          <w:iCs/>
          <w:szCs w:val="21"/>
        </w:rPr>
      </w:pPr>
      <w:r>
        <w:rPr>
          <w:rFonts w:hint="eastAsia" w:ascii="宋体" w:hAnsi="宋体" w:cs="宋体"/>
          <w:iCs/>
          <w:szCs w:val="21"/>
        </w:rPr>
        <w:t>电气安全应符合</w:t>
      </w:r>
      <w:r>
        <w:rPr>
          <w:rFonts w:ascii="宋体" w:hAnsi="宋体" w:cs="宋体"/>
          <w:iCs/>
          <w:szCs w:val="21"/>
        </w:rPr>
        <w:t>GB4793.1</w:t>
      </w:r>
      <w:r>
        <w:rPr>
          <w:rFonts w:hint="eastAsia" w:ascii="宋体" w:hAnsi="宋体" w:cs="宋体"/>
          <w:iCs/>
          <w:szCs w:val="21"/>
        </w:rPr>
        <w:t>和</w:t>
      </w:r>
      <w:r>
        <w:rPr>
          <w:rFonts w:ascii="宋体" w:hAnsi="宋体" w:cs="宋体"/>
          <w:iCs/>
          <w:szCs w:val="21"/>
        </w:rPr>
        <w:t>GB4793.4</w:t>
      </w:r>
      <w:r>
        <w:rPr>
          <w:rFonts w:hint="eastAsia" w:ascii="宋体" w:hAnsi="宋体" w:cs="宋体"/>
          <w:iCs/>
          <w:szCs w:val="21"/>
        </w:rPr>
        <w:t>的要求。</w:t>
      </w:r>
    </w:p>
    <w:p>
      <w:pPr>
        <w:pStyle w:val="11"/>
        <w:snapToGrid w:val="0"/>
        <w:spacing w:line="460" w:lineRule="exact"/>
        <w:rPr>
          <w:rFonts w:ascii="宋体" w:hAnsi="宋体" w:eastAsia="宋体"/>
          <w:b/>
        </w:rPr>
      </w:pPr>
      <w:r>
        <w:rPr>
          <w:rFonts w:ascii="宋体" w:hAnsi="宋体" w:eastAsia="宋体"/>
          <w:b/>
        </w:rPr>
        <w:t>4.2.3</w:t>
      </w:r>
      <w:r>
        <w:rPr>
          <w:rFonts w:hint="eastAsia" w:ascii="宋体" w:hAnsi="宋体" w:eastAsia="宋体"/>
          <w:b/>
        </w:rPr>
        <w:t>其他要求</w:t>
      </w:r>
    </w:p>
    <w:p>
      <w:pPr>
        <w:pStyle w:val="11"/>
        <w:snapToGrid w:val="0"/>
        <w:spacing w:line="460" w:lineRule="exact"/>
        <w:rPr>
          <w:rFonts w:ascii="宋体" w:hAnsi="宋体" w:eastAsia="宋体"/>
          <w:b/>
        </w:rPr>
      </w:pPr>
      <w:r>
        <w:rPr>
          <w:rFonts w:ascii="宋体" w:hAnsi="宋体" w:eastAsia="宋体"/>
        </w:rPr>
        <w:t>N/A</w:t>
      </w:r>
    </w:p>
    <w:p>
      <w:pPr>
        <w:pStyle w:val="11"/>
        <w:snapToGrid w:val="0"/>
        <w:spacing w:line="460" w:lineRule="exact"/>
        <w:outlineLvl w:val="1"/>
        <w:rPr>
          <w:rFonts w:ascii="宋体" w:hAnsi="宋体" w:eastAsia="宋体"/>
          <w:b/>
        </w:rPr>
      </w:pPr>
      <w:bookmarkStart w:id="12" w:name="_Toc361310624"/>
      <w:bookmarkStart w:id="13" w:name="_Toc50632363"/>
      <w:r>
        <w:rPr>
          <w:rFonts w:ascii="宋体" w:hAnsi="宋体" w:eastAsia="宋体"/>
          <w:b/>
        </w:rPr>
        <w:t>4.3</w:t>
      </w:r>
      <w:r>
        <w:rPr>
          <w:rFonts w:hint="eastAsia" w:ascii="宋体" w:hAnsi="宋体" w:eastAsia="宋体"/>
          <w:b/>
        </w:rPr>
        <w:t>安装要求</w:t>
      </w:r>
      <w:bookmarkEnd w:id="12"/>
      <w:bookmarkEnd w:id="13"/>
    </w:p>
    <w:p>
      <w:pPr>
        <w:pStyle w:val="11"/>
        <w:snapToGrid w:val="0"/>
        <w:spacing w:line="460" w:lineRule="exact"/>
        <w:rPr>
          <w:rFonts w:ascii="宋体" w:hAnsi="宋体" w:eastAsia="宋体"/>
          <w:b/>
        </w:rPr>
      </w:pPr>
      <w:r>
        <w:rPr>
          <w:rFonts w:ascii="宋体" w:hAnsi="宋体" w:eastAsia="宋体"/>
          <w:b/>
        </w:rPr>
        <w:t xml:space="preserve">4.3.1 </w:t>
      </w:r>
      <w:r>
        <w:rPr>
          <w:rFonts w:hint="eastAsia" w:ascii="宋体" w:hAnsi="宋体" w:eastAsia="宋体"/>
          <w:b/>
        </w:rPr>
        <w:t>安装位置</w:t>
      </w:r>
    </w:p>
    <w:p>
      <w:pPr>
        <w:pStyle w:val="11"/>
        <w:snapToGrid w:val="0"/>
        <w:spacing w:line="460" w:lineRule="exact"/>
        <w:rPr>
          <w:rFonts w:ascii="宋体" w:hAnsi="宋体" w:eastAsia="宋体"/>
          <w:szCs w:val="28"/>
        </w:rPr>
      </w:pPr>
      <w:r>
        <w:rPr>
          <w:rFonts w:ascii="宋体" w:hAnsi="宋体" w:eastAsia="宋体"/>
        </w:rPr>
        <w:t>4.3.1.1</w:t>
      </w:r>
      <w:r>
        <w:rPr>
          <w:rFonts w:hint="eastAsia" w:ascii="宋体" w:hAnsi="宋体" w:eastAsia="宋体"/>
        </w:rPr>
        <w:t>该</w:t>
      </w:r>
      <w:r>
        <w:rPr>
          <w:rFonts w:hint="eastAsia"/>
        </w:rPr>
        <w:t>移动搅拌器</w:t>
      </w:r>
      <w:r>
        <w:rPr>
          <w:rFonts w:hint="eastAsia" w:ascii="宋体" w:hAnsi="宋体" w:eastAsia="宋体"/>
        </w:rPr>
        <w:t>放置于免疫制剂室纯化车间</w:t>
      </w:r>
      <w:r>
        <w:rPr>
          <w:rFonts w:hint="eastAsia" w:ascii="宋体" w:hAnsi="宋体" w:eastAsia="宋体"/>
          <w:szCs w:val="28"/>
        </w:rPr>
        <w:t>。</w:t>
      </w:r>
    </w:p>
    <w:p>
      <w:pPr>
        <w:pStyle w:val="11"/>
        <w:snapToGrid w:val="0"/>
        <w:spacing w:line="460" w:lineRule="exact"/>
        <w:rPr>
          <w:rFonts w:ascii="宋体" w:hAnsi="宋体" w:eastAsia="宋体"/>
          <w:b/>
        </w:rPr>
      </w:pPr>
      <w:r>
        <w:rPr>
          <w:rFonts w:ascii="宋体" w:hAnsi="宋体" w:eastAsia="宋体"/>
          <w:b/>
        </w:rPr>
        <w:t>4.3.2</w:t>
      </w:r>
      <w:r>
        <w:rPr>
          <w:rFonts w:hint="eastAsia" w:ascii="宋体" w:hAnsi="宋体" w:eastAsia="宋体"/>
          <w:b/>
        </w:rPr>
        <w:t>安装尺寸</w:t>
      </w:r>
    </w:p>
    <w:p>
      <w:pPr>
        <w:pStyle w:val="11"/>
        <w:snapToGrid w:val="0"/>
        <w:spacing w:line="460" w:lineRule="exact"/>
        <w:rPr>
          <w:rFonts w:ascii="宋体" w:hAnsi="宋体" w:eastAsia="宋体"/>
        </w:rPr>
      </w:pPr>
      <w:r>
        <w:rPr>
          <w:rFonts w:ascii="宋体" w:hAnsi="宋体" w:eastAsia="宋体"/>
        </w:rPr>
        <w:t>4.3.2.1</w:t>
      </w:r>
      <w:r>
        <w:rPr>
          <w:rFonts w:hint="eastAsia" w:ascii="宋体" w:hAnsi="宋体" w:eastAsia="宋体"/>
        </w:rPr>
        <w:t>设备尺寸基本要求</w:t>
      </w:r>
    </w:p>
    <w:tbl>
      <w:tblPr>
        <w:tblStyle w:val="32"/>
        <w:tblW w:w="9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2393"/>
        <w:gridCol w:w="2393"/>
        <w:gridCol w:w="2393"/>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393" w:type="dxa"/>
            <w:vAlign w:val="top"/>
          </w:tcPr>
          <w:p>
            <w:pPr>
              <w:pStyle w:val="11"/>
              <w:snapToGrid w:val="0"/>
              <w:spacing w:line="460" w:lineRule="exact"/>
              <w:jc w:val="center"/>
              <w:rPr>
                <w:rFonts w:ascii="宋体" w:hAnsi="宋体" w:eastAsia="宋体"/>
                <w:bCs/>
              </w:rPr>
            </w:pPr>
            <w:r>
              <w:rPr>
                <w:rFonts w:hint="eastAsia" w:ascii="宋体" w:hAnsi="宋体" w:eastAsia="宋体"/>
                <w:bCs/>
              </w:rPr>
              <w:t>名称</w:t>
            </w:r>
          </w:p>
        </w:tc>
        <w:tc>
          <w:tcPr>
            <w:tcW w:w="2393" w:type="dxa"/>
            <w:vAlign w:val="top"/>
          </w:tcPr>
          <w:p>
            <w:pPr>
              <w:pStyle w:val="11"/>
              <w:snapToGrid w:val="0"/>
              <w:spacing w:line="460" w:lineRule="exact"/>
              <w:jc w:val="center"/>
              <w:rPr>
                <w:rFonts w:ascii="宋体" w:hAnsi="宋体" w:eastAsia="宋体"/>
                <w:bCs/>
              </w:rPr>
            </w:pPr>
            <w:r>
              <w:rPr>
                <w:rFonts w:hint="eastAsia" w:ascii="宋体" w:hAnsi="宋体" w:eastAsia="宋体"/>
                <w:bCs/>
              </w:rPr>
              <w:t>长</w:t>
            </w:r>
          </w:p>
        </w:tc>
        <w:tc>
          <w:tcPr>
            <w:tcW w:w="2393" w:type="dxa"/>
            <w:vAlign w:val="top"/>
          </w:tcPr>
          <w:p>
            <w:pPr>
              <w:pStyle w:val="11"/>
              <w:snapToGrid w:val="0"/>
              <w:spacing w:line="460" w:lineRule="exact"/>
              <w:jc w:val="center"/>
              <w:rPr>
                <w:rFonts w:ascii="宋体" w:hAnsi="宋体" w:eastAsia="宋体"/>
                <w:bCs/>
              </w:rPr>
            </w:pPr>
            <w:r>
              <w:rPr>
                <w:rFonts w:hint="eastAsia" w:ascii="宋体" w:hAnsi="宋体" w:eastAsia="宋体"/>
                <w:bCs/>
              </w:rPr>
              <w:t>宽</w:t>
            </w:r>
          </w:p>
        </w:tc>
        <w:tc>
          <w:tcPr>
            <w:tcW w:w="2393" w:type="dxa"/>
            <w:vAlign w:val="top"/>
          </w:tcPr>
          <w:p>
            <w:pPr>
              <w:pStyle w:val="11"/>
              <w:snapToGrid w:val="0"/>
              <w:spacing w:line="460" w:lineRule="exact"/>
              <w:jc w:val="center"/>
              <w:rPr>
                <w:rFonts w:ascii="宋体" w:hAnsi="宋体" w:eastAsia="宋体"/>
                <w:bCs/>
              </w:rPr>
            </w:pPr>
            <w:r>
              <w:rPr>
                <w:rFonts w:hint="eastAsia" w:ascii="宋体" w:hAnsi="宋体" w:eastAsia="宋体"/>
                <w:bCs/>
              </w:rPr>
              <w:t>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c>
          <w:tcPr>
            <w:tcW w:w="2393" w:type="dxa"/>
            <w:vAlign w:val="top"/>
          </w:tcPr>
          <w:p>
            <w:pPr>
              <w:pStyle w:val="11"/>
              <w:snapToGrid w:val="0"/>
              <w:spacing w:line="460" w:lineRule="exact"/>
              <w:jc w:val="center"/>
              <w:rPr>
                <w:rFonts w:ascii="宋体" w:hAnsi="宋体" w:eastAsia="宋体"/>
              </w:rPr>
            </w:pPr>
            <w:r>
              <w:rPr>
                <w:rFonts w:hint="eastAsia" w:ascii="宋体" w:hAnsi="宋体" w:eastAsia="宋体"/>
              </w:rPr>
              <w:t>移动搅拌器</w:t>
            </w:r>
          </w:p>
        </w:tc>
        <w:tc>
          <w:tcPr>
            <w:tcW w:w="2393" w:type="dxa"/>
            <w:vAlign w:val="top"/>
          </w:tcPr>
          <w:p>
            <w:pPr>
              <w:pStyle w:val="11"/>
              <w:adjustRightInd w:val="0"/>
              <w:snapToGrid w:val="0"/>
              <w:spacing w:line="460" w:lineRule="exact"/>
              <w:jc w:val="center"/>
              <w:rPr>
                <w:rFonts w:ascii="宋体" w:hAnsi="宋体" w:eastAsia="宋体"/>
              </w:rPr>
            </w:pPr>
            <w:r>
              <w:rPr>
                <w:rFonts w:hint="eastAsia" w:ascii="宋体" w:hAnsi="宋体" w:eastAsia="宋体"/>
              </w:rPr>
              <w:t>650</w:t>
            </w:r>
            <w:r>
              <w:rPr>
                <w:rFonts w:ascii="宋体" w:hAnsi="宋体" w:eastAsia="宋体"/>
              </w:rPr>
              <w:t>mm</w:t>
            </w:r>
          </w:p>
        </w:tc>
        <w:tc>
          <w:tcPr>
            <w:tcW w:w="2393" w:type="dxa"/>
            <w:vAlign w:val="top"/>
          </w:tcPr>
          <w:p>
            <w:pPr>
              <w:pStyle w:val="11"/>
              <w:adjustRightInd w:val="0"/>
              <w:snapToGrid w:val="0"/>
              <w:spacing w:line="460" w:lineRule="exact"/>
              <w:jc w:val="center"/>
              <w:rPr>
                <w:rFonts w:ascii="宋体" w:hAnsi="宋体" w:eastAsia="宋体"/>
              </w:rPr>
            </w:pPr>
            <w:r>
              <w:rPr>
                <w:rFonts w:hint="eastAsia" w:ascii="宋体" w:hAnsi="宋体" w:eastAsia="宋体"/>
              </w:rPr>
              <w:t>45</w:t>
            </w:r>
            <w:r>
              <w:rPr>
                <w:rFonts w:ascii="宋体" w:hAnsi="宋体" w:eastAsia="宋体"/>
              </w:rPr>
              <w:t>0mm</w:t>
            </w:r>
          </w:p>
        </w:tc>
        <w:tc>
          <w:tcPr>
            <w:tcW w:w="2393" w:type="dxa"/>
            <w:vAlign w:val="top"/>
          </w:tcPr>
          <w:p>
            <w:pPr>
              <w:pStyle w:val="11"/>
              <w:adjustRightInd w:val="0"/>
              <w:snapToGrid w:val="0"/>
              <w:spacing w:line="460" w:lineRule="exact"/>
              <w:jc w:val="center"/>
              <w:rPr>
                <w:rFonts w:ascii="宋体" w:hAnsi="宋体" w:eastAsia="宋体"/>
              </w:rPr>
            </w:pPr>
            <w:r>
              <w:rPr>
                <w:rFonts w:ascii="宋体" w:hAnsi="宋体" w:eastAsia="宋体"/>
              </w:rPr>
              <w:t>2000mm</w:t>
            </w:r>
          </w:p>
        </w:tc>
      </w:tr>
    </w:tbl>
    <w:p>
      <w:pPr>
        <w:pStyle w:val="11"/>
        <w:snapToGrid w:val="0"/>
        <w:spacing w:line="460" w:lineRule="exact"/>
        <w:rPr>
          <w:rFonts w:ascii="宋体" w:hAnsi="宋体" w:eastAsia="宋体"/>
        </w:rPr>
      </w:pPr>
      <w:r>
        <w:rPr>
          <w:rFonts w:ascii="宋体" w:hAnsi="宋体" w:eastAsia="宋体"/>
        </w:rPr>
        <w:t>4.3.2.2</w:t>
      </w:r>
      <w:r>
        <w:rPr>
          <w:rFonts w:hint="eastAsia" w:ascii="宋体" w:hAnsi="宋体" w:eastAsia="宋体"/>
        </w:rPr>
        <w:t>移动搅拌器高度尺寸可以适当调整。</w:t>
      </w:r>
    </w:p>
    <w:p>
      <w:pPr>
        <w:pStyle w:val="11"/>
        <w:snapToGrid w:val="0"/>
        <w:spacing w:line="460" w:lineRule="exact"/>
        <w:rPr>
          <w:rFonts w:ascii="宋体" w:hAnsi="宋体" w:eastAsia="宋体"/>
        </w:rPr>
      </w:pPr>
      <w:r>
        <w:rPr>
          <w:rFonts w:ascii="宋体" w:hAnsi="宋体" w:eastAsia="宋体"/>
        </w:rPr>
        <w:t>4.3.2.3</w:t>
      </w:r>
      <w:r>
        <w:rPr>
          <w:rFonts w:hint="eastAsia" w:ascii="宋体" w:hAnsi="宋体" w:eastAsia="宋体"/>
        </w:rPr>
        <w:t>设备的形式尺寸应符合制造商说明书及相关技术图纸规定的要求。</w:t>
      </w:r>
    </w:p>
    <w:p>
      <w:pPr>
        <w:pStyle w:val="11"/>
        <w:snapToGrid w:val="0"/>
        <w:spacing w:line="460" w:lineRule="exact"/>
        <w:rPr>
          <w:rFonts w:ascii="宋体" w:hAnsi="宋体" w:eastAsia="宋体"/>
        </w:rPr>
      </w:pPr>
      <w:r>
        <w:rPr>
          <w:rFonts w:ascii="宋体" w:hAnsi="宋体" w:eastAsia="宋体"/>
        </w:rPr>
        <w:t>4.3.2.4</w:t>
      </w:r>
      <w:r>
        <w:rPr>
          <w:rFonts w:hint="eastAsia" w:ascii="宋体" w:hAnsi="宋体" w:eastAsia="宋体"/>
        </w:rPr>
        <w:t>供应商必须给出设备选型方案及相应附件选型方案，并交给我公司使用部门及工程类部门审核。</w:t>
      </w:r>
    </w:p>
    <w:p>
      <w:pPr>
        <w:pStyle w:val="11"/>
        <w:snapToGrid w:val="0"/>
        <w:spacing w:line="460" w:lineRule="exact"/>
        <w:rPr>
          <w:rFonts w:ascii="宋体" w:hAnsi="宋体" w:eastAsia="宋体"/>
          <w:b/>
        </w:rPr>
      </w:pPr>
      <w:r>
        <w:rPr>
          <w:rFonts w:ascii="宋体" w:hAnsi="宋体" w:eastAsia="宋体"/>
          <w:b/>
        </w:rPr>
        <w:t>4.3.3</w:t>
      </w:r>
      <w:r>
        <w:rPr>
          <w:rFonts w:hint="eastAsia" w:ascii="宋体" w:hAnsi="宋体" w:eastAsia="宋体"/>
          <w:b/>
        </w:rPr>
        <w:t>地面承重</w:t>
      </w:r>
    </w:p>
    <w:p>
      <w:pPr>
        <w:pStyle w:val="11"/>
        <w:snapToGrid w:val="0"/>
        <w:spacing w:line="460" w:lineRule="exact"/>
        <w:rPr>
          <w:rFonts w:ascii="宋体" w:hAnsi="宋体" w:eastAsia="宋体"/>
          <w:bCs/>
        </w:rPr>
      </w:pPr>
      <w:r>
        <w:rPr>
          <w:rFonts w:hint="eastAsia" w:ascii="宋体" w:hAnsi="宋体" w:eastAsia="宋体"/>
          <w:bCs/>
        </w:rPr>
        <w:t>（1）</w:t>
      </w:r>
      <w:r>
        <w:rPr>
          <w:rFonts w:ascii="宋体" w:hAnsi="宋体"/>
        </w:rPr>
        <w:t>应不超过</w:t>
      </w:r>
      <w:r>
        <w:rPr>
          <w:rFonts w:hint="eastAsia" w:ascii="宋体" w:hAnsi="宋体"/>
        </w:rPr>
        <w:t>地面</w:t>
      </w:r>
      <w:r>
        <w:rPr>
          <w:rFonts w:ascii="宋体" w:hAnsi="宋体"/>
        </w:rPr>
        <w:t>承重要求</w:t>
      </w:r>
    </w:p>
    <w:p>
      <w:pPr>
        <w:pStyle w:val="11"/>
        <w:snapToGrid w:val="0"/>
        <w:spacing w:line="460" w:lineRule="exact"/>
        <w:rPr>
          <w:rFonts w:ascii="宋体" w:hAnsi="宋体" w:eastAsia="宋体"/>
          <w:b/>
        </w:rPr>
      </w:pPr>
      <w:r>
        <w:rPr>
          <w:rFonts w:ascii="宋体" w:hAnsi="宋体" w:eastAsia="宋体"/>
          <w:b/>
        </w:rPr>
        <w:t>4.3.4</w:t>
      </w:r>
      <w:r>
        <w:rPr>
          <w:rFonts w:hint="eastAsia" w:ascii="宋体" w:hAnsi="宋体" w:eastAsia="宋体"/>
          <w:b/>
        </w:rPr>
        <w:t>可用的公用系统</w:t>
      </w:r>
    </w:p>
    <w:p>
      <w:pPr>
        <w:pStyle w:val="11"/>
        <w:snapToGrid w:val="0"/>
        <w:spacing w:line="460" w:lineRule="exact"/>
        <w:rPr>
          <w:rFonts w:ascii="宋体" w:hAnsi="宋体" w:eastAsia="宋体"/>
          <w:bCs/>
        </w:rPr>
      </w:pPr>
      <w:r>
        <w:rPr>
          <w:rFonts w:hint="eastAsia" w:ascii="宋体" w:hAnsi="宋体" w:eastAsia="宋体"/>
          <w:bCs/>
        </w:rPr>
        <w:t>4.3.4.1注射水</w:t>
      </w:r>
    </w:p>
    <w:p>
      <w:pPr>
        <w:pStyle w:val="11"/>
        <w:snapToGrid w:val="0"/>
        <w:spacing w:line="460" w:lineRule="exact"/>
        <w:rPr>
          <w:rFonts w:ascii="宋体" w:hAnsi="宋体" w:eastAsia="宋体"/>
          <w:bCs/>
        </w:rPr>
      </w:pPr>
      <w:r>
        <w:rPr>
          <w:rFonts w:hint="eastAsia" w:ascii="宋体" w:hAnsi="宋体" w:eastAsia="宋体"/>
          <w:bCs/>
        </w:rPr>
        <w:t>4.3.4.2纯化水</w:t>
      </w:r>
    </w:p>
    <w:p>
      <w:pPr>
        <w:pStyle w:val="11"/>
        <w:snapToGrid w:val="0"/>
        <w:spacing w:line="460" w:lineRule="exact"/>
        <w:rPr>
          <w:rFonts w:ascii="宋体" w:hAnsi="宋体" w:eastAsia="宋体"/>
          <w:b/>
        </w:rPr>
      </w:pPr>
      <w:r>
        <w:rPr>
          <w:rFonts w:ascii="宋体" w:hAnsi="宋体" w:eastAsia="宋体"/>
          <w:b/>
        </w:rPr>
        <w:t>4.3.5</w:t>
      </w:r>
      <w:r>
        <w:rPr>
          <w:rFonts w:hint="eastAsia" w:ascii="宋体" w:hAnsi="宋体" w:eastAsia="宋体"/>
          <w:b/>
        </w:rPr>
        <w:t>洁净级别及房间环境条件</w:t>
      </w:r>
    </w:p>
    <w:p>
      <w:pPr>
        <w:tabs>
          <w:tab w:val="left" w:pos="927"/>
          <w:tab w:val="left" w:pos="2880"/>
          <w:tab w:val="left" w:pos="342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 xml:space="preserve">4.3.5.1 </w:t>
      </w:r>
      <w:r>
        <w:rPr>
          <w:rFonts w:hint="eastAsia" w:ascii="宋体" w:hAnsi="宋体" w:eastAsia="宋体"/>
          <w:sz w:val="24"/>
        </w:rPr>
        <w:t>环境温度</w:t>
      </w:r>
      <w:r>
        <w:rPr>
          <w:rFonts w:ascii="宋体" w:hAnsi="宋体" w:eastAsia="宋体"/>
          <w:sz w:val="24"/>
        </w:rPr>
        <w:t xml:space="preserve">   </w:t>
      </w:r>
      <w:r>
        <w:rPr>
          <w:rFonts w:hint="eastAsia" w:ascii="宋体" w:hAnsi="宋体" w:eastAsia="宋体"/>
          <w:sz w:val="24"/>
        </w:rPr>
        <w:t>使用温度范围</w:t>
      </w:r>
      <w:r>
        <w:rPr>
          <w:rFonts w:hint="eastAsia" w:ascii="宋体" w:hAnsi="宋体" w:eastAsia="宋体" w:cs="Arial"/>
          <w:caps/>
          <w:sz w:val="24"/>
        </w:rPr>
        <w:t>： 8℃～26℃，</w:t>
      </w:r>
      <w:r>
        <w:rPr>
          <w:rFonts w:ascii="宋体" w:hAnsi="宋体" w:eastAsia="宋体"/>
          <w:sz w:val="24"/>
        </w:rPr>
        <w:t xml:space="preserve"> </w:t>
      </w:r>
    </w:p>
    <w:p>
      <w:pPr>
        <w:tabs>
          <w:tab w:val="left" w:pos="927"/>
          <w:tab w:val="left" w:pos="2880"/>
          <w:tab w:val="left" w:pos="342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 xml:space="preserve">4.3.5.2 </w:t>
      </w:r>
      <w:r>
        <w:rPr>
          <w:rFonts w:hint="eastAsia" w:ascii="宋体" w:hAnsi="宋体" w:eastAsia="宋体"/>
          <w:sz w:val="24"/>
        </w:rPr>
        <w:t>环境湿度</w:t>
      </w:r>
      <w:r>
        <w:rPr>
          <w:rFonts w:ascii="宋体" w:hAnsi="宋体" w:eastAsia="宋体"/>
          <w:sz w:val="24"/>
        </w:rPr>
        <w:t xml:space="preserve">   </w:t>
      </w:r>
      <w:r>
        <w:rPr>
          <w:rFonts w:hint="eastAsia" w:ascii="宋体" w:hAnsi="宋体" w:eastAsia="宋体" w:cs="Arial"/>
          <w:caps/>
          <w:sz w:val="24"/>
        </w:rPr>
        <w:t>使</w:t>
      </w:r>
      <w:r>
        <w:rPr>
          <w:rFonts w:hint="eastAsia" w:ascii="宋体" w:hAnsi="宋体" w:eastAsia="宋体"/>
          <w:sz w:val="24"/>
        </w:rPr>
        <w:t>用湿度范围</w:t>
      </w:r>
      <w:r>
        <w:rPr>
          <w:rFonts w:hint="eastAsia" w:ascii="宋体" w:hAnsi="宋体" w:eastAsia="宋体" w:cs="Arial"/>
          <w:caps/>
          <w:sz w:val="24"/>
        </w:rPr>
        <w:t>：不大于75</w:t>
      </w:r>
      <w:r>
        <w:rPr>
          <w:rFonts w:ascii="宋体" w:hAnsi="宋体" w:eastAsia="宋体" w:cs="Arial"/>
          <w:caps/>
          <w:sz w:val="24"/>
        </w:rPr>
        <w:t>%</w:t>
      </w:r>
      <w:r>
        <w:rPr>
          <w:rFonts w:hint="eastAsia" w:ascii="宋体" w:hAnsi="宋体" w:eastAsia="宋体"/>
          <w:sz w:val="24"/>
        </w:rPr>
        <w:t>。</w:t>
      </w:r>
    </w:p>
    <w:p>
      <w:pPr>
        <w:tabs>
          <w:tab w:val="left" w:pos="927"/>
          <w:tab w:val="left" w:pos="2880"/>
          <w:tab w:val="left" w:pos="342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 xml:space="preserve">4.3.5.3 </w:t>
      </w:r>
      <w:r>
        <w:rPr>
          <w:rFonts w:hint="eastAsia" w:ascii="宋体" w:hAnsi="宋体" w:eastAsia="宋体"/>
          <w:sz w:val="24"/>
        </w:rPr>
        <w:t>环境洁净度：D级洁净区。</w:t>
      </w:r>
    </w:p>
    <w:p>
      <w:pPr>
        <w:pStyle w:val="11"/>
        <w:snapToGrid w:val="0"/>
        <w:spacing w:line="460" w:lineRule="exact"/>
        <w:rPr>
          <w:rFonts w:ascii="宋体" w:hAnsi="宋体" w:eastAsia="宋体"/>
          <w:b/>
        </w:rPr>
      </w:pPr>
      <w:r>
        <w:rPr>
          <w:rFonts w:ascii="宋体" w:hAnsi="宋体" w:eastAsia="宋体"/>
          <w:b/>
        </w:rPr>
        <w:t>4.3.6</w:t>
      </w:r>
      <w:r>
        <w:rPr>
          <w:rFonts w:hint="eastAsia" w:ascii="宋体" w:hAnsi="宋体" w:eastAsia="宋体"/>
          <w:b/>
        </w:rPr>
        <w:t>可用的能源配置</w:t>
      </w:r>
    </w:p>
    <w:p>
      <w:pPr>
        <w:pStyle w:val="11"/>
        <w:snapToGrid w:val="0"/>
        <w:spacing w:line="460" w:lineRule="exact"/>
        <w:rPr>
          <w:rFonts w:ascii="宋体" w:hAnsi="宋体" w:eastAsia="宋体"/>
        </w:rPr>
      </w:pPr>
      <w:r>
        <w:rPr>
          <w:rFonts w:ascii="宋体" w:hAnsi="宋体" w:eastAsia="宋体"/>
        </w:rPr>
        <w:t>4.3.6.1</w:t>
      </w:r>
      <w:r>
        <w:rPr>
          <w:rFonts w:hint="eastAsia" w:ascii="宋体" w:hAnsi="宋体" w:eastAsia="宋体"/>
        </w:rPr>
        <w:t>电源：～220±10%V，50±1Hz</w:t>
      </w:r>
    </w:p>
    <w:p>
      <w:pPr>
        <w:pStyle w:val="11"/>
        <w:snapToGrid w:val="0"/>
        <w:spacing w:line="460" w:lineRule="exact"/>
        <w:rPr>
          <w:rFonts w:ascii="宋体" w:hAnsi="宋体" w:eastAsia="宋体"/>
          <w:b/>
        </w:rPr>
      </w:pPr>
      <w:r>
        <w:rPr>
          <w:rFonts w:ascii="宋体" w:hAnsi="宋体" w:eastAsia="宋体"/>
          <w:b/>
        </w:rPr>
        <w:t>4.3.7</w:t>
      </w:r>
      <w:r>
        <w:rPr>
          <w:rFonts w:hint="eastAsia" w:ascii="宋体" w:hAnsi="宋体" w:eastAsia="宋体"/>
          <w:b/>
        </w:rPr>
        <w:t>外观材质及功能要求</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4.3.7.1 搅拌器、桨叶及杆用316L不锈钢材料制作，其余支架部分用304不锈钢材料制作；</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4.3.7.2 外观应端正、整齐，不得有明显的偏歪、毛刺和锈蚀等缺陷；运行时不产粉尘。</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4.3.7.3 外观设计必须易于清洁，尽量避免卫生死角；</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 xml:space="preserve">4.3.7.4 </w:t>
      </w:r>
      <w:r>
        <w:rPr>
          <w:rFonts w:ascii="宋体" w:hAnsi="宋体" w:eastAsia="宋体"/>
          <w:sz w:val="24"/>
        </w:rPr>
        <w:t>3</w:t>
      </w:r>
      <w:r>
        <w:rPr>
          <w:rFonts w:hint="eastAsia" w:ascii="宋体" w:hAnsi="宋体" w:eastAsia="宋体"/>
          <w:sz w:val="24"/>
        </w:rPr>
        <w:t>5</w:t>
      </w:r>
      <w:r>
        <w:rPr>
          <w:rFonts w:ascii="宋体" w:hAnsi="宋体" w:eastAsia="宋体"/>
          <w:sz w:val="24"/>
        </w:rPr>
        <w:t>0L</w:t>
      </w:r>
      <w:r>
        <w:rPr>
          <w:rFonts w:hint="eastAsia" w:ascii="宋体" w:hAnsi="宋体" w:eastAsia="宋体"/>
          <w:sz w:val="24"/>
        </w:rPr>
        <w:t>配液桶对应桨叶的直径应小于配液桶内扰流板间的直径，自动升降架的滑动范围要保证桨叶能深入到距配液桶底部10cm左右处。并能顺利移出配液桶。（</w:t>
      </w:r>
      <w:r>
        <w:rPr>
          <w:rFonts w:ascii="宋体" w:hAnsi="宋体" w:eastAsia="宋体"/>
          <w:sz w:val="24"/>
        </w:rPr>
        <w:t>3</w:t>
      </w:r>
      <w:r>
        <w:rPr>
          <w:rFonts w:hint="eastAsia" w:ascii="宋体" w:hAnsi="宋体" w:eastAsia="宋体"/>
          <w:sz w:val="24"/>
        </w:rPr>
        <w:t>5</w:t>
      </w:r>
      <w:r>
        <w:rPr>
          <w:rFonts w:ascii="宋体" w:hAnsi="宋体" w:eastAsia="宋体"/>
          <w:sz w:val="24"/>
        </w:rPr>
        <w:t>0L</w:t>
      </w:r>
      <w:r>
        <w:rPr>
          <w:rFonts w:hint="eastAsia" w:ascii="宋体" w:hAnsi="宋体" w:eastAsia="宋体"/>
          <w:sz w:val="24"/>
        </w:rPr>
        <w:t>配液桶直径70cm,高100 cm，推车高20cm）；搅拌器装置底部装4个带刹不锈钢车轮，并装2个可上下伸缩固定支架。</w:t>
      </w:r>
    </w:p>
    <w:p>
      <w:pPr>
        <w:rPr>
          <w:rFonts w:ascii="宋体" w:hAnsi="宋体" w:eastAsia="宋体"/>
          <w:sz w:val="24"/>
        </w:rPr>
      </w:pPr>
      <w:r>
        <w:rPr>
          <w:rFonts w:hint="eastAsia" w:ascii="宋体" w:hAnsi="宋体" w:eastAsia="宋体"/>
          <w:sz w:val="24"/>
        </w:rPr>
        <w:t>4.3.7.5 桨叶杆到滑轨杆的距离要大于配液桶半径，要能保证桨叶可置于配液桶中心。</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4.3.7.6</w:t>
      </w:r>
      <w:r>
        <w:rPr>
          <w:rFonts w:ascii="宋体" w:hAnsi="宋体" w:eastAsia="宋体"/>
          <w:sz w:val="24"/>
        </w:rPr>
        <w:t xml:space="preserve"> </w:t>
      </w:r>
      <w:r>
        <w:rPr>
          <w:rFonts w:hint="eastAsia" w:ascii="宋体" w:hAnsi="宋体" w:eastAsia="宋体"/>
          <w:sz w:val="24"/>
        </w:rPr>
        <w:t>搅拌扭力满足最大量</w:t>
      </w:r>
      <w:r>
        <w:rPr>
          <w:rFonts w:ascii="宋体" w:hAnsi="宋体" w:eastAsia="宋体"/>
          <w:sz w:val="24"/>
        </w:rPr>
        <w:t>350L</w:t>
      </w:r>
      <w:r>
        <w:rPr>
          <w:rFonts w:hint="eastAsia" w:ascii="宋体" w:hAnsi="宋体" w:eastAsia="宋体"/>
          <w:sz w:val="24"/>
        </w:rPr>
        <w:t>固液混合物要求。</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4.</w:t>
      </w: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w:t>
      </w:r>
      <w:r>
        <w:rPr>
          <w:rFonts w:hint="eastAsia" w:ascii="宋体" w:hAnsi="宋体" w:eastAsia="宋体"/>
          <w:sz w:val="24"/>
        </w:rPr>
        <w:t>7 搅拌物料为固液物料的混合，固体约占总体积的三分之一，液体约占总体积的三分之二，保证搅拌扭力足够。</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ascii="宋体" w:hAnsi="宋体" w:eastAsia="宋体"/>
          <w:sz w:val="24"/>
        </w:rPr>
        <w:t>4.</w:t>
      </w: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w:t>
      </w:r>
      <w:r>
        <w:rPr>
          <w:rFonts w:hint="eastAsia" w:ascii="宋体" w:hAnsi="宋体" w:eastAsia="宋体"/>
          <w:sz w:val="24"/>
        </w:rPr>
        <w:t>8 标识：至少应有以下永久贴牢和清楚易认的标识：</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）制造</w:t>
      </w:r>
      <w:r>
        <w:rPr>
          <w:rFonts w:ascii="宋体" w:hAnsi="宋体" w:eastAsia="宋体"/>
          <w:sz w:val="24"/>
        </w:rPr>
        <w:t>/</w:t>
      </w:r>
      <w:r>
        <w:rPr>
          <w:rFonts w:hint="eastAsia" w:ascii="宋体" w:hAnsi="宋体" w:eastAsia="宋体"/>
          <w:sz w:val="24"/>
        </w:rPr>
        <w:t>供应单位；</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（2）设备型号；</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（3）生产日期或编号；</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（4）必要的功能标识、安全标识及说明；</w:t>
      </w:r>
    </w:p>
    <w:p>
      <w:pPr>
        <w:tabs>
          <w:tab w:val="left" w:pos="927"/>
          <w:tab w:val="left" w:pos="2880"/>
        </w:tabs>
        <w:autoSpaceDE w:val="0"/>
        <w:autoSpaceDN w:val="0"/>
        <w:adjustRightInd w:val="0"/>
        <w:snapToGrid w:val="0"/>
        <w:spacing w:line="460" w:lineRule="exact"/>
        <w:jc w:val="left"/>
        <w:rPr>
          <w:rFonts w:ascii="宋体" w:hAnsi="宋体" w:eastAsia="宋体"/>
          <w:sz w:val="24"/>
        </w:rPr>
      </w:pPr>
      <w:r>
        <w:rPr>
          <w:rFonts w:hint="eastAsia" w:ascii="宋体" w:hAnsi="宋体" w:eastAsia="宋体"/>
          <w:sz w:val="24"/>
        </w:rPr>
        <w:t>（5）设备校验标识（包含校验日期）</w:t>
      </w:r>
    </w:p>
    <w:p>
      <w:pPr>
        <w:pStyle w:val="11"/>
        <w:snapToGrid w:val="0"/>
        <w:spacing w:line="460" w:lineRule="exact"/>
        <w:outlineLvl w:val="1"/>
        <w:rPr>
          <w:rFonts w:ascii="宋体" w:hAnsi="宋体" w:eastAsia="宋体"/>
          <w:b/>
        </w:rPr>
      </w:pPr>
      <w:bookmarkStart w:id="14" w:name="_Toc50632364"/>
      <w:bookmarkStart w:id="15" w:name="_Toc361310625"/>
      <w:r>
        <w:rPr>
          <w:rFonts w:ascii="宋体" w:hAnsi="宋体" w:eastAsia="宋体"/>
          <w:b/>
        </w:rPr>
        <w:t>4.4</w:t>
      </w:r>
      <w:r>
        <w:rPr>
          <w:rFonts w:hint="eastAsia" w:ascii="宋体" w:hAnsi="宋体" w:eastAsia="宋体"/>
          <w:b/>
        </w:rPr>
        <w:t>运行要求</w:t>
      </w:r>
      <w:bookmarkEnd w:id="14"/>
    </w:p>
    <w:bookmarkEnd w:id="15"/>
    <w:p>
      <w:pPr>
        <w:pStyle w:val="11"/>
        <w:snapToGrid w:val="0"/>
        <w:spacing w:line="460" w:lineRule="exact"/>
        <w:rPr>
          <w:rFonts w:ascii="宋体" w:hAnsi="宋体" w:eastAsia="宋体"/>
          <w:b/>
        </w:rPr>
      </w:pPr>
      <w:bookmarkStart w:id="16" w:name="_Toc27530"/>
      <w:bookmarkStart w:id="17" w:name="_Toc11108"/>
      <w:bookmarkStart w:id="18" w:name="_Toc17502"/>
      <w:r>
        <w:rPr>
          <w:rFonts w:ascii="宋体" w:hAnsi="宋体" w:eastAsia="宋体"/>
          <w:b/>
        </w:rPr>
        <w:t>4.4.1</w:t>
      </w:r>
      <w:r>
        <w:rPr>
          <w:rFonts w:hint="eastAsia" w:ascii="宋体" w:hAnsi="宋体" w:eastAsia="宋体"/>
          <w:b/>
        </w:rPr>
        <w:t>原辅料、包装材料、产品的规格标准</w:t>
      </w:r>
    </w:p>
    <w:p>
      <w:pPr>
        <w:pStyle w:val="11"/>
        <w:snapToGrid w:val="0"/>
        <w:spacing w:line="460" w:lineRule="exact"/>
        <w:ind w:firstLine="480" w:firstLineChars="200"/>
        <w:rPr>
          <w:rFonts w:ascii="宋体" w:hAnsi="宋体" w:eastAsia="宋体"/>
          <w:b/>
        </w:rPr>
      </w:pPr>
      <w:r>
        <w:rPr>
          <w:rFonts w:ascii="宋体" w:hAnsi="宋体" w:eastAsia="宋体"/>
        </w:rPr>
        <w:t>N/A</w:t>
      </w:r>
    </w:p>
    <w:p>
      <w:pPr>
        <w:pStyle w:val="11"/>
        <w:snapToGrid w:val="0"/>
        <w:spacing w:line="460" w:lineRule="exact"/>
        <w:rPr>
          <w:rFonts w:ascii="宋体" w:hAnsi="宋体" w:eastAsia="宋体"/>
          <w:b/>
        </w:rPr>
      </w:pPr>
      <w:r>
        <w:rPr>
          <w:rFonts w:ascii="宋体" w:hAnsi="宋体" w:eastAsia="宋体"/>
          <w:b/>
        </w:rPr>
        <w:t>4.4.2</w:t>
      </w:r>
      <w:r>
        <w:rPr>
          <w:rFonts w:hint="eastAsia" w:ascii="宋体" w:hAnsi="宋体" w:eastAsia="宋体"/>
          <w:b/>
        </w:rPr>
        <w:t>设备效率、产能</w:t>
      </w:r>
    </w:p>
    <w:p>
      <w:pPr>
        <w:pStyle w:val="11"/>
        <w:snapToGrid w:val="0"/>
        <w:spacing w:line="460" w:lineRule="exact"/>
        <w:rPr>
          <w:rFonts w:ascii="宋体" w:hAnsi="宋体" w:eastAsia="宋体"/>
          <w:bCs/>
        </w:rPr>
      </w:pPr>
      <w:r>
        <w:rPr>
          <w:rFonts w:hint="eastAsia" w:ascii="宋体" w:hAnsi="宋体" w:eastAsia="宋体"/>
          <w:bCs/>
        </w:rPr>
        <w:t>（1）固液移动搅拌器：最大搅拌容积350L</w:t>
      </w:r>
    </w:p>
    <w:p>
      <w:pPr>
        <w:pStyle w:val="11"/>
        <w:snapToGrid w:val="0"/>
        <w:spacing w:line="460" w:lineRule="exact"/>
        <w:rPr>
          <w:rFonts w:ascii="宋体" w:hAnsi="宋体" w:eastAsia="宋体"/>
          <w:b/>
        </w:rPr>
      </w:pPr>
      <w:r>
        <w:rPr>
          <w:rFonts w:ascii="宋体" w:hAnsi="宋体" w:eastAsia="宋体"/>
          <w:b/>
        </w:rPr>
        <w:t>4.4.3</w:t>
      </w:r>
      <w:r>
        <w:rPr>
          <w:rFonts w:hint="eastAsia" w:ascii="宋体" w:hAnsi="宋体" w:eastAsia="宋体"/>
          <w:b/>
        </w:rPr>
        <w:t>工艺参数范围</w:t>
      </w:r>
    </w:p>
    <w:bookmarkEnd w:id="16"/>
    <w:bookmarkEnd w:id="17"/>
    <w:bookmarkEnd w:id="18"/>
    <w:p>
      <w:pPr>
        <w:pStyle w:val="11"/>
        <w:snapToGrid w:val="0"/>
        <w:spacing w:line="460" w:lineRule="exact"/>
        <w:ind w:firstLine="480" w:firstLineChars="200"/>
        <w:rPr>
          <w:rFonts w:ascii="宋体" w:hAnsi="宋体" w:eastAsia="宋体"/>
        </w:rPr>
      </w:pPr>
      <w:bookmarkStart w:id="19" w:name="_Toc361310626"/>
      <w:bookmarkStart w:id="20" w:name="_Toc449260737"/>
      <w:bookmarkStart w:id="21" w:name="_Toc449430929"/>
      <w:bookmarkStart w:id="22" w:name="_Toc50632365"/>
      <w:r>
        <w:rPr>
          <w:rFonts w:hint="eastAsia" w:ascii="宋体" w:hAnsi="宋体" w:eastAsia="宋体"/>
        </w:rPr>
        <w:t>搅拌转速：0～50</w:t>
      </w:r>
      <w:r>
        <w:rPr>
          <w:rFonts w:ascii="宋体" w:hAnsi="宋体" w:eastAsia="宋体"/>
        </w:rPr>
        <w:t>Hz</w:t>
      </w:r>
    </w:p>
    <w:p>
      <w:pPr>
        <w:pStyle w:val="11"/>
        <w:snapToGrid w:val="0"/>
        <w:spacing w:line="460" w:lineRule="exact"/>
        <w:rPr>
          <w:rFonts w:ascii="宋体" w:hAnsi="宋体" w:eastAsia="宋体"/>
          <w:b/>
        </w:rPr>
      </w:pPr>
      <w:r>
        <w:rPr>
          <w:rFonts w:hint="eastAsia" w:ascii="宋体" w:hAnsi="宋体" w:eastAsia="宋体"/>
          <w:b/>
        </w:rPr>
        <w:t>4.5电气、自动控制要求</w:t>
      </w:r>
      <w:bookmarkEnd w:id="19"/>
      <w:bookmarkEnd w:id="20"/>
      <w:bookmarkEnd w:id="21"/>
      <w:bookmarkEnd w:id="22"/>
    </w:p>
    <w:p>
      <w:pPr>
        <w:snapToGrid w:val="0"/>
        <w:spacing w:line="460" w:lineRule="exact"/>
        <w:rPr>
          <w:rFonts w:ascii="宋体" w:hAnsi="宋体" w:eastAsia="宋体"/>
          <w:b/>
          <w:sz w:val="24"/>
          <w:szCs w:val="20"/>
        </w:rPr>
      </w:pPr>
      <w:r>
        <w:rPr>
          <w:rFonts w:hint="eastAsia" w:ascii="宋体" w:hAnsi="宋体" w:eastAsia="宋体"/>
          <w:b/>
          <w:sz w:val="24"/>
          <w:szCs w:val="20"/>
        </w:rPr>
        <w:t>4.5.1自动控制要求</w:t>
      </w:r>
    </w:p>
    <w:p>
      <w:pPr>
        <w:pStyle w:val="11"/>
        <w:snapToGrid w:val="0"/>
        <w:spacing w:line="460" w:lineRule="exact"/>
        <w:rPr>
          <w:rFonts w:ascii="宋体" w:hAnsi="宋体" w:eastAsia="宋体"/>
        </w:rPr>
      </w:pPr>
      <w:r>
        <w:rPr>
          <w:rFonts w:hint="eastAsia" w:ascii="宋体" w:hAnsi="宋体" w:eastAsia="宋体"/>
        </w:rPr>
        <w:t>4.5.1.1手动控制启动/停止，速度变频调节，搅拌系统可电动升降。</w:t>
      </w:r>
    </w:p>
    <w:p>
      <w:pPr>
        <w:pStyle w:val="11"/>
        <w:snapToGrid w:val="0"/>
        <w:spacing w:line="460" w:lineRule="exact"/>
        <w:rPr>
          <w:rFonts w:ascii="宋体" w:hAnsi="宋体" w:eastAsia="宋体"/>
        </w:rPr>
      </w:pPr>
      <w:r>
        <w:rPr>
          <w:rFonts w:hint="eastAsia" w:ascii="宋体" w:hAnsi="宋体" w:eastAsia="宋体"/>
        </w:rPr>
        <w:t>4.5.1.2可以空运行。</w:t>
      </w:r>
    </w:p>
    <w:p>
      <w:pPr>
        <w:pStyle w:val="11"/>
        <w:snapToGrid w:val="0"/>
        <w:spacing w:line="460" w:lineRule="exact"/>
        <w:rPr>
          <w:rFonts w:ascii="宋体" w:hAnsi="宋体" w:eastAsia="宋体"/>
          <w:b/>
        </w:rPr>
      </w:pPr>
      <w:r>
        <w:rPr>
          <w:rFonts w:hint="eastAsia" w:ascii="宋体" w:hAnsi="宋体" w:eastAsia="宋体"/>
          <w:b/>
        </w:rPr>
        <w:t>4.5.2计算机化系统要求</w:t>
      </w:r>
    </w:p>
    <w:p>
      <w:pPr>
        <w:pStyle w:val="11"/>
        <w:snapToGrid w:val="0"/>
        <w:spacing w:line="460" w:lineRule="exact"/>
        <w:rPr>
          <w:rFonts w:ascii="宋体" w:hAnsi="宋体" w:eastAsia="宋体"/>
          <w:b/>
        </w:rPr>
      </w:pPr>
      <w:r>
        <w:rPr>
          <w:rFonts w:ascii="宋体" w:hAnsi="宋体" w:eastAsia="宋体"/>
        </w:rPr>
        <w:t>N/A</w:t>
      </w:r>
    </w:p>
    <w:p>
      <w:pPr>
        <w:pStyle w:val="11"/>
        <w:snapToGrid w:val="0"/>
        <w:spacing w:line="460" w:lineRule="exact"/>
        <w:outlineLvl w:val="1"/>
        <w:rPr>
          <w:rFonts w:ascii="宋体" w:hAnsi="宋体" w:eastAsia="宋体"/>
          <w:b/>
          <w:szCs w:val="28"/>
        </w:rPr>
      </w:pPr>
      <w:bookmarkStart w:id="23" w:name="_Toc16052"/>
      <w:bookmarkStart w:id="24" w:name="_Toc20584"/>
      <w:bookmarkStart w:id="25" w:name="_Toc14918"/>
      <w:bookmarkStart w:id="26" w:name="_Toc50632366"/>
      <w:r>
        <w:rPr>
          <w:rFonts w:ascii="宋体" w:hAnsi="宋体" w:eastAsia="宋体"/>
          <w:b/>
          <w:szCs w:val="28"/>
        </w:rPr>
        <w:t xml:space="preserve">4.6 </w:t>
      </w:r>
      <w:r>
        <w:rPr>
          <w:rFonts w:hint="eastAsia" w:ascii="宋体" w:hAnsi="宋体" w:eastAsia="宋体"/>
          <w:b/>
          <w:szCs w:val="28"/>
        </w:rPr>
        <w:t>安全要求</w:t>
      </w:r>
      <w:bookmarkEnd w:id="23"/>
      <w:bookmarkEnd w:id="24"/>
      <w:bookmarkEnd w:id="25"/>
      <w:bookmarkEnd w:id="26"/>
    </w:p>
    <w:p>
      <w:pPr>
        <w:pStyle w:val="11"/>
        <w:snapToGrid w:val="0"/>
        <w:spacing w:line="460" w:lineRule="exact"/>
        <w:rPr>
          <w:rFonts w:ascii="宋体" w:hAnsi="宋体"/>
          <w:color w:val="000000"/>
        </w:rPr>
      </w:pPr>
      <w:r>
        <w:rPr>
          <w:rFonts w:hint="eastAsia" w:ascii="宋体" w:hAnsi="宋体"/>
          <w:color w:val="000000"/>
        </w:rPr>
        <w:t>4</w:t>
      </w:r>
      <w:r>
        <w:rPr>
          <w:rFonts w:ascii="宋体" w:hAnsi="宋体"/>
          <w:color w:val="000000"/>
        </w:rPr>
        <w:t>.6.1</w:t>
      </w:r>
      <w:r>
        <w:rPr>
          <w:rFonts w:hint="eastAsia" w:ascii="宋体" w:hAnsi="宋体"/>
          <w:color w:val="000000"/>
        </w:rPr>
        <w:t>电机应有过热、过流、短路等多重保护。</w:t>
      </w:r>
    </w:p>
    <w:p>
      <w:pPr>
        <w:pStyle w:val="11"/>
        <w:snapToGrid w:val="0"/>
        <w:spacing w:line="460" w:lineRule="exact"/>
        <w:rPr>
          <w:rFonts w:ascii="宋体" w:hAnsi="宋体"/>
          <w:color w:val="000000"/>
        </w:rPr>
      </w:pPr>
      <w:r>
        <w:rPr>
          <w:rFonts w:hint="eastAsia" w:ascii="宋体" w:hAnsi="宋体"/>
          <w:color w:val="000000"/>
        </w:rPr>
        <w:t>4.6.2应有应急按钮或紧急按钮，确保紧急情况下的人身安全。</w:t>
      </w:r>
    </w:p>
    <w:p>
      <w:pPr>
        <w:pStyle w:val="11"/>
        <w:snapToGrid w:val="0"/>
        <w:spacing w:line="460" w:lineRule="exact"/>
        <w:rPr>
          <w:rFonts w:ascii="宋体" w:hAnsi="宋体"/>
          <w:color w:val="000000"/>
        </w:rPr>
      </w:pPr>
      <w:r>
        <w:rPr>
          <w:rFonts w:ascii="宋体" w:hAnsi="宋体"/>
          <w:color w:val="000000"/>
        </w:rPr>
        <w:t>4.6.3</w:t>
      </w:r>
      <w:r>
        <w:rPr>
          <w:rFonts w:hint="eastAsia" w:ascii="宋体" w:hAnsi="宋体"/>
          <w:color w:val="000000"/>
        </w:rPr>
        <w:t>搅拌器表面应不带电。</w:t>
      </w:r>
    </w:p>
    <w:p>
      <w:pPr>
        <w:pStyle w:val="11"/>
        <w:snapToGrid w:val="0"/>
        <w:spacing w:line="460" w:lineRule="exact"/>
        <w:rPr>
          <w:rFonts w:ascii="宋体" w:hAnsi="宋体" w:eastAsia="宋体"/>
          <w:b/>
        </w:rPr>
      </w:pPr>
      <w:r>
        <w:rPr>
          <w:rFonts w:ascii="宋体" w:hAnsi="宋体" w:eastAsia="宋体"/>
          <w:b/>
        </w:rPr>
        <w:t>4.6.1</w:t>
      </w:r>
      <w:r>
        <w:rPr>
          <w:rFonts w:hint="eastAsia" w:ascii="宋体" w:hAnsi="宋体" w:eastAsia="宋体"/>
          <w:b/>
        </w:rPr>
        <w:t>密封连锁及压力保护</w:t>
      </w:r>
    </w:p>
    <w:p>
      <w:pPr>
        <w:pStyle w:val="11"/>
        <w:snapToGrid w:val="0"/>
        <w:spacing w:line="460" w:lineRule="exact"/>
        <w:rPr>
          <w:rFonts w:ascii="宋体" w:hAnsi="宋体" w:eastAsia="宋体"/>
          <w:b/>
        </w:rPr>
      </w:pPr>
      <w:r>
        <w:rPr>
          <w:rFonts w:ascii="宋体" w:hAnsi="宋体" w:eastAsia="宋体"/>
        </w:rPr>
        <w:t>N/A</w:t>
      </w:r>
    </w:p>
    <w:p>
      <w:pPr>
        <w:pStyle w:val="11"/>
        <w:snapToGrid w:val="0"/>
        <w:spacing w:line="460" w:lineRule="exact"/>
        <w:rPr>
          <w:rFonts w:ascii="宋体" w:hAnsi="宋体" w:eastAsia="宋体"/>
          <w:b/>
        </w:rPr>
      </w:pPr>
      <w:r>
        <w:rPr>
          <w:rFonts w:ascii="宋体" w:hAnsi="宋体" w:eastAsia="宋体"/>
          <w:b/>
        </w:rPr>
        <w:t>4.6.2</w:t>
      </w:r>
      <w:r>
        <w:rPr>
          <w:rFonts w:hint="eastAsia" w:ascii="宋体" w:hAnsi="宋体" w:eastAsia="宋体"/>
          <w:b/>
        </w:rPr>
        <w:t>电气保护</w:t>
      </w:r>
    </w:p>
    <w:p>
      <w:pPr>
        <w:pStyle w:val="11"/>
        <w:snapToGrid w:val="0"/>
        <w:spacing w:line="460" w:lineRule="exact"/>
        <w:rPr>
          <w:rFonts w:ascii="宋体" w:hAnsi="宋体"/>
          <w:color w:val="000000"/>
        </w:rPr>
      </w:pPr>
      <w:r>
        <w:rPr>
          <w:rFonts w:hint="eastAsia" w:ascii="宋体" w:hAnsi="宋体"/>
          <w:color w:val="000000"/>
        </w:rPr>
        <w:t>4.6.2.1电气安全应符合GB4793.1和GB4793.4的要求；</w:t>
      </w:r>
    </w:p>
    <w:p>
      <w:pPr>
        <w:pStyle w:val="11"/>
        <w:snapToGrid w:val="0"/>
        <w:spacing w:line="460" w:lineRule="exact"/>
        <w:rPr>
          <w:rFonts w:ascii="宋体" w:hAnsi="宋体"/>
          <w:color w:val="000000"/>
        </w:rPr>
      </w:pPr>
      <w:r>
        <w:rPr>
          <w:rFonts w:hint="eastAsia" w:ascii="宋体" w:hAnsi="宋体"/>
          <w:color w:val="000000"/>
        </w:rPr>
        <w:t>4.6.2.2电磁兼容性应符合GB/T18268—2000的要求。</w:t>
      </w:r>
    </w:p>
    <w:p>
      <w:pPr>
        <w:pStyle w:val="11"/>
        <w:snapToGrid w:val="0"/>
        <w:spacing w:line="460" w:lineRule="exact"/>
        <w:rPr>
          <w:rFonts w:ascii="宋体" w:hAnsi="宋体"/>
          <w:color w:val="000000"/>
        </w:rPr>
      </w:pPr>
      <w:r>
        <w:rPr>
          <w:rFonts w:hint="eastAsia" w:ascii="宋体" w:hAnsi="宋体"/>
          <w:color w:val="000000"/>
        </w:rPr>
        <w:t>4.6.2.3有漏电保护功能。</w:t>
      </w:r>
    </w:p>
    <w:p>
      <w:pPr>
        <w:pStyle w:val="11"/>
        <w:snapToGrid w:val="0"/>
        <w:spacing w:line="460" w:lineRule="exact"/>
        <w:rPr>
          <w:rFonts w:ascii="宋体" w:hAnsi="宋体" w:eastAsia="宋体"/>
          <w:b/>
        </w:rPr>
      </w:pPr>
      <w:r>
        <w:rPr>
          <w:rFonts w:hint="eastAsia" w:ascii="宋体" w:hAnsi="宋体" w:eastAsia="宋体"/>
          <w:b/>
        </w:rPr>
        <w:t>4.7其他要求</w:t>
      </w:r>
    </w:p>
    <w:p>
      <w:pPr>
        <w:pStyle w:val="11"/>
        <w:snapToGrid w:val="0"/>
        <w:spacing w:line="460" w:lineRule="exact"/>
        <w:rPr>
          <w:rFonts w:ascii="宋体" w:hAnsi="宋体" w:eastAsia="宋体"/>
          <w:b/>
        </w:rPr>
      </w:pPr>
      <w:bookmarkStart w:id="27" w:name="_Toc361310628"/>
      <w:r>
        <w:rPr>
          <w:rFonts w:ascii="宋体" w:hAnsi="宋体" w:eastAsia="宋体"/>
        </w:rPr>
        <w:t>N/A</w:t>
      </w:r>
    </w:p>
    <w:p>
      <w:pPr>
        <w:pStyle w:val="11"/>
        <w:snapToGrid w:val="0"/>
        <w:spacing w:line="460" w:lineRule="exact"/>
        <w:outlineLvl w:val="1"/>
        <w:rPr>
          <w:rFonts w:ascii="宋体" w:hAnsi="宋体" w:eastAsia="宋体"/>
          <w:b/>
          <w:szCs w:val="28"/>
        </w:rPr>
      </w:pPr>
      <w:bookmarkStart w:id="28" w:name="_Toc50632367"/>
      <w:r>
        <w:rPr>
          <w:rFonts w:ascii="宋体" w:hAnsi="宋体" w:eastAsia="宋体"/>
          <w:b/>
          <w:szCs w:val="28"/>
        </w:rPr>
        <w:t>4.7</w:t>
      </w:r>
      <w:r>
        <w:rPr>
          <w:rFonts w:hint="eastAsia" w:ascii="宋体" w:hAnsi="宋体" w:eastAsia="宋体"/>
          <w:b/>
          <w:szCs w:val="28"/>
        </w:rPr>
        <w:t>文件要求</w:t>
      </w:r>
      <w:bookmarkEnd w:id="27"/>
      <w:bookmarkEnd w:id="28"/>
    </w:p>
    <w:p>
      <w:pPr>
        <w:pStyle w:val="11"/>
        <w:snapToGrid w:val="0"/>
        <w:spacing w:line="460" w:lineRule="exact"/>
        <w:rPr>
          <w:rFonts w:ascii="宋体" w:hAnsi="宋体" w:eastAsia="宋体"/>
        </w:rPr>
      </w:pPr>
      <w:r>
        <w:rPr>
          <w:rFonts w:ascii="宋体" w:hAnsi="宋体" w:eastAsia="宋体"/>
        </w:rPr>
        <w:t>4.7.1</w:t>
      </w:r>
      <w:r>
        <w:rPr>
          <w:rFonts w:hint="eastAsia" w:ascii="宋体" w:hAnsi="宋体" w:eastAsia="宋体"/>
        </w:rPr>
        <w:t>投标文件、合同及订单。</w:t>
      </w:r>
    </w:p>
    <w:p>
      <w:pPr>
        <w:pStyle w:val="11"/>
        <w:snapToGrid w:val="0"/>
        <w:spacing w:line="460" w:lineRule="exact"/>
        <w:rPr>
          <w:rFonts w:ascii="宋体" w:hAnsi="宋体" w:eastAsia="宋体"/>
        </w:rPr>
      </w:pPr>
      <w:r>
        <w:rPr>
          <w:rFonts w:ascii="宋体" w:hAnsi="宋体" w:eastAsia="宋体"/>
        </w:rPr>
        <w:t>4.7.2</w:t>
      </w:r>
      <w:r>
        <w:rPr>
          <w:rFonts w:hint="eastAsia" w:ascii="宋体" w:hAnsi="宋体" w:eastAsia="宋体"/>
        </w:rPr>
        <w:t>卖方发运清单及相关检验报告。</w:t>
      </w:r>
    </w:p>
    <w:p>
      <w:pPr>
        <w:pStyle w:val="11"/>
        <w:snapToGrid w:val="0"/>
        <w:spacing w:line="460" w:lineRule="exact"/>
        <w:rPr>
          <w:rFonts w:ascii="宋体" w:hAnsi="宋体" w:eastAsia="宋体"/>
        </w:rPr>
      </w:pPr>
      <w:r>
        <w:rPr>
          <w:rFonts w:ascii="宋体" w:hAnsi="宋体" w:eastAsia="宋体"/>
        </w:rPr>
        <w:t>4.7.3</w:t>
      </w:r>
      <w:r>
        <w:rPr>
          <w:rFonts w:hint="eastAsia"/>
          <w:szCs w:val="21"/>
        </w:rPr>
        <w:t>系统功能配置清单</w:t>
      </w:r>
      <w:r>
        <w:rPr>
          <w:szCs w:val="21"/>
        </w:rPr>
        <w:t>&amp;</w:t>
      </w:r>
      <w:r>
        <w:rPr>
          <w:rFonts w:hint="eastAsia"/>
          <w:szCs w:val="21"/>
        </w:rPr>
        <w:t>说明，包含各组件</w:t>
      </w:r>
      <w:r>
        <w:rPr>
          <w:szCs w:val="21"/>
        </w:rPr>
        <w:t>/</w:t>
      </w:r>
      <w:r>
        <w:rPr>
          <w:rFonts w:hint="eastAsia"/>
          <w:szCs w:val="21"/>
        </w:rPr>
        <w:t>功能名称、编号、型号、规格、品牌、材质等。</w:t>
      </w:r>
    </w:p>
    <w:p>
      <w:pPr>
        <w:pStyle w:val="11"/>
        <w:snapToGrid w:val="0"/>
        <w:spacing w:line="460" w:lineRule="exact"/>
        <w:rPr>
          <w:szCs w:val="21"/>
        </w:rPr>
      </w:pPr>
      <w:r>
        <w:rPr>
          <w:rFonts w:ascii="宋体" w:hAnsi="宋体" w:eastAsia="宋体"/>
        </w:rPr>
        <w:t>4.7.4</w:t>
      </w:r>
      <w:r>
        <w:rPr>
          <w:rFonts w:hint="eastAsia"/>
          <w:szCs w:val="21"/>
        </w:rPr>
        <w:t>设备标准技术文件，包括：设计与功能说明</w:t>
      </w:r>
    </w:p>
    <w:p>
      <w:pPr>
        <w:pStyle w:val="11"/>
        <w:snapToGrid w:val="0"/>
        <w:spacing w:line="460" w:lineRule="exact"/>
        <w:rPr>
          <w:rFonts w:ascii="宋体" w:hAnsi="宋体" w:eastAsia="宋体"/>
        </w:rPr>
      </w:pPr>
      <w:r>
        <w:rPr>
          <w:rFonts w:ascii="宋体" w:hAnsi="宋体" w:eastAsia="宋体"/>
        </w:rPr>
        <w:t>4.7.5</w:t>
      </w:r>
      <w:r>
        <w:rPr>
          <w:rFonts w:hint="eastAsia"/>
          <w:szCs w:val="21"/>
        </w:rPr>
        <w:t>图纸：各种确认、维修等活动所需的电子版及打印版图纸（实物图、尺寸图、电气图、布局图、安装连接图、细节图、</w:t>
      </w:r>
      <w:r>
        <w:rPr>
          <w:szCs w:val="21"/>
        </w:rPr>
        <w:t>PLC</w:t>
      </w:r>
      <w:r>
        <w:rPr>
          <w:rFonts w:hint="eastAsia"/>
          <w:szCs w:val="21"/>
        </w:rPr>
        <w:t>图等、</w:t>
      </w:r>
      <w:r>
        <w:rPr>
          <w:szCs w:val="21"/>
        </w:rPr>
        <w:t>P&amp;ID</w:t>
      </w:r>
      <w:r>
        <w:rPr>
          <w:rFonts w:hint="eastAsia"/>
          <w:szCs w:val="21"/>
        </w:rPr>
        <w:t>图、控制原理图）等应先与我公司技术人员共同确认；图纸说明及清单。</w:t>
      </w:r>
    </w:p>
    <w:p>
      <w:pPr>
        <w:pStyle w:val="11"/>
        <w:snapToGrid w:val="0"/>
        <w:spacing w:line="460" w:lineRule="exact"/>
        <w:rPr>
          <w:rFonts w:ascii="宋体" w:hAnsi="宋体" w:eastAsia="宋体"/>
        </w:rPr>
      </w:pPr>
      <w:r>
        <w:rPr>
          <w:rFonts w:ascii="宋体" w:hAnsi="宋体" w:eastAsia="宋体"/>
        </w:rPr>
        <w:t>4.7.6</w:t>
      </w:r>
      <w:r>
        <w:rPr>
          <w:rFonts w:hint="eastAsia"/>
          <w:szCs w:val="21"/>
        </w:rPr>
        <w:t>组件清单、易损件清单、备用零件、消耗品清单：包括名称、编号、对应厂家名称、生产地、规格及必要说明。</w:t>
      </w:r>
    </w:p>
    <w:p>
      <w:pPr>
        <w:pStyle w:val="11"/>
        <w:snapToGrid w:val="0"/>
        <w:spacing w:line="460" w:lineRule="exact"/>
        <w:rPr>
          <w:szCs w:val="21"/>
        </w:rPr>
      </w:pPr>
      <w:r>
        <w:rPr>
          <w:rFonts w:ascii="宋体" w:hAnsi="宋体" w:eastAsia="宋体"/>
        </w:rPr>
        <w:t>4.7.7</w:t>
      </w:r>
      <w:r>
        <w:rPr>
          <w:rFonts w:hint="eastAsia"/>
          <w:szCs w:val="21"/>
        </w:rPr>
        <w:t>设备厂家文件：工厂相关检测报告、材质清单材质证书（写明材料有效期）、各种标示、出厂合格证、各组件相关报告及合格证、仪表校验证书和报告。</w:t>
      </w:r>
    </w:p>
    <w:p>
      <w:pPr>
        <w:pStyle w:val="11"/>
        <w:snapToGrid w:val="0"/>
        <w:spacing w:line="460" w:lineRule="exact"/>
        <w:rPr>
          <w:rFonts w:ascii="宋体" w:hAnsi="宋体" w:eastAsia="宋体"/>
        </w:rPr>
      </w:pPr>
      <w:r>
        <w:rPr>
          <w:rFonts w:ascii="宋体" w:hAnsi="宋体" w:eastAsia="宋体"/>
        </w:rPr>
        <w:t>4.7.8</w:t>
      </w:r>
      <w:r>
        <w:rPr>
          <w:rFonts w:hint="eastAsia"/>
          <w:szCs w:val="21"/>
        </w:rPr>
        <w:t>设备操作手册（</w:t>
      </w:r>
      <w:r>
        <w:rPr>
          <w:szCs w:val="21"/>
        </w:rPr>
        <w:t>SOP</w:t>
      </w:r>
      <w:r>
        <w:rPr>
          <w:rFonts w:hint="eastAsia"/>
          <w:szCs w:val="21"/>
        </w:rPr>
        <w:t>）：语言为中文，应说明校准周期，并能提供校准服务（此项服务可付费）。</w:t>
      </w:r>
    </w:p>
    <w:p>
      <w:pPr>
        <w:pStyle w:val="11"/>
        <w:snapToGrid w:val="0"/>
        <w:spacing w:line="460" w:lineRule="exact"/>
        <w:rPr>
          <w:rFonts w:ascii="宋体" w:hAnsi="宋体" w:eastAsia="宋体"/>
        </w:rPr>
      </w:pPr>
      <w:r>
        <w:rPr>
          <w:rFonts w:ascii="宋体" w:hAnsi="宋体" w:eastAsia="宋体"/>
        </w:rPr>
        <w:t>4.7.9</w:t>
      </w:r>
      <w:r>
        <w:rPr>
          <w:rFonts w:hint="eastAsia" w:ascii="宋体" w:hAnsi="宋体" w:cs="宋体"/>
          <w:szCs w:val="21"/>
        </w:rPr>
        <w:t>设备仪表清单和相关校验报告及计量证书（提供所有在该设备上安装的仪表、传感器的校验证书，且证书有效期自设备到货之日起不少于</w:t>
      </w:r>
      <w:r>
        <w:rPr>
          <w:rFonts w:ascii="宋体" w:hAnsi="宋体" w:cs="宋体"/>
          <w:szCs w:val="21"/>
        </w:rPr>
        <w:t>8</w:t>
      </w:r>
      <w:r>
        <w:rPr>
          <w:rFonts w:hint="eastAsia" w:ascii="宋体" w:hAnsi="宋体" w:cs="宋体"/>
          <w:szCs w:val="21"/>
        </w:rPr>
        <w:t>个月）。</w:t>
      </w:r>
    </w:p>
    <w:p>
      <w:pPr>
        <w:pStyle w:val="11"/>
        <w:snapToGrid w:val="0"/>
        <w:spacing w:line="460" w:lineRule="exact"/>
        <w:rPr>
          <w:rFonts w:ascii="宋体" w:hAnsi="宋体" w:eastAsia="宋体"/>
        </w:rPr>
      </w:pPr>
      <w:r>
        <w:rPr>
          <w:rFonts w:ascii="宋体" w:hAnsi="宋体" w:eastAsia="宋体"/>
        </w:rPr>
        <w:t>4.7.10</w:t>
      </w:r>
      <w:r>
        <w:rPr>
          <w:rFonts w:hint="eastAsia" w:ascii="宋体" w:hAnsi="宋体" w:cs="宋体"/>
          <w:szCs w:val="21"/>
        </w:rPr>
        <w:t>安全报告。</w:t>
      </w:r>
    </w:p>
    <w:p>
      <w:pPr>
        <w:pStyle w:val="11"/>
        <w:snapToGrid w:val="0"/>
        <w:spacing w:line="460" w:lineRule="exact"/>
        <w:rPr>
          <w:rFonts w:ascii="宋体" w:hAnsi="宋体" w:eastAsia="宋体"/>
        </w:rPr>
      </w:pPr>
      <w:r>
        <w:rPr>
          <w:rFonts w:ascii="宋体" w:hAnsi="宋体" w:eastAsia="宋体"/>
        </w:rPr>
        <w:t>4.7.11</w:t>
      </w:r>
      <w:r>
        <w:rPr>
          <w:rFonts w:hint="eastAsia" w:ascii="宋体" w:hAnsi="宋体" w:cs="宋体"/>
          <w:szCs w:val="21"/>
        </w:rPr>
        <w:t>设备交付计划表。</w:t>
      </w:r>
    </w:p>
    <w:p>
      <w:pPr>
        <w:pStyle w:val="11"/>
        <w:snapToGrid w:val="0"/>
        <w:spacing w:line="460" w:lineRule="exact"/>
        <w:rPr>
          <w:rFonts w:ascii="宋体" w:hAnsi="宋体" w:eastAsia="宋体"/>
        </w:rPr>
      </w:pPr>
      <w:r>
        <w:rPr>
          <w:rFonts w:ascii="宋体" w:hAnsi="宋体" w:eastAsia="宋体"/>
        </w:rPr>
        <w:t>4.7.12</w:t>
      </w:r>
      <w:r>
        <w:rPr>
          <w:rFonts w:hint="eastAsia" w:ascii="宋体" w:hAnsi="宋体" w:cs="宋体"/>
          <w:szCs w:val="21"/>
        </w:rPr>
        <w:t>工厂验收测试（</w:t>
      </w:r>
      <w:r>
        <w:rPr>
          <w:rFonts w:ascii="宋体" w:hAnsi="宋体" w:cs="宋体"/>
          <w:szCs w:val="21"/>
        </w:rPr>
        <w:t>FAT</w:t>
      </w:r>
      <w:r>
        <w:rPr>
          <w:rFonts w:hint="eastAsia" w:ascii="宋体" w:hAnsi="宋体" w:cs="宋体"/>
          <w:szCs w:val="21"/>
        </w:rPr>
        <w:t>）报告和现场验收测试（</w:t>
      </w:r>
      <w:r>
        <w:rPr>
          <w:rFonts w:ascii="宋体" w:hAnsi="宋体" w:cs="宋体"/>
          <w:szCs w:val="21"/>
        </w:rPr>
        <w:t>SAT</w:t>
      </w:r>
      <w:r>
        <w:rPr>
          <w:rFonts w:hint="eastAsia" w:ascii="宋体" w:hAnsi="宋体" w:cs="宋体"/>
          <w:szCs w:val="21"/>
        </w:rPr>
        <w:t>）报告。</w:t>
      </w:r>
    </w:p>
    <w:p>
      <w:pPr>
        <w:pStyle w:val="11"/>
        <w:snapToGrid w:val="0"/>
        <w:spacing w:line="460" w:lineRule="exact"/>
        <w:rPr>
          <w:rFonts w:ascii="宋体" w:hAnsi="宋体" w:eastAsia="宋体"/>
        </w:rPr>
      </w:pPr>
      <w:r>
        <w:rPr>
          <w:rFonts w:hint="eastAsia" w:ascii="宋体" w:hAnsi="宋体" w:eastAsia="宋体"/>
        </w:rPr>
        <w:t>4.7.13调试文件：调试计划、调试方案、设备测试记录，检测清单，测试报告，调试总结报告、现场验收报告等。</w:t>
      </w:r>
    </w:p>
    <w:p>
      <w:pPr>
        <w:pStyle w:val="11"/>
        <w:snapToGrid w:val="0"/>
        <w:spacing w:line="460" w:lineRule="exact"/>
        <w:rPr>
          <w:rFonts w:ascii="宋体" w:hAnsi="宋体" w:eastAsia="宋体"/>
        </w:rPr>
      </w:pPr>
      <w:r>
        <w:rPr>
          <w:rFonts w:hint="eastAsia" w:ascii="宋体" w:hAnsi="宋体" w:eastAsia="宋体"/>
        </w:rPr>
        <w:t>4.7.14使用操作说明书及维护保养说明（即运行及维护手册）3份。</w:t>
      </w:r>
    </w:p>
    <w:p>
      <w:pPr>
        <w:pStyle w:val="11"/>
        <w:snapToGrid w:val="0"/>
        <w:spacing w:line="460" w:lineRule="exact"/>
        <w:rPr>
          <w:rFonts w:ascii="宋体" w:hAnsi="宋体" w:eastAsia="宋体"/>
        </w:rPr>
      </w:pPr>
      <w:r>
        <w:rPr>
          <w:rFonts w:hint="eastAsia" w:ascii="宋体" w:hAnsi="宋体" w:eastAsia="宋体"/>
        </w:rPr>
        <w:t>4.7.15提供设备及其零部件使用寿命清单。</w:t>
      </w:r>
    </w:p>
    <w:p>
      <w:pPr>
        <w:pStyle w:val="11"/>
        <w:snapToGrid w:val="0"/>
        <w:spacing w:line="460" w:lineRule="exact"/>
        <w:rPr>
          <w:rFonts w:ascii="宋体" w:hAnsi="宋体" w:eastAsia="宋体"/>
        </w:rPr>
      </w:pPr>
      <w:r>
        <w:rPr>
          <w:rFonts w:hint="eastAsia" w:ascii="宋体" w:hAnsi="宋体" w:eastAsia="宋体"/>
        </w:rPr>
        <w:t>4.7.16文件具体要求：</w:t>
      </w:r>
    </w:p>
    <w:p>
      <w:pPr>
        <w:pStyle w:val="11"/>
        <w:snapToGrid w:val="0"/>
        <w:spacing w:line="460" w:lineRule="exact"/>
        <w:rPr>
          <w:rFonts w:ascii="宋体" w:hAnsi="宋体" w:eastAsia="宋体"/>
        </w:rPr>
      </w:pPr>
      <w:r>
        <w:rPr>
          <w:rFonts w:hint="eastAsia" w:ascii="宋体" w:hAnsi="宋体" w:eastAsia="宋体"/>
        </w:rPr>
        <w:t>4.7.16.1设备相关方案中，应明确本设备的配置、规格，并且通过分析阐述每一个设备环节的必要性；</w:t>
      </w:r>
    </w:p>
    <w:p>
      <w:pPr>
        <w:pStyle w:val="11"/>
        <w:snapToGrid w:val="0"/>
        <w:spacing w:line="460" w:lineRule="exact"/>
        <w:rPr>
          <w:rFonts w:ascii="宋体" w:hAnsi="宋体" w:eastAsia="宋体"/>
        </w:rPr>
      </w:pPr>
      <w:r>
        <w:rPr>
          <w:rFonts w:hint="eastAsia" w:ascii="宋体" w:hAnsi="宋体" w:eastAsia="宋体"/>
        </w:rPr>
        <w:t>4.7.16.2标书中明确设备所有组件的品牌、材质、型号，并且注明每一个组件的保修期。</w:t>
      </w:r>
    </w:p>
    <w:p>
      <w:pPr>
        <w:pStyle w:val="11"/>
        <w:snapToGrid w:val="0"/>
        <w:spacing w:line="460" w:lineRule="exact"/>
        <w:rPr>
          <w:rFonts w:ascii="宋体" w:hAnsi="宋体" w:eastAsia="宋体"/>
        </w:rPr>
      </w:pPr>
      <w:r>
        <w:rPr>
          <w:rFonts w:hint="eastAsia" w:ascii="宋体" w:hAnsi="宋体" w:eastAsia="宋体"/>
        </w:rPr>
        <w:t>4.7.16.3设备供应商应提供一份工作计划，以便于我公司做好相关准备工作。</w:t>
      </w:r>
    </w:p>
    <w:p>
      <w:pPr>
        <w:pStyle w:val="11"/>
        <w:snapToGrid w:val="0"/>
        <w:spacing w:line="460" w:lineRule="exact"/>
        <w:rPr>
          <w:rFonts w:ascii="宋体" w:hAnsi="宋体" w:eastAsia="宋体"/>
        </w:rPr>
      </w:pPr>
      <w:r>
        <w:rPr>
          <w:rFonts w:hint="eastAsia" w:ascii="宋体" w:hAnsi="宋体" w:eastAsia="宋体"/>
        </w:rPr>
        <w:t>4.7.17应有针对每一部件所作序号的简明图册，以便于维修人员查找和辩识。</w:t>
      </w:r>
    </w:p>
    <w:p>
      <w:pPr>
        <w:pStyle w:val="11"/>
        <w:snapToGrid w:val="0"/>
        <w:spacing w:line="460" w:lineRule="exact"/>
        <w:outlineLvl w:val="1"/>
        <w:rPr>
          <w:rFonts w:ascii="宋体" w:hAnsi="宋体" w:eastAsia="宋体"/>
          <w:szCs w:val="28"/>
        </w:rPr>
      </w:pPr>
      <w:bookmarkStart w:id="29" w:name="_Toc361310629"/>
      <w:bookmarkStart w:id="30" w:name="_Toc50632368"/>
      <w:r>
        <w:rPr>
          <w:rFonts w:ascii="宋体" w:hAnsi="宋体" w:eastAsia="宋体"/>
          <w:b/>
          <w:szCs w:val="28"/>
        </w:rPr>
        <w:t>4.8</w:t>
      </w:r>
      <w:r>
        <w:rPr>
          <w:rFonts w:hint="eastAsia" w:ascii="宋体" w:hAnsi="宋体" w:eastAsia="宋体"/>
          <w:b/>
          <w:szCs w:val="28"/>
        </w:rPr>
        <w:t>服务要求</w:t>
      </w:r>
      <w:bookmarkEnd w:id="29"/>
      <w:bookmarkEnd w:id="30"/>
    </w:p>
    <w:p>
      <w:pPr>
        <w:pStyle w:val="11"/>
        <w:snapToGrid w:val="0"/>
        <w:spacing w:line="460" w:lineRule="exact"/>
        <w:rPr>
          <w:rFonts w:ascii="宋体" w:hAnsi="宋体" w:eastAsia="宋体"/>
          <w:b/>
        </w:rPr>
      </w:pPr>
      <w:r>
        <w:rPr>
          <w:rFonts w:ascii="宋体" w:hAnsi="宋体" w:eastAsia="宋体"/>
          <w:b/>
        </w:rPr>
        <w:t>4.8.1</w:t>
      </w:r>
      <w:r>
        <w:rPr>
          <w:rFonts w:hint="eastAsia" w:ascii="宋体" w:hAnsi="宋体" w:eastAsia="宋体"/>
          <w:b/>
        </w:rPr>
        <w:t>培训要求</w:t>
      </w:r>
    </w:p>
    <w:p>
      <w:pPr>
        <w:pStyle w:val="11"/>
        <w:snapToGrid w:val="0"/>
        <w:spacing w:line="460" w:lineRule="exact"/>
        <w:rPr>
          <w:rFonts w:ascii="宋体" w:hAnsi="宋体" w:eastAsia="宋体"/>
        </w:rPr>
      </w:pPr>
      <w:r>
        <w:rPr>
          <w:rFonts w:ascii="宋体" w:hAnsi="宋体" w:eastAsia="宋体"/>
        </w:rPr>
        <w:t>4.8.1.1</w:t>
      </w:r>
      <w:r>
        <w:rPr>
          <w:rFonts w:hint="eastAsia" w:ascii="宋体" w:hAnsi="宋体" w:eastAsia="宋体"/>
        </w:rPr>
        <w:t>设备供应商应免费对设备使用方人员进行全面培训，包括操作人员及设备维护、维修人员，并填写培训记录。</w:t>
      </w:r>
    </w:p>
    <w:p>
      <w:pPr>
        <w:pStyle w:val="11"/>
        <w:snapToGrid w:val="0"/>
        <w:spacing w:line="460" w:lineRule="exact"/>
        <w:rPr>
          <w:rFonts w:ascii="宋体" w:hAnsi="宋体" w:eastAsia="宋体"/>
        </w:rPr>
      </w:pPr>
      <w:r>
        <w:rPr>
          <w:rFonts w:ascii="宋体" w:hAnsi="宋体" w:eastAsia="宋体"/>
        </w:rPr>
        <w:t>4.8.1.2</w:t>
      </w:r>
      <w:r>
        <w:rPr>
          <w:rFonts w:hint="eastAsia" w:ascii="宋体" w:hAnsi="宋体" w:eastAsia="宋体"/>
        </w:rPr>
        <w:t>操作人员培训包括设备结构原理、性能、操作、清洗消毒、故障排除等基本知识，以及软件的各项功能的应用。合格标准为用户参加培训人员能够独立正确操作设备，会排除常见故障，能正确使用软件。</w:t>
      </w:r>
    </w:p>
    <w:p>
      <w:pPr>
        <w:pStyle w:val="11"/>
        <w:snapToGrid w:val="0"/>
        <w:spacing w:line="460" w:lineRule="exact"/>
        <w:rPr>
          <w:rFonts w:ascii="宋体" w:hAnsi="宋体" w:eastAsia="宋体"/>
        </w:rPr>
      </w:pPr>
      <w:r>
        <w:rPr>
          <w:rFonts w:ascii="宋体" w:hAnsi="宋体" w:eastAsia="宋体"/>
        </w:rPr>
        <w:t>4.8.1.3</w:t>
      </w:r>
      <w:r>
        <w:rPr>
          <w:rFonts w:hint="eastAsia" w:ascii="宋体" w:hAnsi="宋体" w:eastAsia="宋体"/>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pPr>
        <w:pStyle w:val="11"/>
        <w:snapToGrid w:val="0"/>
        <w:spacing w:line="460" w:lineRule="exact"/>
        <w:rPr>
          <w:rFonts w:ascii="宋体" w:hAnsi="宋体" w:eastAsia="宋体"/>
          <w:b/>
        </w:rPr>
      </w:pPr>
      <w:r>
        <w:rPr>
          <w:rFonts w:ascii="宋体" w:hAnsi="宋体" w:eastAsia="宋体"/>
          <w:b/>
        </w:rPr>
        <w:t>4.8.2</w:t>
      </w:r>
      <w:r>
        <w:rPr>
          <w:rFonts w:hint="eastAsia" w:ascii="宋体" w:hAnsi="宋体" w:eastAsia="宋体"/>
          <w:b/>
        </w:rPr>
        <w:t>运输要求</w:t>
      </w:r>
    </w:p>
    <w:p>
      <w:pPr>
        <w:pStyle w:val="11"/>
        <w:snapToGrid w:val="0"/>
        <w:spacing w:line="460" w:lineRule="exact"/>
        <w:rPr>
          <w:rFonts w:ascii="宋体" w:hAnsi="宋体" w:eastAsia="宋体"/>
        </w:rPr>
      </w:pPr>
      <w:r>
        <w:rPr>
          <w:rFonts w:ascii="宋体" w:hAnsi="宋体" w:eastAsia="宋体"/>
        </w:rPr>
        <w:t>4.8.2.1</w:t>
      </w:r>
      <w:r>
        <w:rPr>
          <w:rFonts w:hint="eastAsia" w:ascii="宋体" w:hAnsi="宋体" w:eastAsia="宋体"/>
        </w:rPr>
        <w:t>设备运输在运输途中需做好防护措施，不得有任何损伤。</w:t>
      </w:r>
    </w:p>
    <w:p>
      <w:pPr>
        <w:pStyle w:val="11"/>
        <w:snapToGrid w:val="0"/>
        <w:spacing w:line="460" w:lineRule="exact"/>
        <w:rPr>
          <w:rFonts w:ascii="宋体" w:hAnsi="宋体" w:eastAsia="宋体"/>
          <w:b/>
        </w:rPr>
      </w:pPr>
      <w:r>
        <w:rPr>
          <w:rFonts w:ascii="宋体" w:hAnsi="宋体" w:eastAsia="宋体"/>
          <w:b/>
        </w:rPr>
        <w:t>4.8.3</w:t>
      </w:r>
      <w:r>
        <w:rPr>
          <w:rFonts w:hint="eastAsia" w:ascii="宋体" w:hAnsi="宋体" w:eastAsia="宋体"/>
          <w:b/>
        </w:rPr>
        <w:t>验证要求</w:t>
      </w:r>
    </w:p>
    <w:p>
      <w:pPr>
        <w:pStyle w:val="11"/>
        <w:snapToGrid w:val="0"/>
        <w:spacing w:line="460" w:lineRule="exact"/>
        <w:rPr>
          <w:rFonts w:ascii="宋体" w:hAnsi="宋体" w:eastAsia="宋体"/>
        </w:rPr>
      </w:pPr>
      <w:r>
        <w:rPr>
          <w:rFonts w:ascii="宋体" w:hAnsi="宋体" w:eastAsia="宋体"/>
        </w:rPr>
        <w:t>4.8.3.1</w:t>
      </w:r>
      <w:r>
        <w:rPr>
          <w:rFonts w:hint="eastAsia" w:ascii="宋体" w:hAnsi="宋体" w:eastAsia="宋体"/>
        </w:rPr>
        <w:t>验证包括</w:t>
      </w:r>
      <w:r>
        <w:rPr>
          <w:rFonts w:ascii="宋体" w:hAnsi="宋体" w:eastAsia="宋体"/>
        </w:rPr>
        <w:t>DQ</w:t>
      </w:r>
      <w:r>
        <w:rPr>
          <w:rFonts w:hint="eastAsia" w:ascii="宋体" w:hAnsi="宋体" w:eastAsia="宋体"/>
        </w:rPr>
        <w:t>、</w:t>
      </w:r>
      <w:r>
        <w:rPr>
          <w:rFonts w:ascii="宋体" w:hAnsi="宋体" w:eastAsia="宋体"/>
        </w:rPr>
        <w:t>IQ</w:t>
      </w:r>
      <w:r>
        <w:rPr>
          <w:rFonts w:hint="eastAsia" w:ascii="宋体" w:hAnsi="宋体" w:eastAsia="宋体"/>
        </w:rPr>
        <w:t>、</w:t>
      </w:r>
      <w:r>
        <w:rPr>
          <w:rFonts w:ascii="宋体" w:hAnsi="宋体" w:eastAsia="宋体"/>
        </w:rPr>
        <w:t>OQ</w:t>
      </w:r>
      <w:bookmarkStart w:id="31" w:name="_Hlk523413321"/>
      <w:r>
        <w:rPr>
          <w:rFonts w:hint="eastAsia" w:ascii="宋体" w:hAnsi="宋体" w:eastAsia="宋体"/>
        </w:rPr>
        <w:t>、P</w:t>
      </w:r>
      <w:r>
        <w:rPr>
          <w:rFonts w:ascii="宋体" w:hAnsi="宋体" w:eastAsia="宋体"/>
        </w:rPr>
        <w:t>Q</w:t>
      </w:r>
      <w:bookmarkEnd w:id="31"/>
      <w:r>
        <w:rPr>
          <w:rFonts w:hint="eastAsia" w:ascii="宋体" w:hAnsi="宋体" w:eastAsia="宋体"/>
        </w:rPr>
        <w:t>。</w:t>
      </w:r>
    </w:p>
    <w:p>
      <w:pPr>
        <w:pStyle w:val="11"/>
        <w:snapToGrid w:val="0"/>
        <w:spacing w:line="460" w:lineRule="exact"/>
        <w:rPr>
          <w:rFonts w:ascii="宋体" w:hAnsi="宋体" w:eastAsia="宋体"/>
        </w:rPr>
      </w:pPr>
      <w:r>
        <w:rPr>
          <w:rFonts w:ascii="宋体" w:hAnsi="宋体" w:eastAsia="宋体"/>
        </w:rPr>
        <w:t>4.8.3.2</w:t>
      </w:r>
      <w:r>
        <w:rPr>
          <w:rFonts w:hint="eastAsia" w:ascii="宋体" w:hAnsi="宋体" w:eastAsia="宋体"/>
        </w:rPr>
        <w:t>投标方按</w:t>
      </w:r>
      <w:r>
        <w:rPr>
          <w:rFonts w:ascii="宋体" w:hAnsi="宋体" w:eastAsia="宋体"/>
        </w:rPr>
        <w:t>GMP</w:t>
      </w:r>
      <w:r>
        <w:rPr>
          <w:rFonts w:hint="eastAsia" w:ascii="宋体" w:hAnsi="宋体" w:eastAsia="宋体"/>
        </w:rPr>
        <w:t>规范及设备相关法规完成</w:t>
      </w:r>
      <w:r>
        <w:rPr>
          <w:rFonts w:ascii="宋体" w:hAnsi="宋体" w:eastAsia="宋体"/>
        </w:rPr>
        <w:t>DQ</w:t>
      </w:r>
      <w:r>
        <w:rPr>
          <w:rFonts w:hint="eastAsia" w:ascii="宋体" w:hAnsi="宋体" w:eastAsia="宋体"/>
        </w:rPr>
        <w:t>、</w:t>
      </w:r>
      <w:r>
        <w:rPr>
          <w:rFonts w:ascii="宋体" w:hAnsi="宋体" w:eastAsia="宋体"/>
        </w:rPr>
        <w:t>IQ</w:t>
      </w:r>
      <w:r>
        <w:rPr>
          <w:rFonts w:hint="eastAsia" w:ascii="宋体" w:hAnsi="宋体" w:eastAsia="宋体"/>
        </w:rPr>
        <w:t>、</w:t>
      </w:r>
      <w:r>
        <w:rPr>
          <w:rFonts w:ascii="宋体" w:hAnsi="宋体" w:eastAsia="宋体"/>
        </w:rPr>
        <w:t>OQ、</w:t>
      </w:r>
      <w:r>
        <w:rPr>
          <w:rFonts w:hint="eastAsia" w:ascii="宋体" w:hAnsi="宋体" w:eastAsia="宋体"/>
        </w:rPr>
        <w:t>P</w:t>
      </w:r>
      <w:r>
        <w:rPr>
          <w:rFonts w:ascii="宋体" w:hAnsi="宋体" w:eastAsia="宋体"/>
        </w:rPr>
        <w:t>Q</w:t>
      </w:r>
      <w:r>
        <w:rPr>
          <w:rFonts w:hint="eastAsia" w:ascii="宋体" w:hAnsi="宋体" w:eastAsia="宋体"/>
        </w:rPr>
        <w:t>工作，并提供相应文件（文件必须无条件符合我公司</w:t>
      </w:r>
      <w:r>
        <w:rPr>
          <w:rFonts w:ascii="宋体" w:hAnsi="宋体" w:eastAsia="宋体"/>
        </w:rPr>
        <w:t>QA</w:t>
      </w:r>
      <w:r>
        <w:rPr>
          <w:rFonts w:hint="eastAsia" w:ascii="宋体" w:hAnsi="宋体" w:eastAsia="宋体"/>
        </w:rPr>
        <w:t>要求）。各验证工作开始前验证方案需经过本公司相关部门审核，并经质量保证室批准。</w:t>
      </w:r>
    </w:p>
    <w:p>
      <w:pPr>
        <w:pStyle w:val="11"/>
        <w:snapToGrid w:val="0"/>
        <w:spacing w:line="460" w:lineRule="exact"/>
        <w:rPr>
          <w:rFonts w:ascii="宋体" w:hAnsi="宋体" w:eastAsia="宋体"/>
        </w:rPr>
      </w:pPr>
      <w:r>
        <w:rPr>
          <w:rFonts w:ascii="宋体" w:hAnsi="宋体" w:eastAsia="宋体"/>
        </w:rPr>
        <w:t>4.8.3.3</w:t>
      </w:r>
      <w:r>
        <w:rPr>
          <w:rFonts w:hint="eastAsia" w:ascii="宋体" w:hAnsi="宋体" w:eastAsia="宋体"/>
        </w:rPr>
        <w:t>验证工作应按时保质完成，供应商需提供验证工作计划表。</w:t>
      </w:r>
    </w:p>
    <w:p>
      <w:pPr>
        <w:pStyle w:val="11"/>
        <w:snapToGrid w:val="0"/>
        <w:spacing w:line="460" w:lineRule="exact"/>
        <w:rPr>
          <w:rFonts w:ascii="宋体" w:hAnsi="宋体" w:eastAsia="宋体"/>
        </w:rPr>
      </w:pPr>
      <w:r>
        <w:rPr>
          <w:rFonts w:ascii="宋体" w:hAnsi="宋体" w:eastAsia="宋体"/>
        </w:rPr>
        <w:t>4.8.3.4</w:t>
      </w:r>
      <w:r>
        <w:rPr>
          <w:rFonts w:hint="eastAsia" w:ascii="宋体" w:hAnsi="宋体" w:eastAsia="宋体"/>
        </w:rPr>
        <w:t>验证项目应包含法规要求的测试项目，以及本公司提出的测试项目。</w:t>
      </w:r>
    </w:p>
    <w:p>
      <w:pPr>
        <w:pStyle w:val="11"/>
        <w:snapToGrid w:val="0"/>
        <w:spacing w:line="460" w:lineRule="exact"/>
        <w:rPr>
          <w:rFonts w:ascii="宋体" w:hAnsi="宋体" w:eastAsia="宋体"/>
        </w:rPr>
      </w:pPr>
      <w:r>
        <w:rPr>
          <w:rFonts w:ascii="宋体" w:hAnsi="宋体" w:eastAsia="宋体"/>
        </w:rPr>
        <w:t>4.8.3.5</w:t>
      </w:r>
      <w:r>
        <w:rPr>
          <w:rFonts w:hint="eastAsia" w:ascii="宋体" w:hAnsi="宋体" w:eastAsia="宋体"/>
        </w:rPr>
        <w:t>验证工作完成后，验证记录经本公司相关部门审核，并经质量保证室批准。</w:t>
      </w:r>
    </w:p>
    <w:p>
      <w:pPr>
        <w:pStyle w:val="11"/>
        <w:snapToGrid w:val="0"/>
        <w:spacing w:line="460" w:lineRule="exact"/>
        <w:rPr>
          <w:rFonts w:ascii="宋体" w:hAnsi="宋体" w:eastAsia="宋体"/>
        </w:rPr>
      </w:pPr>
      <w:r>
        <w:rPr>
          <w:rFonts w:ascii="宋体" w:hAnsi="宋体" w:eastAsia="宋体"/>
        </w:rPr>
        <w:t>4.8.3.6</w:t>
      </w:r>
      <w:r>
        <w:rPr>
          <w:rFonts w:hint="eastAsia" w:ascii="宋体" w:hAnsi="宋体" w:eastAsia="宋体"/>
        </w:rPr>
        <w:t>验收前，验证工作已成功完成，验证最终报告已经本公司相关部门审核，并经质量保证室批准。</w:t>
      </w:r>
    </w:p>
    <w:p>
      <w:pPr>
        <w:pStyle w:val="11"/>
        <w:snapToGrid w:val="0"/>
        <w:spacing w:line="460" w:lineRule="exact"/>
        <w:rPr>
          <w:rFonts w:ascii="宋体" w:hAnsi="宋体" w:eastAsia="宋体"/>
          <w:b/>
        </w:rPr>
      </w:pPr>
      <w:r>
        <w:rPr>
          <w:rFonts w:ascii="宋体" w:hAnsi="宋体" w:eastAsia="宋体"/>
          <w:b/>
        </w:rPr>
        <w:t>4.8.4</w:t>
      </w:r>
      <w:r>
        <w:rPr>
          <w:rFonts w:hint="eastAsia" w:ascii="宋体" w:hAnsi="宋体" w:eastAsia="宋体"/>
          <w:b/>
        </w:rPr>
        <w:t>售后服务及备件要求</w:t>
      </w:r>
    </w:p>
    <w:p>
      <w:pPr>
        <w:pStyle w:val="11"/>
        <w:snapToGrid w:val="0"/>
        <w:spacing w:line="460" w:lineRule="exact"/>
        <w:rPr>
          <w:rFonts w:ascii="宋体" w:hAnsi="宋体" w:eastAsia="宋体"/>
        </w:rPr>
      </w:pPr>
      <w:r>
        <w:rPr>
          <w:rFonts w:ascii="宋体" w:hAnsi="宋体" w:eastAsia="宋体"/>
        </w:rPr>
        <w:t>4.8.4.1</w:t>
      </w:r>
      <w:r>
        <w:rPr>
          <w:rFonts w:hint="eastAsia" w:ascii="宋体" w:hAnsi="宋体" w:eastAsia="宋体"/>
        </w:rPr>
        <w:t>设备保质期从确认验收文件签署之后开始计算。</w:t>
      </w:r>
    </w:p>
    <w:p>
      <w:pPr>
        <w:pStyle w:val="11"/>
        <w:snapToGrid w:val="0"/>
        <w:spacing w:line="460" w:lineRule="exact"/>
        <w:rPr>
          <w:rFonts w:ascii="宋体" w:hAnsi="宋体" w:eastAsia="宋体"/>
        </w:rPr>
      </w:pPr>
      <w:r>
        <w:rPr>
          <w:rFonts w:ascii="宋体" w:hAnsi="宋体" w:eastAsia="宋体"/>
        </w:rPr>
        <w:t>4.8.4.2</w:t>
      </w:r>
      <w:r>
        <w:rPr>
          <w:rFonts w:hint="eastAsia" w:ascii="宋体" w:hAnsi="宋体" w:eastAsia="宋体"/>
        </w:rPr>
        <w:t>设备质保期为一年以上，保质期内免费保修并免费更换所有配件，保质期后应提供良好的售后服务。</w:t>
      </w:r>
    </w:p>
    <w:p>
      <w:pPr>
        <w:pStyle w:val="11"/>
        <w:snapToGrid w:val="0"/>
        <w:spacing w:line="460" w:lineRule="exact"/>
        <w:rPr>
          <w:rFonts w:ascii="宋体" w:hAnsi="宋体" w:eastAsia="宋体"/>
        </w:rPr>
      </w:pPr>
      <w:r>
        <w:rPr>
          <w:rFonts w:ascii="宋体" w:hAnsi="宋体" w:eastAsia="宋体"/>
        </w:rPr>
        <w:t>4.8.4.3</w:t>
      </w:r>
      <w:r>
        <w:rPr>
          <w:rFonts w:hint="eastAsia" w:ascii="宋体" w:hAnsi="宋体" w:eastAsia="宋体"/>
        </w:rPr>
        <w:t>售后服务必须响应及时，要求设备出现须厂家维修的故障后，应在</w:t>
      </w:r>
      <w:r>
        <w:rPr>
          <w:rFonts w:ascii="宋体" w:hAnsi="宋体" w:eastAsia="宋体"/>
        </w:rPr>
        <w:t>4</w:t>
      </w:r>
      <w:r>
        <w:rPr>
          <w:rFonts w:hint="eastAsia" w:ascii="宋体" w:hAnsi="宋体" w:eastAsia="宋体"/>
        </w:rPr>
        <w:t>小时内明确答复，当电话沟通无法解决时，须</w:t>
      </w:r>
      <w:r>
        <w:rPr>
          <w:rFonts w:ascii="宋体" w:hAnsi="宋体" w:eastAsia="宋体"/>
        </w:rPr>
        <w:t>48</w:t>
      </w:r>
      <w:r>
        <w:rPr>
          <w:rFonts w:hint="eastAsia" w:ascii="宋体" w:hAnsi="宋体" w:eastAsia="宋体"/>
        </w:rPr>
        <w:t>小时内派人至现场解决。</w:t>
      </w:r>
    </w:p>
    <w:p>
      <w:pPr>
        <w:pStyle w:val="11"/>
        <w:snapToGrid w:val="0"/>
        <w:spacing w:line="460" w:lineRule="exact"/>
        <w:rPr>
          <w:rFonts w:ascii="宋体" w:hAnsi="宋体" w:eastAsia="宋体"/>
        </w:rPr>
      </w:pPr>
      <w:r>
        <w:rPr>
          <w:rFonts w:ascii="宋体" w:hAnsi="宋体" w:eastAsia="宋体"/>
        </w:rPr>
        <w:t>4.8.4.4</w:t>
      </w:r>
      <w:r>
        <w:rPr>
          <w:rFonts w:hint="eastAsia" w:ascii="宋体" w:hAnsi="宋体" w:eastAsia="宋体"/>
        </w:rPr>
        <w:t>免费保修期后，厂家应终生提供及时的维修、维护，厂家应定期回访，解决设备运行当中可能出现的疑问，排除潜在故障，使设备保持良好工作状态。</w:t>
      </w:r>
    </w:p>
    <w:p>
      <w:pPr>
        <w:pStyle w:val="11"/>
        <w:snapToGrid w:val="0"/>
        <w:spacing w:line="460" w:lineRule="exact"/>
        <w:rPr>
          <w:rFonts w:ascii="宋体" w:hAnsi="宋体" w:eastAsia="宋体"/>
        </w:rPr>
      </w:pPr>
      <w:r>
        <w:rPr>
          <w:rFonts w:ascii="宋体" w:hAnsi="宋体" w:eastAsia="宋体"/>
        </w:rPr>
        <w:t>4.8.4.5</w:t>
      </w:r>
      <w:r>
        <w:rPr>
          <w:rFonts w:hint="eastAsia" w:ascii="宋体" w:hAnsi="宋体" w:eastAsia="宋体"/>
        </w:rPr>
        <w:t>厂家应提供合格的备件，用于设备相应部件的维修、更换。</w:t>
      </w:r>
      <w:bookmarkStart w:id="32" w:name="_Hlk523495839"/>
    </w:p>
    <w:bookmarkEnd w:id="32"/>
    <w:p>
      <w:pPr>
        <w:pStyle w:val="11"/>
        <w:snapToGrid w:val="0"/>
        <w:spacing w:line="460" w:lineRule="exact"/>
        <w:rPr>
          <w:rFonts w:ascii="宋体" w:hAnsi="宋体" w:eastAsia="宋体"/>
          <w:b/>
        </w:rPr>
      </w:pPr>
      <w:r>
        <w:rPr>
          <w:rFonts w:ascii="宋体" w:hAnsi="宋体" w:eastAsia="宋体"/>
          <w:b/>
        </w:rPr>
        <w:t>4.8.5</w:t>
      </w:r>
      <w:r>
        <w:rPr>
          <w:rFonts w:hint="eastAsia" w:ascii="宋体" w:hAnsi="宋体" w:eastAsia="宋体"/>
          <w:b/>
        </w:rPr>
        <w:t>验收要求</w:t>
      </w:r>
    </w:p>
    <w:p>
      <w:pPr>
        <w:pStyle w:val="11"/>
        <w:snapToGrid w:val="0"/>
        <w:spacing w:line="460" w:lineRule="exact"/>
        <w:rPr>
          <w:rFonts w:ascii="宋体" w:hAnsi="宋体" w:eastAsia="宋体"/>
        </w:rPr>
      </w:pPr>
      <w:r>
        <w:rPr>
          <w:rFonts w:ascii="宋体" w:hAnsi="宋体" w:eastAsia="宋体"/>
        </w:rPr>
        <w:t>4.8.5.1</w:t>
      </w:r>
      <w:r>
        <w:rPr>
          <w:rFonts w:hint="eastAsia" w:ascii="宋体" w:hAnsi="宋体" w:eastAsia="宋体"/>
        </w:rPr>
        <w:t>货物到达买方使用现场后，由买卖双方共同验收，卖方工程师免费为买方提供调试。</w:t>
      </w:r>
    </w:p>
    <w:p>
      <w:pPr>
        <w:pStyle w:val="11"/>
        <w:snapToGrid w:val="0"/>
        <w:spacing w:line="460" w:lineRule="exact"/>
        <w:rPr>
          <w:rFonts w:ascii="宋体" w:hAnsi="宋体" w:eastAsia="宋体"/>
        </w:rPr>
      </w:pPr>
      <w:r>
        <w:rPr>
          <w:rFonts w:ascii="宋体" w:hAnsi="宋体" w:eastAsia="宋体"/>
        </w:rPr>
        <w:t>4.8.5.2</w:t>
      </w:r>
      <w:r>
        <w:rPr>
          <w:rFonts w:hint="eastAsia" w:ascii="宋体" w:hAnsi="宋体" w:eastAsia="宋体"/>
        </w:rPr>
        <w:t>供应商进厂安装需遵守安全和安装规定。</w:t>
      </w:r>
    </w:p>
    <w:p>
      <w:pPr>
        <w:pStyle w:val="11"/>
        <w:snapToGrid w:val="0"/>
        <w:spacing w:line="460" w:lineRule="exact"/>
        <w:rPr>
          <w:rFonts w:ascii="宋体" w:hAnsi="宋体" w:eastAsia="宋体"/>
        </w:rPr>
      </w:pPr>
      <w:r>
        <w:rPr>
          <w:rFonts w:ascii="宋体" w:hAnsi="宋体" w:eastAsia="宋体"/>
        </w:rPr>
        <w:t>4.8.5.3</w:t>
      </w:r>
      <w:r>
        <w:rPr>
          <w:rFonts w:hint="eastAsia" w:ascii="宋体" w:hAnsi="宋体" w:eastAsia="宋体"/>
        </w:rPr>
        <w:t>确认调试验收合格后，买卖双方签订验收报告。</w:t>
      </w:r>
    </w:p>
    <w:p>
      <w:pPr>
        <w:pStyle w:val="11"/>
        <w:snapToGrid w:val="0"/>
        <w:spacing w:line="460" w:lineRule="exact"/>
        <w:rPr>
          <w:rFonts w:ascii="宋体" w:hAnsi="宋体" w:eastAsia="宋体"/>
          <w:b/>
        </w:rPr>
      </w:pPr>
      <w:r>
        <w:rPr>
          <w:rFonts w:ascii="宋体" w:hAnsi="宋体" w:eastAsia="宋体"/>
          <w:b/>
        </w:rPr>
        <w:t>4.8.6</w:t>
      </w:r>
      <w:r>
        <w:rPr>
          <w:rFonts w:hint="eastAsia" w:ascii="宋体" w:hAnsi="宋体" w:eastAsia="宋体"/>
          <w:b/>
        </w:rPr>
        <w:t>其他要求</w:t>
      </w:r>
    </w:p>
    <w:p>
      <w:pPr>
        <w:pStyle w:val="11"/>
        <w:snapToGrid w:val="0"/>
        <w:spacing w:line="460" w:lineRule="exact"/>
        <w:rPr>
          <w:rFonts w:ascii="宋体" w:hAnsi="宋体" w:eastAsia="宋体"/>
        </w:rPr>
      </w:pPr>
      <w:r>
        <w:rPr>
          <w:rFonts w:ascii="宋体" w:hAnsi="宋体" w:eastAsia="宋体"/>
        </w:rPr>
        <w:t>4.8.6.1</w:t>
      </w:r>
      <w:r>
        <w:rPr>
          <w:rFonts w:hint="eastAsia" w:ascii="宋体" w:hAnsi="宋体" w:eastAsia="宋体"/>
        </w:rPr>
        <w:t>设备交货要求：合同签订后3个月内。</w:t>
      </w:r>
      <w:bookmarkStart w:id="33" w:name="_Toc361310630"/>
    </w:p>
    <w:p>
      <w:pPr>
        <w:pStyle w:val="11"/>
        <w:snapToGrid w:val="0"/>
        <w:spacing w:line="460" w:lineRule="exact"/>
        <w:outlineLvl w:val="0"/>
        <w:rPr>
          <w:rFonts w:ascii="宋体" w:hAnsi="宋体" w:eastAsia="宋体"/>
          <w:szCs w:val="28"/>
        </w:rPr>
      </w:pPr>
      <w:bookmarkStart w:id="34" w:name="_Toc50632369"/>
      <w:r>
        <w:rPr>
          <w:rFonts w:ascii="宋体" w:hAnsi="宋体" w:eastAsia="宋体"/>
          <w:b/>
          <w:szCs w:val="28"/>
        </w:rPr>
        <w:t>5.</w:t>
      </w:r>
      <w:r>
        <w:rPr>
          <w:rFonts w:hint="eastAsia" w:ascii="宋体" w:hAnsi="宋体" w:eastAsia="宋体"/>
          <w:b/>
          <w:szCs w:val="28"/>
        </w:rPr>
        <w:t>附件</w:t>
      </w:r>
      <w:bookmarkEnd w:id="33"/>
      <w:bookmarkEnd w:id="34"/>
    </w:p>
    <w:p>
      <w:pPr>
        <w:pStyle w:val="11"/>
        <w:snapToGrid w:val="0"/>
        <w:spacing w:line="460" w:lineRule="exact"/>
        <w:rPr>
          <w:rFonts w:ascii="宋体" w:hAnsi="宋体" w:eastAsia="宋体"/>
        </w:rPr>
      </w:pPr>
      <w:r>
        <w:rPr>
          <w:rFonts w:ascii="宋体" w:hAnsi="宋体" w:eastAsia="宋体"/>
        </w:rPr>
        <w:t>5.1 N/A</w:t>
      </w:r>
    </w:p>
    <w:sectPr>
      <w:headerReference r:id="rId4" w:type="default"/>
      <w:footerReference r:id="rId5" w:type="default"/>
      <w:pgSz w:w="11906" w:h="16838"/>
      <w:pgMar w:top="1134" w:right="1274" w:bottom="1134" w:left="1276"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8"/>
      <w:ind w:right="-281" w:rightChars="-134"/>
      <w:jc w:val="center"/>
    </w:pPr>
    <w:r>
      <w:rPr>
        <w:rFonts w:ascii="Times New Roman" w:hAnsi="Times New Roman" w:eastAsia="宋体" w:cs="Times New Roman"/>
        <w:kern w:val="2"/>
        <w:sz w:val="18"/>
        <w:szCs w:val="18"/>
        <w:lang w:val="en-US" w:eastAsia="zh-CN" w:bidi="ar-SA"/>
      </w:rPr>
      <w:pict>
        <v:line id="直线 3" o:spid="_x0000_s1025" style="position:absolute;left:0;margin-left:0pt;margin-top:0.05pt;height:0.05pt;width:477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05438889">
    <w:nsid w:val="1E2062A9"/>
    <w:multiLevelType w:val="multilevel"/>
    <w:tmpl w:val="1E2062A9"/>
    <w:lvl w:ilvl="0" w:tentative="1">
      <w:start w:val="1"/>
      <w:numFmt w:val="decimal"/>
      <w:pStyle w:val="2"/>
      <w:lvlText w:val="%1"/>
      <w:lvlJc w:val="left"/>
      <w:pPr>
        <w:tabs>
          <w:tab w:val="left" w:pos="851"/>
        </w:tabs>
        <w:ind w:left="851" w:hanging="851"/>
      </w:pPr>
      <w:rPr>
        <w:rFonts w:ascii="Arial" w:hAnsi="Arial" w:eastAsia="宋体" w:cs="Times New Roman"/>
        <w:b/>
        <w:bCs/>
        <w:i w:val="0"/>
        <w:iCs w:val="0"/>
        <w:caps/>
        <w:smallCaps w:val="0"/>
        <w:strike w:val="0"/>
        <w:dstrike w:val="0"/>
        <w:color w:val="000000"/>
        <w:spacing w:val="0"/>
        <w:w w:val="100"/>
        <w:kern w:val="0"/>
        <w:position w:val="0"/>
        <w:sz w:val="24"/>
        <w:u w:val="none"/>
      </w:rPr>
    </w:lvl>
    <w:lvl w:ilvl="1" w:tentative="1">
      <w:start w:val="1"/>
      <w:numFmt w:val="decimal"/>
      <w:pStyle w:val="4"/>
      <w:lvlText w:val="%1.%2"/>
      <w:lvlJc w:val="left"/>
      <w:pPr>
        <w:tabs>
          <w:tab w:val="left" w:pos="851"/>
        </w:tabs>
        <w:ind w:left="851" w:hanging="851"/>
      </w:pPr>
      <w:rPr>
        <w:rFonts w:hint="default" w:ascii="Times New Roman" w:hAnsi="Times New Roman" w:cs="Times New Roman"/>
        <w:b/>
        <w:i w:val="0"/>
        <w:sz w:val="24"/>
        <w:szCs w:val="24"/>
      </w:rPr>
    </w:lvl>
    <w:lvl w:ilvl="2" w:tentative="1">
      <w:start w:val="1"/>
      <w:numFmt w:val="decimal"/>
      <w:pStyle w:val="5"/>
      <w:lvlText w:val="%1.%2.%3"/>
      <w:lvlJc w:val="left"/>
      <w:pPr>
        <w:tabs>
          <w:tab w:val="left" w:pos="851"/>
        </w:tabs>
        <w:ind w:left="851" w:hanging="851"/>
      </w:pPr>
      <w:rPr>
        <w:rFonts w:hint="default" w:ascii="Times New Roman" w:hAnsi="Times New Roman" w:eastAsia="宋体" w:cs="Times New Roman"/>
        <w:b/>
        <w:i w:val="0"/>
        <w:sz w:val="24"/>
        <w:szCs w:val="24"/>
      </w:rPr>
    </w:lvl>
    <w:lvl w:ilvl="3" w:tentative="1">
      <w:start w:val="1"/>
      <w:numFmt w:val="decimal"/>
      <w:pStyle w:val="6"/>
      <w:lvlText w:val="%1.%2.%3.%4"/>
      <w:lvlJc w:val="left"/>
      <w:pPr>
        <w:tabs>
          <w:tab w:val="left" w:pos="851"/>
        </w:tabs>
        <w:ind w:left="851" w:hanging="851"/>
      </w:pPr>
      <w:rPr>
        <w:rFonts w:hint="default" w:ascii="Tahoma" w:hAnsi="Tahoma" w:cs="Times New Roman"/>
        <w:b/>
        <w:i w:val="0"/>
        <w:sz w:val="16"/>
      </w:rPr>
    </w:lvl>
    <w:lvl w:ilvl="4" w:tentative="1">
      <w:start w:val="1"/>
      <w:numFmt w:val="decimal"/>
      <w:lvlText w:val="%1.%2.%3.%4.%5"/>
      <w:lvlJc w:val="left"/>
      <w:pPr>
        <w:tabs>
          <w:tab w:val="left" w:pos="1008"/>
        </w:tabs>
        <w:ind w:left="1008" w:hanging="1008"/>
      </w:pPr>
      <w:rPr>
        <w:rFonts w:hint="default" w:cs="Times New Roman"/>
      </w:rPr>
    </w:lvl>
    <w:lvl w:ilvl="5" w:tentative="1">
      <w:start w:val="1"/>
      <w:numFmt w:val="decimal"/>
      <w:lvlText w:val="%1.%2.%3.%4.%5.%6"/>
      <w:lvlJc w:val="left"/>
      <w:pPr>
        <w:tabs>
          <w:tab w:val="left" w:pos="1152"/>
        </w:tabs>
        <w:ind w:left="1152" w:hanging="1152"/>
      </w:pPr>
      <w:rPr>
        <w:rFonts w:hint="default" w:cs="Times New Roman"/>
      </w:rPr>
    </w:lvl>
    <w:lvl w:ilvl="6" w:tentative="1">
      <w:start w:val="1"/>
      <w:numFmt w:val="decimal"/>
      <w:lvlText w:val="%1.%2.%3.%4.%5.%6.%7"/>
      <w:lvlJc w:val="left"/>
      <w:pPr>
        <w:tabs>
          <w:tab w:val="left" w:pos="1296"/>
        </w:tabs>
        <w:ind w:left="1296" w:hanging="1296"/>
      </w:pPr>
      <w:rPr>
        <w:rFonts w:hint="default" w:cs="Times New Roman"/>
      </w:rPr>
    </w:lvl>
    <w:lvl w:ilvl="7" w:tentative="1">
      <w:start w:val="1"/>
      <w:numFmt w:val="decimal"/>
      <w:lvlText w:val="%1.%2.%3.%4.%5.%6.%7.%8"/>
      <w:lvlJc w:val="left"/>
      <w:pPr>
        <w:tabs>
          <w:tab w:val="left" w:pos="1440"/>
        </w:tabs>
        <w:ind w:left="1440" w:hanging="1440"/>
      </w:pPr>
      <w:rPr>
        <w:rFonts w:hint="default" w:cs="Times New Roman"/>
      </w:rPr>
    </w:lvl>
    <w:lvl w:ilvl="8" w:tentative="1">
      <w:start w:val="1"/>
      <w:numFmt w:val="decimal"/>
      <w:lvlText w:val="%1.%2.%3.%4.%5.%6.%7.%8.%9"/>
      <w:lvlJc w:val="left"/>
      <w:pPr>
        <w:tabs>
          <w:tab w:val="left" w:pos="1584"/>
        </w:tabs>
        <w:ind w:left="1584" w:hanging="1584"/>
      </w:pPr>
      <w:rPr>
        <w:rFonts w:hint="default" w:cs="Times New Roman"/>
      </w:rPr>
    </w:lvl>
  </w:abstractNum>
  <w:num w:numId="1">
    <w:abstractNumId w:val="5054388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114C8"/>
    <w:rsid w:val="00016CCB"/>
    <w:rsid w:val="00022008"/>
    <w:rsid w:val="0002698D"/>
    <w:rsid w:val="00037120"/>
    <w:rsid w:val="00041C16"/>
    <w:rsid w:val="00051FD9"/>
    <w:rsid w:val="00053620"/>
    <w:rsid w:val="00057F53"/>
    <w:rsid w:val="000641ED"/>
    <w:rsid w:val="00074A7B"/>
    <w:rsid w:val="0007598A"/>
    <w:rsid w:val="00077B5D"/>
    <w:rsid w:val="000A6FCB"/>
    <w:rsid w:val="000B51D6"/>
    <w:rsid w:val="000C14F7"/>
    <w:rsid w:val="000E38C8"/>
    <w:rsid w:val="000F2856"/>
    <w:rsid w:val="00111695"/>
    <w:rsid w:val="00125E75"/>
    <w:rsid w:val="00133E95"/>
    <w:rsid w:val="00134795"/>
    <w:rsid w:val="001441D5"/>
    <w:rsid w:val="00146EF9"/>
    <w:rsid w:val="0015049D"/>
    <w:rsid w:val="00156A2F"/>
    <w:rsid w:val="00161BCD"/>
    <w:rsid w:val="00172A27"/>
    <w:rsid w:val="001802E0"/>
    <w:rsid w:val="00185777"/>
    <w:rsid w:val="00186B57"/>
    <w:rsid w:val="0019549E"/>
    <w:rsid w:val="00195E17"/>
    <w:rsid w:val="001D0E5A"/>
    <w:rsid w:val="001D3EC5"/>
    <w:rsid w:val="001E2E8D"/>
    <w:rsid w:val="001E7A9A"/>
    <w:rsid w:val="001F7187"/>
    <w:rsid w:val="0020162E"/>
    <w:rsid w:val="0021438A"/>
    <w:rsid w:val="00217F8F"/>
    <w:rsid w:val="00223BDD"/>
    <w:rsid w:val="002330DF"/>
    <w:rsid w:val="00256FC0"/>
    <w:rsid w:val="002628BA"/>
    <w:rsid w:val="00267022"/>
    <w:rsid w:val="00275D2D"/>
    <w:rsid w:val="00285460"/>
    <w:rsid w:val="0028562F"/>
    <w:rsid w:val="002A062F"/>
    <w:rsid w:val="002A255E"/>
    <w:rsid w:val="002A66D6"/>
    <w:rsid w:val="002B304B"/>
    <w:rsid w:val="002B6B61"/>
    <w:rsid w:val="002C2C99"/>
    <w:rsid w:val="002D5462"/>
    <w:rsid w:val="002D56CB"/>
    <w:rsid w:val="002F70EC"/>
    <w:rsid w:val="00301732"/>
    <w:rsid w:val="00303525"/>
    <w:rsid w:val="00311AC7"/>
    <w:rsid w:val="003121A8"/>
    <w:rsid w:val="00312A10"/>
    <w:rsid w:val="0033353C"/>
    <w:rsid w:val="0034634D"/>
    <w:rsid w:val="00347ADE"/>
    <w:rsid w:val="00370F21"/>
    <w:rsid w:val="00374DE8"/>
    <w:rsid w:val="00377189"/>
    <w:rsid w:val="00386697"/>
    <w:rsid w:val="00395E4C"/>
    <w:rsid w:val="003A0E87"/>
    <w:rsid w:val="003A1FFD"/>
    <w:rsid w:val="003B3E17"/>
    <w:rsid w:val="003B663E"/>
    <w:rsid w:val="003B7B65"/>
    <w:rsid w:val="003C28C3"/>
    <w:rsid w:val="003C48E8"/>
    <w:rsid w:val="003D7476"/>
    <w:rsid w:val="003E63CE"/>
    <w:rsid w:val="003E7C2D"/>
    <w:rsid w:val="003F0902"/>
    <w:rsid w:val="0040206D"/>
    <w:rsid w:val="00406B22"/>
    <w:rsid w:val="00411AA3"/>
    <w:rsid w:val="00420991"/>
    <w:rsid w:val="00430A55"/>
    <w:rsid w:val="004445A1"/>
    <w:rsid w:val="004542DD"/>
    <w:rsid w:val="00454A11"/>
    <w:rsid w:val="00455D8D"/>
    <w:rsid w:val="004622E0"/>
    <w:rsid w:val="004635E6"/>
    <w:rsid w:val="00463DD7"/>
    <w:rsid w:val="00470399"/>
    <w:rsid w:val="0048220C"/>
    <w:rsid w:val="004E5790"/>
    <w:rsid w:val="004F1F3B"/>
    <w:rsid w:val="004F67DC"/>
    <w:rsid w:val="004F724A"/>
    <w:rsid w:val="005014B2"/>
    <w:rsid w:val="005115AA"/>
    <w:rsid w:val="00516F7B"/>
    <w:rsid w:val="0052018B"/>
    <w:rsid w:val="0052053C"/>
    <w:rsid w:val="00524598"/>
    <w:rsid w:val="00534DA6"/>
    <w:rsid w:val="00535860"/>
    <w:rsid w:val="0053724B"/>
    <w:rsid w:val="005414A5"/>
    <w:rsid w:val="00542CC2"/>
    <w:rsid w:val="00543BD0"/>
    <w:rsid w:val="00546610"/>
    <w:rsid w:val="005529F0"/>
    <w:rsid w:val="005579F8"/>
    <w:rsid w:val="0056581F"/>
    <w:rsid w:val="00573B3F"/>
    <w:rsid w:val="005761E8"/>
    <w:rsid w:val="0057780D"/>
    <w:rsid w:val="00583C14"/>
    <w:rsid w:val="005B17B7"/>
    <w:rsid w:val="005D7A46"/>
    <w:rsid w:val="005E5107"/>
    <w:rsid w:val="005E5B75"/>
    <w:rsid w:val="005E66BE"/>
    <w:rsid w:val="005F226E"/>
    <w:rsid w:val="005F73CD"/>
    <w:rsid w:val="0060535E"/>
    <w:rsid w:val="00614058"/>
    <w:rsid w:val="00621F98"/>
    <w:rsid w:val="006237DD"/>
    <w:rsid w:val="006443B1"/>
    <w:rsid w:val="006461D0"/>
    <w:rsid w:val="00650257"/>
    <w:rsid w:val="0066483E"/>
    <w:rsid w:val="006651C1"/>
    <w:rsid w:val="006707F9"/>
    <w:rsid w:val="00676809"/>
    <w:rsid w:val="006B5F98"/>
    <w:rsid w:val="006C5761"/>
    <w:rsid w:val="006E1A7C"/>
    <w:rsid w:val="006F06A7"/>
    <w:rsid w:val="006F159A"/>
    <w:rsid w:val="006F6E58"/>
    <w:rsid w:val="0070212C"/>
    <w:rsid w:val="00705650"/>
    <w:rsid w:val="00706B4E"/>
    <w:rsid w:val="00714527"/>
    <w:rsid w:val="00714600"/>
    <w:rsid w:val="00715E25"/>
    <w:rsid w:val="00724539"/>
    <w:rsid w:val="007440E8"/>
    <w:rsid w:val="00746592"/>
    <w:rsid w:val="007574CC"/>
    <w:rsid w:val="00761A39"/>
    <w:rsid w:val="007620DA"/>
    <w:rsid w:val="00762D16"/>
    <w:rsid w:val="0076385A"/>
    <w:rsid w:val="007748AA"/>
    <w:rsid w:val="00776EF6"/>
    <w:rsid w:val="007841A5"/>
    <w:rsid w:val="00786947"/>
    <w:rsid w:val="00787995"/>
    <w:rsid w:val="007942FC"/>
    <w:rsid w:val="00796992"/>
    <w:rsid w:val="007D6D5C"/>
    <w:rsid w:val="007E1B52"/>
    <w:rsid w:val="007E5265"/>
    <w:rsid w:val="007F0C03"/>
    <w:rsid w:val="007F7620"/>
    <w:rsid w:val="00824640"/>
    <w:rsid w:val="00835C88"/>
    <w:rsid w:val="00855512"/>
    <w:rsid w:val="00864CD8"/>
    <w:rsid w:val="008701F6"/>
    <w:rsid w:val="00895132"/>
    <w:rsid w:val="008B7E51"/>
    <w:rsid w:val="008C187F"/>
    <w:rsid w:val="008C27E7"/>
    <w:rsid w:val="008C6C44"/>
    <w:rsid w:val="008E0C93"/>
    <w:rsid w:val="008F540F"/>
    <w:rsid w:val="00902688"/>
    <w:rsid w:val="00904C31"/>
    <w:rsid w:val="0091005D"/>
    <w:rsid w:val="00913357"/>
    <w:rsid w:val="009277B8"/>
    <w:rsid w:val="00934862"/>
    <w:rsid w:val="00940D85"/>
    <w:rsid w:val="00950C44"/>
    <w:rsid w:val="00954AC8"/>
    <w:rsid w:val="00961D50"/>
    <w:rsid w:val="009672ED"/>
    <w:rsid w:val="0097216B"/>
    <w:rsid w:val="00973DFE"/>
    <w:rsid w:val="0097720E"/>
    <w:rsid w:val="009825CE"/>
    <w:rsid w:val="00985815"/>
    <w:rsid w:val="0099221C"/>
    <w:rsid w:val="009B1537"/>
    <w:rsid w:val="009B33F0"/>
    <w:rsid w:val="009D025A"/>
    <w:rsid w:val="009D20BC"/>
    <w:rsid w:val="009D41E0"/>
    <w:rsid w:val="009E57BC"/>
    <w:rsid w:val="009E605B"/>
    <w:rsid w:val="009E7823"/>
    <w:rsid w:val="009F11EC"/>
    <w:rsid w:val="00A02C47"/>
    <w:rsid w:val="00A10428"/>
    <w:rsid w:val="00A3188F"/>
    <w:rsid w:val="00A33905"/>
    <w:rsid w:val="00A502CD"/>
    <w:rsid w:val="00A8140D"/>
    <w:rsid w:val="00A851DA"/>
    <w:rsid w:val="00A8652F"/>
    <w:rsid w:val="00A904AD"/>
    <w:rsid w:val="00AB2994"/>
    <w:rsid w:val="00AB54D2"/>
    <w:rsid w:val="00AC00CC"/>
    <w:rsid w:val="00AC18F8"/>
    <w:rsid w:val="00AC3EA5"/>
    <w:rsid w:val="00AC74F1"/>
    <w:rsid w:val="00AD1175"/>
    <w:rsid w:val="00AE2BA1"/>
    <w:rsid w:val="00AE455D"/>
    <w:rsid w:val="00AF19AC"/>
    <w:rsid w:val="00AF6FB4"/>
    <w:rsid w:val="00B00513"/>
    <w:rsid w:val="00B14613"/>
    <w:rsid w:val="00B2253F"/>
    <w:rsid w:val="00B41EEE"/>
    <w:rsid w:val="00B513AE"/>
    <w:rsid w:val="00B631BA"/>
    <w:rsid w:val="00B75013"/>
    <w:rsid w:val="00B92E9A"/>
    <w:rsid w:val="00B95CB5"/>
    <w:rsid w:val="00BA5821"/>
    <w:rsid w:val="00BB4710"/>
    <w:rsid w:val="00BC2AD1"/>
    <w:rsid w:val="00BC708E"/>
    <w:rsid w:val="00BD4169"/>
    <w:rsid w:val="00BE3BD9"/>
    <w:rsid w:val="00BE6C4B"/>
    <w:rsid w:val="00BF13C3"/>
    <w:rsid w:val="00C17E12"/>
    <w:rsid w:val="00C206DB"/>
    <w:rsid w:val="00C23D1C"/>
    <w:rsid w:val="00C303B6"/>
    <w:rsid w:val="00C45663"/>
    <w:rsid w:val="00C607A1"/>
    <w:rsid w:val="00C60D2B"/>
    <w:rsid w:val="00C618F6"/>
    <w:rsid w:val="00C72CF5"/>
    <w:rsid w:val="00C838AA"/>
    <w:rsid w:val="00C84DC4"/>
    <w:rsid w:val="00C85918"/>
    <w:rsid w:val="00C865A5"/>
    <w:rsid w:val="00C95332"/>
    <w:rsid w:val="00CA06A5"/>
    <w:rsid w:val="00CA5A9C"/>
    <w:rsid w:val="00CB211B"/>
    <w:rsid w:val="00CC4311"/>
    <w:rsid w:val="00CE0ADE"/>
    <w:rsid w:val="00CE154D"/>
    <w:rsid w:val="00D0419C"/>
    <w:rsid w:val="00D17547"/>
    <w:rsid w:val="00D440E8"/>
    <w:rsid w:val="00D445FF"/>
    <w:rsid w:val="00D62073"/>
    <w:rsid w:val="00D87221"/>
    <w:rsid w:val="00D91EA4"/>
    <w:rsid w:val="00D95C54"/>
    <w:rsid w:val="00DA1B47"/>
    <w:rsid w:val="00DA25E3"/>
    <w:rsid w:val="00DA5695"/>
    <w:rsid w:val="00DB0CC5"/>
    <w:rsid w:val="00DB1772"/>
    <w:rsid w:val="00DF1E75"/>
    <w:rsid w:val="00E079E8"/>
    <w:rsid w:val="00E116A0"/>
    <w:rsid w:val="00E2426F"/>
    <w:rsid w:val="00E3087D"/>
    <w:rsid w:val="00E33E96"/>
    <w:rsid w:val="00E36845"/>
    <w:rsid w:val="00E411F6"/>
    <w:rsid w:val="00E45FF1"/>
    <w:rsid w:val="00E51794"/>
    <w:rsid w:val="00E52EC9"/>
    <w:rsid w:val="00E652D4"/>
    <w:rsid w:val="00E717E6"/>
    <w:rsid w:val="00E85C65"/>
    <w:rsid w:val="00E8646B"/>
    <w:rsid w:val="00EA06AC"/>
    <w:rsid w:val="00EA5DDF"/>
    <w:rsid w:val="00ED4F76"/>
    <w:rsid w:val="00F06390"/>
    <w:rsid w:val="00F17DA6"/>
    <w:rsid w:val="00F3099E"/>
    <w:rsid w:val="00F40A6E"/>
    <w:rsid w:val="00F43207"/>
    <w:rsid w:val="00F6312B"/>
    <w:rsid w:val="00F73B16"/>
    <w:rsid w:val="00F827E2"/>
    <w:rsid w:val="00F92A73"/>
    <w:rsid w:val="00FD0C2E"/>
    <w:rsid w:val="00FD1106"/>
    <w:rsid w:val="00FE4DD9"/>
    <w:rsid w:val="015F446C"/>
    <w:rsid w:val="020B053A"/>
    <w:rsid w:val="03654E28"/>
    <w:rsid w:val="03D61361"/>
    <w:rsid w:val="041E2145"/>
    <w:rsid w:val="046B4888"/>
    <w:rsid w:val="04CA140D"/>
    <w:rsid w:val="04EB3F44"/>
    <w:rsid w:val="04F608B8"/>
    <w:rsid w:val="076531CF"/>
    <w:rsid w:val="07C82AC3"/>
    <w:rsid w:val="07EA6108"/>
    <w:rsid w:val="086A3CF6"/>
    <w:rsid w:val="08833A33"/>
    <w:rsid w:val="0B580582"/>
    <w:rsid w:val="0B906A95"/>
    <w:rsid w:val="0BA84BFD"/>
    <w:rsid w:val="0BDB1481"/>
    <w:rsid w:val="0C0C0FC7"/>
    <w:rsid w:val="0C3C0384"/>
    <w:rsid w:val="0CB0572B"/>
    <w:rsid w:val="0D535AA9"/>
    <w:rsid w:val="0D761B28"/>
    <w:rsid w:val="0DAA75F6"/>
    <w:rsid w:val="0F022C9B"/>
    <w:rsid w:val="0F3C2256"/>
    <w:rsid w:val="0F6A6E9D"/>
    <w:rsid w:val="0FB668B9"/>
    <w:rsid w:val="107B6E5B"/>
    <w:rsid w:val="10FC5C28"/>
    <w:rsid w:val="119E2A25"/>
    <w:rsid w:val="11AC3C5A"/>
    <w:rsid w:val="11E42BD2"/>
    <w:rsid w:val="1276019D"/>
    <w:rsid w:val="134E3988"/>
    <w:rsid w:val="13711DB9"/>
    <w:rsid w:val="14563802"/>
    <w:rsid w:val="14A41F3D"/>
    <w:rsid w:val="16EA204E"/>
    <w:rsid w:val="1821158F"/>
    <w:rsid w:val="18453524"/>
    <w:rsid w:val="1890475D"/>
    <w:rsid w:val="19CA0B3F"/>
    <w:rsid w:val="1A46121C"/>
    <w:rsid w:val="1B6513C8"/>
    <w:rsid w:val="1B923A67"/>
    <w:rsid w:val="1B92406E"/>
    <w:rsid w:val="1B9A4B7B"/>
    <w:rsid w:val="1B9C2C80"/>
    <w:rsid w:val="1BC81CF2"/>
    <w:rsid w:val="1C3020BF"/>
    <w:rsid w:val="1D360080"/>
    <w:rsid w:val="1D7132A3"/>
    <w:rsid w:val="1F49033D"/>
    <w:rsid w:val="2182482E"/>
    <w:rsid w:val="21BB1F40"/>
    <w:rsid w:val="21CD22F0"/>
    <w:rsid w:val="22216A94"/>
    <w:rsid w:val="2230743D"/>
    <w:rsid w:val="22D337A2"/>
    <w:rsid w:val="23CE1FF4"/>
    <w:rsid w:val="241130B5"/>
    <w:rsid w:val="2490190C"/>
    <w:rsid w:val="24C64663"/>
    <w:rsid w:val="25D1521C"/>
    <w:rsid w:val="26191011"/>
    <w:rsid w:val="266A5E17"/>
    <w:rsid w:val="267B110B"/>
    <w:rsid w:val="27FD7AAA"/>
    <w:rsid w:val="28AF7ECA"/>
    <w:rsid w:val="29B834C2"/>
    <w:rsid w:val="29CF4D5A"/>
    <w:rsid w:val="2A2A7CDC"/>
    <w:rsid w:val="2AD95379"/>
    <w:rsid w:val="2B1B14D2"/>
    <w:rsid w:val="2B89550F"/>
    <w:rsid w:val="2C9C55C3"/>
    <w:rsid w:val="2D1B2848"/>
    <w:rsid w:val="2D640F0B"/>
    <w:rsid w:val="2E2E1F8D"/>
    <w:rsid w:val="2E9929AE"/>
    <w:rsid w:val="2F4E13A9"/>
    <w:rsid w:val="2F941508"/>
    <w:rsid w:val="2FAE46E2"/>
    <w:rsid w:val="30752A49"/>
    <w:rsid w:val="30C70769"/>
    <w:rsid w:val="31AD4D9E"/>
    <w:rsid w:val="323128B9"/>
    <w:rsid w:val="32BF09D2"/>
    <w:rsid w:val="334F0E0D"/>
    <w:rsid w:val="33FB2F6F"/>
    <w:rsid w:val="35786F16"/>
    <w:rsid w:val="359E6C74"/>
    <w:rsid w:val="35D23712"/>
    <w:rsid w:val="36451A02"/>
    <w:rsid w:val="36CD1F12"/>
    <w:rsid w:val="36E55798"/>
    <w:rsid w:val="370157E6"/>
    <w:rsid w:val="375412DB"/>
    <w:rsid w:val="37C24218"/>
    <w:rsid w:val="386E6A65"/>
    <w:rsid w:val="387C728B"/>
    <w:rsid w:val="390B1A0C"/>
    <w:rsid w:val="39275FEC"/>
    <w:rsid w:val="39773D0A"/>
    <w:rsid w:val="3AB31377"/>
    <w:rsid w:val="3B98334D"/>
    <w:rsid w:val="3C345C51"/>
    <w:rsid w:val="3DA01F59"/>
    <w:rsid w:val="3E011A28"/>
    <w:rsid w:val="3E574FD1"/>
    <w:rsid w:val="3EBA1B15"/>
    <w:rsid w:val="3F1E4470"/>
    <w:rsid w:val="3F6B24B9"/>
    <w:rsid w:val="3FCC084E"/>
    <w:rsid w:val="3FD309CF"/>
    <w:rsid w:val="40554FF2"/>
    <w:rsid w:val="40586BDE"/>
    <w:rsid w:val="40A54429"/>
    <w:rsid w:val="414B3903"/>
    <w:rsid w:val="42624544"/>
    <w:rsid w:val="43143847"/>
    <w:rsid w:val="43E56D24"/>
    <w:rsid w:val="43ED7978"/>
    <w:rsid w:val="453044BA"/>
    <w:rsid w:val="455E552E"/>
    <w:rsid w:val="45627767"/>
    <w:rsid w:val="45F71C81"/>
    <w:rsid w:val="45F8326F"/>
    <w:rsid w:val="470C692D"/>
    <w:rsid w:val="474A127A"/>
    <w:rsid w:val="489B0465"/>
    <w:rsid w:val="490F77D9"/>
    <w:rsid w:val="498D57A4"/>
    <w:rsid w:val="4A5A440D"/>
    <w:rsid w:val="4B1677F9"/>
    <w:rsid w:val="4B755345"/>
    <w:rsid w:val="4B935348"/>
    <w:rsid w:val="4BFD7A9C"/>
    <w:rsid w:val="4C841B59"/>
    <w:rsid w:val="4CD03D0B"/>
    <w:rsid w:val="4D107AEB"/>
    <w:rsid w:val="4DE7361D"/>
    <w:rsid w:val="4ECE671C"/>
    <w:rsid w:val="4F2D4B66"/>
    <w:rsid w:val="4F4C2250"/>
    <w:rsid w:val="4F8E0875"/>
    <w:rsid w:val="4FF0385B"/>
    <w:rsid w:val="509204D3"/>
    <w:rsid w:val="51896599"/>
    <w:rsid w:val="51B734BE"/>
    <w:rsid w:val="525727B9"/>
    <w:rsid w:val="531B2C67"/>
    <w:rsid w:val="53455549"/>
    <w:rsid w:val="53AE5088"/>
    <w:rsid w:val="54423E98"/>
    <w:rsid w:val="549D3AAC"/>
    <w:rsid w:val="56172F45"/>
    <w:rsid w:val="56F06CF5"/>
    <w:rsid w:val="57376E5D"/>
    <w:rsid w:val="57E961C0"/>
    <w:rsid w:val="58CC32B0"/>
    <w:rsid w:val="5955484C"/>
    <w:rsid w:val="597A5AFF"/>
    <w:rsid w:val="59996C1D"/>
    <w:rsid w:val="5A062EE3"/>
    <w:rsid w:val="5ABA2CA1"/>
    <w:rsid w:val="5B3C7C6E"/>
    <w:rsid w:val="5B4602DF"/>
    <w:rsid w:val="5B85723C"/>
    <w:rsid w:val="5C4A7B8E"/>
    <w:rsid w:val="5CB922C4"/>
    <w:rsid w:val="5D9737C2"/>
    <w:rsid w:val="5DCA044A"/>
    <w:rsid w:val="5E386F9E"/>
    <w:rsid w:val="5EFB4AFE"/>
    <w:rsid w:val="5FA10608"/>
    <w:rsid w:val="608466B4"/>
    <w:rsid w:val="60F3735A"/>
    <w:rsid w:val="6195239C"/>
    <w:rsid w:val="61AC656D"/>
    <w:rsid w:val="61C01429"/>
    <w:rsid w:val="62B70404"/>
    <w:rsid w:val="65281464"/>
    <w:rsid w:val="660C021B"/>
    <w:rsid w:val="66326D8F"/>
    <w:rsid w:val="665A7782"/>
    <w:rsid w:val="67D15BCB"/>
    <w:rsid w:val="68841DDA"/>
    <w:rsid w:val="695B3C75"/>
    <w:rsid w:val="6A2D1D04"/>
    <w:rsid w:val="6A913D04"/>
    <w:rsid w:val="6ACF66BC"/>
    <w:rsid w:val="6C7A3EDF"/>
    <w:rsid w:val="6C8A3C63"/>
    <w:rsid w:val="6D3C6E6F"/>
    <w:rsid w:val="6D5E11B6"/>
    <w:rsid w:val="6DB1648F"/>
    <w:rsid w:val="6DDA6162"/>
    <w:rsid w:val="6EE07B3A"/>
    <w:rsid w:val="6F9B443C"/>
    <w:rsid w:val="7088071D"/>
    <w:rsid w:val="714A5679"/>
    <w:rsid w:val="727D7B13"/>
    <w:rsid w:val="731907B5"/>
    <w:rsid w:val="73B07DFA"/>
    <w:rsid w:val="74B83034"/>
    <w:rsid w:val="758502F8"/>
    <w:rsid w:val="75CC6276"/>
    <w:rsid w:val="761E03D0"/>
    <w:rsid w:val="766A3A05"/>
    <w:rsid w:val="76842728"/>
    <w:rsid w:val="797D1996"/>
    <w:rsid w:val="798D171C"/>
    <w:rsid w:val="79900BAE"/>
    <w:rsid w:val="79F139F6"/>
    <w:rsid w:val="7ABD4419"/>
    <w:rsid w:val="7AED6D93"/>
    <w:rsid w:val="7B2F089C"/>
    <w:rsid w:val="7BBB7CB1"/>
    <w:rsid w:val="7C00703D"/>
    <w:rsid w:val="7CBD25EB"/>
    <w:rsid w:val="7D677778"/>
    <w:rsid w:val="7DCB402C"/>
    <w:rsid w:val="7DF753A3"/>
    <w:rsid w:val="7E700CDE"/>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ocked="1"/>
    <w:lsdException w:uiPriority="0" w:name="footnote text" w:locked="1"/>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99" w:name="annotation reference"/>
    <w:lsdException w:uiPriority="0" w:name="line number" w:locked="1"/>
    <w:lsdException w:qFormat="1" w:unhideWhenUsed="0" w:uiPriority="0"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qFormat="1" w:unhideWhenUsed="0" w:uiPriority="99" w:semiHidden="0" w:name="List Number 2"/>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qFormat="1"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qFormat="1" w:unhideWhenUsed="0" w:uiPriority="99" w:semiHidden="0" w:name="Date"/>
    <w:lsdException w:uiPriority="0" w:name="Body Text First Indent" w:locked="1"/>
    <w:lsdException w:uiPriority="0" w:name="Body Text First Indent 2" w:locked="1"/>
    <w:lsdException w:uiPriority="0" w:name="Note Heading" w:locked="1"/>
    <w:lsdException w:uiPriority="0" w:name="Body Text 2" w:locked="1"/>
    <w:lsdException w:qFormat="1" w:unhideWhenUsed="0" w:uiPriority="0" w:semiHidden="0" w:name="Body Text 3"/>
    <w:lsdException w:uiPriority="0" w:name="Body Text Indent 2" w:locked="1"/>
    <w:lsdException w:uiPriority="0" w:name="Body Text Indent 3" w:locked="1"/>
    <w:lsdException w:uiPriority="0" w:name="Block Text" w:locked="1"/>
    <w:lsdException w:qFormat="1" w:unhideWhenUsed="0" w:uiPriority="99" w:semiHidden="0" w:name="Hyperlink"/>
    <w:lsdException w:uiPriority="0" w:name="FollowedHyperlink" w:locked="1"/>
    <w:lsdException w:qFormat="1" w:unhideWhenUsed="0" w:uiPriority="99" w:semiHidden="0" w:name="Strong"/>
    <w:lsdException w:qFormat="1" w:unhideWhenUsed="0" w:uiPriority="20" w:semiHidden="0" w:name="Emphasis" w:locked="1"/>
    <w:lsdException w:uiPriority="0" w:name="Document Map" w:locked="1"/>
    <w:lsdException w:qFormat="1" w:unhideWhenUsed="0" w:uiPriority="99" w:semiHidden="0" w:name="Plain Text"/>
    <w:lsdException w:uiPriority="0" w:name="E-mail Signature" w:locked="1"/>
    <w:lsdException w:qFormat="1"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99" w:semiHidden="0" w:name="HTML Preformatted"/>
    <w:lsdException w:uiPriority="0" w:name="HTML Sample" w:locked="1"/>
    <w:lsdException w:uiPriority="0" w:name="HTML Typewriter" w:locked="1"/>
    <w:lsdException w:uiPriority="0" w:name="HTML Variable" w:locked="1"/>
    <w:lsdException w:uiPriority="99" w:name="Normal Table"/>
    <w:lsdException w:qFormat="1"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semiHidden="0" w:name="Balloon Text"/>
    <w:lsdException w:qFormat="1" w:unhideWhenUsed="0" w:uiPriority="9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42"/>
    <w:qFormat/>
    <w:uiPriority w:val="99"/>
    <w:pPr>
      <w:keepNext/>
      <w:widowControl/>
      <w:numPr>
        <w:ilvl w:val="0"/>
        <w:numId w:val="1"/>
      </w:numPr>
      <w:spacing w:before="120" w:after="120"/>
      <w:outlineLvl w:val="0"/>
    </w:pPr>
    <w:rPr>
      <w:rFonts w:ascii="Arial" w:hAnsi="Arial"/>
      <w:b/>
      <w:bCs/>
      <w:caps/>
      <w:kern w:val="0"/>
      <w:sz w:val="22"/>
      <w:szCs w:val="20"/>
      <w:lang/>
    </w:rPr>
  </w:style>
  <w:style w:type="paragraph" w:styleId="4">
    <w:name w:val="heading 2"/>
    <w:basedOn w:val="1"/>
    <w:next w:val="3"/>
    <w:link w:val="43"/>
    <w:qFormat/>
    <w:uiPriority w:val="99"/>
    <w:pPr>
      <w:keepNext/>
      <w:widowControl/>
      <w:numPr>
        <w:ilvl w:val="1"/>
        <w:numId w:val="1"/>
      </w:numPr>
      <w:spacing w:before="120" w:after="120"/>
      <w:outlineLvl w:val="1"/>
    </w:pPr>
    <w:rPr>
      <w:rFonts w:ascii="Arial" w:hAnsi="Arial"/>
      <w:b/>
      <w:caps/>
      <w:kern w:val="0"/>
      <w:sz w:val="24"/>
      <w:szCs w:val="20"/>
      <w:lang/>
    </w:rPr>
  </w:style>
  <w:style w:type="paragraph" w:styleId="5">
    <w:name w:val="heading 3"/>
    <w:basedOn w:val="1"/>
    <w:next w:val="3"/>
    <w:link w:val="44"/>
    <w:qFormat/>
    <w:uiPriority w:val="99"/>
    <w:pPr>
      <w:keepNext/>
      <w:widowControl/>
      <w:numPr>
        <w:ilvl w:val="2"/>
        <w:numId w:val="1"/>
      </w:numPr>
      <w:tabs>
        <w:tab w:val="left" w:pos="1418"/>
        <w:tab w:val="clear" w:pos="851"/>
      </w:tabs>
      <w:spacing w:before="120" w:after="120"/>
      <w:outlineLvl w:val="2"/>
    </w:pPr>
    <w:rPr>
      <w:rFonts w:ascii="Arial" w:hAnsi="Arial"/>
      <w:b/>
      <w:smallCaps/>
      <w:kern w:val="0"/>
      <w:sz w:val="20"/>
      <w:szCs w:val="20"/>
      <w:lang/>
    </w:rPr>
  </w:style>
  <w:style w:type="paragraph" w:styleId="6">
    <w:name w:val="heading 4"/>
    <w:basedOn w:val="1"/>
    <w:next w:val="1"/>
    <w:link w:val="45"/>
    <w:qFormat/>
    <w:uiPriority w:val="99"/>
    <w:pPr>
      <w:keepNext/>
      <w:widowControl/>
      <w:numPr>
        <w:ilvl w:val="3"/>
        <w:numId w:val="1"/>
      </w:numPr>
      <w:tabs>
        <w:tab w:val="left" w:pos="1418"/>
        <w:tab w:val="right" w:pos="10206"/>
        <w:tab w:val="clear" w:pos="851"/>
      </w:tabs>
      <w:spacing w:after="120" w:line="240" w:lineRule="atLeast"/>
      <w:outlineLvl w:val="3"/>
    </w:pPr>
    <w:rPr>
      <w:rFonts w:ascii="Arial" w:hAnsi="Arial" w:eastAsia="??"/>
      <w:kern w:val="0"/>
      <w:sz w:val="18"/>
      <w:szCs w:val="20"/>
      <w:lang/>
    </w:rPr>
  </w:style>
  <w:style w:type="character" w:default="1" w:styleId="27">
    <w:name w:val="Default Paragraph Font"/>
    <w:unhideWhenUsed/>
    <w:uiPriority w:val="1"/>
  </w:style>
  <w:style w:type="table" w:default="1" w:styleId="32">
    <w:name w:val="Normal Table"/>
    <w:unhideWhenUsed/>
    <w:uiPriority w:val="99"/>
    <w:tblPr>
      <w:tblStyle w:val="32"/>
      <w:tblLayout w:type="fixed"/>
      <w:tblCellMar>
        <w:top w:w="0" w:type="dxa"/>
        <w:left w:w="108" w:type="dxa"/>
        <w:bottom w:w="0" w:type="dxa"/>
        <w:right w:w="108" w:type="dxa"/>
      </w:tblCellMar>
    </w:tblPr>
    <w:tcPr>
      <w:textDirection w:val="lrTb"/>
    </w:tcPr>
  </w:style>
  <w:style w:type="paragraph" w:styleId="3">
    <w:name w:val="Body Text"/>
    <w:basedOn w:val="1"/>
    <w:link w:val="58"/>
    <w:qFormat/>
    <w:uiPriority w:val="99"/>
    <w:pPr>
      <w:spacing w:after="120"/>
    </w:pPr>
    <w:rPr>
      <w:sz w:val="24"/>
      <w:szCs w:val="20"/>
    </w:rPr>
  </w:style>
  <w:style w:type="paragraph" w:styleId="7">
    <w:name w:val="annotation subject"/>
    <w:basedOn w:val="8"/>
    <w:next w:val="8"/>
    <w:link w:val="48"/>
    <w:semiHidden/>
    <w:qFormat/>
    <w:uiPriority w:val="99"/>
    <w:rPr>
      <w:b/>
      <w:bCs/>
    </w:rPr>
  </w:style>
  <w:style w:type="paragraph" w:styleId="8">
    <w:name w:val="annotation text"/>
    <w:basedOn w:val="1"/>
    <w:link w:val="47"/>
    <w:semiHidden/>
    <w:qFormat/>
    <w:uiPriority w:val="99"/>
    <w:pPr>
      <w:jc w:val="left"/>
    </w:pPr>
  </w:style>
  <w:style w:type="paragraph" w:styleId="9">
    <w:name w:val="toc 7"/>
    <w:basedOn w:val="1"/>
    <w:next w:val="1"/>
    <w:qFormat/>
    <w:uiPriority w:val="99"/>
    <w:pPr>
      <w:ind w:left="2520" w:leftChars="1200"/>
    </w:pPr>
  </w:style>
  <w:style w:type="paragraph" w:styleId="10">
    <w:name w:val="List Number 2"/>
    <w:basedOn w:val="1"/>
    <w:qFormat/>
    <w:uiPriority w:val="99"/>
    <w:pPr>
      <w:widowControl/>
      <w:tabs>
        <w:tab w:val="right" w:pos="10206"/>
      </w:tabs>
      <w:spacing w:after="120" w:line="240" w:lineRule="atLeast"/>
      <w:ind w:left="851" w:hanging="426"/>
    </w:pPr>
    <w:rPr>
      <w:rFonts w:ascii="Arial" w:hAnsi="Arial"/>
      <w:kern w:val="0"/>
      <w:sz w:val="18"/>
      <w:szCs w:val="20"/>
      <w:lang/>
    </w:rPr>
  </w:style>
  <w:style w:type="paragraph" w:styleId="11">
    <w:name w:val="Body Text 3"/>
    <w:basedOn w:val="1"/>
    <w:link w:val="56"/>
    <w:qFormat/>
    <w:uiPriority w:val="0"/>
    <w:rPr>
      <w:sz w:val="24"/>
      <w:szCs w:val="20"/>
    </w:rPr>
  </w:style>
  <w:style w:type="paragraph" w:styleId="12">
    <w:name w:val="toc 5"/>
    <w:basedOn w:val="1"/>
    <w:next w:val="1"/>
    <w:qFormat/>
    <w:uiPriority w:val="99"/>
    <w:pPr>
      <w:ind w:left="1680" w:leftChars="800"/>
    </w:pPr>
  </w:style>
  <w:style w:type="paragraph" w:styleId="13">
    <w:name w:val="toc 3"/>
    <w:basedOn w:val="1"/>
    <w:next w:val="1"/>
    <w:qFormat/>
    <w:uiPriority w:val="99"/>
    <w:pPr>
      <w:ind w:left="840" w:leftChars="400"/>
    </w:pPr>
  </w:style>
  <w:style w:type="paragraph" w:styleId="14">
    <w:name w:val="Plain Text"/>
    <w:basedOn w:val="1"/>
    <w:link w:val="50"/>
    <w:qFormat/>
    <w:uiPriority w:val="99"/>
    <w:rPr>
      <w:rFonts w:ascii="宋体" w:hAnsi="Courier New"/>
      <w:szCs w:val="20"/>
    </w:rPr>
  </w:style>
  <w:style w:type="paragraph" w:styleId="15">
    <w:name w:val="toc 8"/>
    <w:basedOn w:val="1"/>
    <w:next w:val="1"/>
    <w:qFormat/>
    <w:uiPriority w:val="99"/>
    <w:pPr>
      <w:ind w:left="2940" w:leftChars="1400"/>
    </w:pPr>
  </w:style>
  <w:style w:type="paragraph" w:styleId="16">
    <w:name w:val="Date"/>
    <w:basedOn w:val="1"/>
    <w:next w:val="1"/>
    <w:link w:val="57"/>
    <w:qFormat/>
    <w:uiPriority w:val="99"/>
    <w:pPr>
      <w:ind w:left="100" w:leftChars="2500"/>
    </w:pPr>
    <w:rPr>
      <w:sz w:val="24"/>
      <w:szCs w:val="20"/>
    </w:rPr>
  </w:style>
  <w:style w:type="paragraph" w:styleId="17">
    <w:name w:val="Balloon Text"/>
    <w:basedOn w:val="1"/>
    <w:link w:val="52"/>
    <w:qFormat/>
    <w:uiPriority w:val="99"/>
    <w:rPr>
      <w:sz w:val="18"/>
      <w:szCs w:val="18"/>
    </w:rPr>
  </w:style>
  <w:style w:type="paragraph" w:styleId="18">
    <w:name w:val="footer"/>
    <w:basedOn w:val="1"/>
    <w:link w:val="53"/>
    <w:qFormat/>
    <w:uiPriority w:val="0"/>
    <w:pPr>
      <w:tabs>
        <w:tab w:val="center" w:pos="4153"/>
        <w:tab w:val="right" w:pos="8306"/>
      </w:tabs>
      <w:snapToGrid w:val="0"/>
      <w:jc w:val="left"/>
    </w:pPr>
    <w:rPr>
      <w:sz w:val="18"/>
      <w:szCs w:val="18"/>
    </w:rPr>
  </w:style>
  <w:style w:type="paragraph" w:styleId="19">
    <w:name w:val="header"/>
    <w:basedOn w:val="1"/>
    <w:link w:val="59"/>
    <w:qFormat/>
    <w:uiPriority w:val="99"/>
    <w:pPr>
      <w:tabs>
        <w:tab w:val="center" w:pos="4153"/>
        <w:tab w:val="right" w:pos="8306"/>
      </w:tabs>
      <w:snapToGrid w:val="0"/>
      <w:jc w:val="center"/>
    </w:pPr>
    <w:rPr>
      <w:sz w:val="18"/>
      <w:szCs w:val="20"/>
    </w:rPr>
  </w:style>
  <w:style w:type="paragraph" w:styleId="20">
    <w:name w:val="toc 1"/>
    <w:basedOn w:val="1"/>
    <w:next w:val="1"/>
    <w:qFormat/>
    <w:uiPriority w:val="39"/>
  </w:style>
  <w:style w:type="paragraph" w:styleId="21">
    <w:name w:val="toc 4"/>
    <w:basedOn w:val="1"/>
    <w:next w:val="1"/>
    <w:qFormat/>
    <w:uiPriority w:val="99"/>
    <w:pPr>
      <w:ind w:left="1260" w:leftChars="600"/>
    </w:pPr>
  </w:style>
  <w:style w:type="paragraph" w:styleId="22">
    <w:name w:val="toc 6"/>
    <w:basedOn w:val="1"/>
    <w:next w:val="1"/>
    <w:qFormat/>
    <w:uiPriority w:val="99"/>
    <w:pPr>
      <w:ind w:left="2100" w:leftChars="1000"/>
    </w:pPr>
  </w:style>
  <w:style w:type="paragraph" w:styleId="23">
    <w:name w:val="toc 2"/>
    <w:basedOn w:val="1"/>
    <w:next w:val="1"/>
    <w:qFormat/>
    <w:uiPriority w:val="39"/>
    <w:pPr>
      <w:ind w:left="420" w:leftChars="200"/>
    </w:pPr>
  </w:style>
  <w:style w:type="paragraph" w:styleId="24">
    <w:name w:val="toc 9"/>
    <w:basedOn w:val="1"/>
    <w:next w:val="1"/>
    <w:qFormat/>
    <w:uiPriority w:val="99"/>
    <w:pPr>
      <w:ind w:left="3360" w:leftChars="1600"/>
    </w:pPr>
  </w:style>
  <w:style w:type="paragraph" w:styleId="25">
    <w:name w:val="HTML Preformatted"/>
    <w:basedOn w:val="1"/>
    <w:link w:val="5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qFormat/>
    <w:uiPriority w:val="99"/>
    <w:pPr>
      <w:spacing w:beforeAutospacing="1" w:afterAutospacing="1"/>
      <w:jc w:val="left"/>
    </w:pPr>
    <w:rPr>
      <w:kern w:val="0"/>
      <w:sz w:val="24"/>
    </w:rPr>
  </w:style>
  <w:style w:type="character" w:styleId="28">
    <w:name w:val="Strong"/>
    <w:basedOn w:val="27"/>
    <w:qFormat/>
    <w:uiPriority w:val="99"/>
    <w:rPr>
      <w:rFonts w:cs="Times New Roman"/>
      <w:b/>
      <w:bCs/>
    </w:rPr>
  </w:style>
  <w:style w:type="character" w:styleId="29">
    <w:name w:val="page number"/>
    <w:basedOn w:val="27"/>
    <w:qFormat/>
    <w:uiPriority w:val="0"/>
    <w:rPr>
      <w:rFonts w:cs="Times New Roman"/>
    </w:rPr>
  </w:style>
  <w:style w:type="character" w:styleId="30">
    <w:name w:val="Hyperlink"/>
    <w:basedOn w:val="27"/>
    <w:qFormat/>
    <w:uiPriority w:val="99"/>
    <w:rPr>
      <w:rFonts w:cs="Times New Roman"/>
      <w:color w:val="0000FF"/>
      <w:u w:val="single"/>
    </w:rPr>
  </w:style>
  <w:style w:type="character" w:styleId="31">
    <w:name w:val="annotation reference"/>
    <w:basedOn w:val="27"/>
    <w:semiHidden/>
    <w:qFormat/>
    <w:uiPriority w:val="99"/>
    <w:rPr>
      <w:rFonts w:cs="Times New Roman"/>
      <w:sz w:val="21"/>
    </w:rPr>
  </w:style>
  <w:style w:type="table" w:styleId="33">
    <w:name w:val="Table Grid"/>
    <w:basedOn w:val="32"/>
    <w:qFormat/>
    <w:locked/>
    <w:uiPriority w:val="99"/>
    <w:pPr/>
    <w:tblPr>
      <w:tblStyle w:val="32"/>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extDirection w:val="lrTb"/>
    </w:tcPr>
  </w:style>
  <w:style w:type="paragraph" w:customStyle="1" w:styleId="3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35">
    <w:name w:val="SOP body"/>
    <w:basedOn w:val="1"/>
    <w:qFormat/>
    <w:uiPriority w:val="99"/>
    <w:pPr>
      <w:widowControl/>
      <w:tabs>
        <w:tab w:val="left" w:pos="1208"/>
      </w:tabs>
      <w:spacing w:line="312" w:lineRule="auto"/>
      <w:ind w:left="851" w:hanging="851"/>
    </w:pPr>
    <w:rPr>
      <w:rFonts w:ascii="Arial" w:hAnsi="Arial" w:cs="Arial"/>
      <w:kern w:val="0"/>
      <w:sz w:val="20"/>
      <w:lang w:eastAsia="en-US"/>
    </w:rPr>
  </w:style>
  <w:style w:type="paragraph" w:customStyle="1" w:styleId="36">
    <w:name w:val="Table text"/>
    <w:basedOn w:val="1"/>
    <w:qFormat/>
    <w:uiPriority w:val="0"/>
    <w:pPr>
      <w:widowControl/>
      <w:spacing w:before="120" w:after="120"/>
    </w:pPr>
    <w:rPr>
      <w:kern w:val="0"/>
      <w:sz w:val="24"/>
      <w:szCs w:val="20"/>
      <w:lang w:eastAsia="en-US"/>
    </w:rPr>
  </w:style>
  <w:style w:type="paragraph" w:customStyle="1" w:styleId="37">
    <w:name w:val="列出段落1"/>
    <w:basedOn w:val="1"/>
    <w:qFormat/>
    <w:uiPriority w:val="99"/>
    <w:pPr>
      <w:ind w:firstLine="420" w:firstLineChars="200"/>
    </w:pPr>
  </w:style>
  <w:style w:type="paragraph" w:customStyle="1" w:styleId="38">
    <w:name w:val="SOP body 1"/>
    <w:basedOn w:val="35"/>
    <w:qFormat/>
    <w:uiPriority w:val="99"/>
    <w:pPr>
      <w:tabs>
        <w:tab w:val="left" w:pos="1930"/>
        <w:tab w:val="clear" w:pos="1208"/>
      </w:tabs>
    </w:pPr>
  </w:style>
  <w:style w:type="paragraph" w:customStyle="1" w:styleId="39">
    <w:name w:val="head 1"/>
    <w:basedOn w:val="40"/>
    <w:link w:val="60"/>
    <w:qFormat/>
    <w:uiPriority w:val="99"/>
    <w:pPr>
      <w:tabs>
        <w:tab w:val="left" w:pos="851"/>
      </w:tabs>
      <w:spacing w:before="260" w:after="260"/>
      <w:ind w:left="851" w:firstLine="0" w:firstLineChars="0"/>
    </w:pPr>
    <w:rPr>
      <w:rFonts w:ascii="黑体" w:hAnsi="黑体" w:eastAsia="黑体"/>
      <w:sz w:val="24"/>
    </w:rPr>
  </w:style>
  <w:style w:type="paragraph" w:customStyle="1" w:styleId="40">
    <w:name w:val="List Paragraph"/>
    <w:basedOn w:val="1"/>
    <w:qFormat/>
    <w:uiPriority w:val="34"/>
    <w:pPr>
      <w:ind w:firstLine="420" w:firstLineChars="200"/>
    </w:pPr>
  </w:style>
  <w:style w:type="paragraph" w:customStyle="1" w:styleId="41">
    <w:name w:val="Revision"/>
    <w:hidden/>
    <w:unhideWhenUsed/>
    <w:uiPriority w:val="99"/>
    <w:rPr>
      <w:rFonts w:ascii="Times New Roman" w:hAnsi="Times New Roman" w:eastAsia="宋体" w:cs="Times New Roman"/>
      <w:kern w:val="2"/>
      <w:sz w:val="21"/>
      <w:szCs w:val="24"/>
      <w:lang w:val="en-US" w:eastAsia="zh-CN" w:bidi="ar-SA"/>
    </w:rPr>
  </w:style>
  <w:style w:type="character" w:customStyle="1" w:styleId="42">
    <w:name w:val="标题 1 字符"/>
    <w:basedOn w:val="27"/>
    <w:link w:val="2"/>
    <w:qFormat/>
    <w:locked/>
    <w:uiPriority w:val="99"/>
    <w:rPr>
      <w:rFonts w:ascii="Arial" w:hAnsi="Arial"/>
      <w:b/>
      <w:bCs/>
      <w:caps/>
      <w:kern w:val="0"/>
      <w:sz w:val="22"/>
      <w:szCs w:val="20"/>
      <w:lang/>
    </w:rPr>
  </w:style>
  <w:style w:type="character" w:customStyle="1" w:styleId="43">
    <w:name w:val="标题 2 字符"/>
    <w:basedOn w:val="27"/>
    <w:link w:val="4"/>
    <w:qFormat/>
    <w:locked/>
    <w:uiPriority w:val="99"/>
    <w:rPr>
      <w:rFonts w:ascii="Arial" w:hAnsi="Arial"/>
      <w:b/>
      <w:caps/>
      <w:kern w:val="0"/>
      <w:sz w:val="24"/>
      <w:szCs w:val="20"/>
      <w:lang/>
    </w:rPr>
  </w:style>
  <w:style w:type="character" w:customStyle="1" w:styleId="44">
    <w:name w:val="标题 3 字符"/>
    <w:basedOn w:val="27"/>
    <w:link w:val="5"/>
    <w:qFormat/>
    <w:locked/>
    <w:uiPriority w:val="99"/>
    <w:rPr>
      <w:rFonts w:ascii="Arial" w:hAnsi="Arial"/>
      <w:b/>
      <w:smallCaps/>
      <w:kern w:val="0"/>
      <w:sz w:val="20"/>
      <w:szCs w:val="20"/>
      <w:lang/>
    </w:rPr>
  </w:style>
  <w:style w:type="character" w:customStyle="1" w:styleId="45">
    <w:name w:val="标题 4 字符"/>
    <w:basedOn w:val="27"/>
    <w:link w:val="6"/>
    <w:qFormat/>
    <w:locked/>
    <w:uiPriority w:val="99"/>
    <w:rPr>
      <w:rFonts w:ascii="Arial" w:hAnsi="Arial" w:eastAsia="??"/>
      <w:kern w:val="0"/>
      <w:sz w:val="18"/>
      <w:szCs w:val="20"/>
      <w:lang/>
    </w:rPr>
  </w:style>
  <w:style w:type="character" w:customStyle="1" w:styleId="46">
    <w:name w:val="Body Text Char"/>
    <w:basedOn w:val="27"/>
    <w:qFormat/>
    <w:locked/>
    <w:uiPriority w:val="99"/>
    <w:rPr>
      <w:rFonts w:eastAsia="宋体" w:cs="Times New Roman"/>
      <w:kern w:val="2"/>
      <w:sz w:val="24"/>
      <w:lang w:val="en-US" w:eastAsia="zh-CN"/>
    </w:rPr>
  </w:style>
  <w:style w:type="character" w:customStyle="1" w:styleId="47">
    <w:name w:val="批注文字 字符"/>
    <w:basedOn w:val="27"/>
    <w:link w:val="8"/>
    <w:semiHidden/>
    <w:qFormat/>
    <w:locked/>
    <w:uiPriority w:val="99"/>
    <w:rPr>
      <w:rFonts w:cs="Times New Roman"/>
      <w:sz w:val="24"/>
      <w:szCs w:val="24"/>
    </w:rPr>
  </w:style>
  <w:style w:type="character" w:customStyle="1" w:styleId="48">
    <w:name w:val="批注主题 字符"/>
    <w:basedOn w:val="47"/>
    <w:link w:val="7"/>
    <w:semiHidden/>
    <w:qFormat/>
    <w:locked/>
    <w:uiPriority w:val="99"/>
    <w:rPr>
      <w:rFonts w:cs="Times New Roman"/>
      <w:b/>
      <w:bCs/>
      <w:sz w:val="24"/>
      <w:szCs w:val="24"/>
    </w:rPr>
  </w:style>
  <w:style w:type="character" w:customStyle="1" w:styleId="49">
    <w:name w:val="Body Text 3 Char"/>
    <w:basedOn w:val="27"/>
    <w:qFormat/>
    <w:locked/>
    <w:uiPriority w:val="99"/>
    <w:rPr>
      <w:rFonts w:cs="Times New Roman"/>
      <w:kern w:val="2"/>
      <w:sz w:val="24"/>
    </w:rPr>
  </w:style>
  <w:style w:type="character" w:customStyle="1" w:styleId="50">
    <w:name w:val="纯文本 字符"/>
    <w:basedOn w:val="27"/>
    <w:link w:val="14"/>
    <w:qFormat/>
    <w:locked/>
    <w:uiPriority w:val="99"/>
    <w:rPr>
      <w:rFonts w:ascii="宋体" w:hAnsi="Courier New" w:cs="Times New Roman"/>
      <w:kern w:val="2"/>
      <w:sz w:val="21"/>
    </w:rPr>
  </w:style>
  <w:style w:type="character" w:customStyle="1" w:styleId="51">
    <w:name w:val="Date Char"/>
    <w:basedOn w:val="27"/>
    <w:qFormat/>
    <w:locked/>
    <w:uiPriority w:val="99"/>
    <w:rPr>
      <w:rFonts w:cs="Times New Roman"/>
      <w:kern w:val="2"/>
      <w:sz w:val="24"/>
    </w:rPr>
  </w:style>
  <w:style w:type="character" w:customStyle="1" w:styleId="52">
    <w:name w:val="批注框文本 字符"/>
    <w:basedOn w:val="27"/>
    <w:link w:val="17"/>
    <w:qFormat/>
    <w:locked/>
    <w:uiPriority w:val="99"/>
    <w:rPr>
      <w:rFonts w:cs="Times New Roman"/>
      <w:kern w:val="2"/>
      <w:sz w:val="18"/>
    </w:rPr>
  </w:style>
  <w:style w:type="character" w:customStyle="1" w:styleId="53">
    <w:name w:val="页脚 字符"/>
    <w:basedOn w:val="27"/>
    <w:link w:val="18"/>
    <w:qFormat/>
    <w:locked/>
    <w:uiPriority w:val="99"/>
    <w:rPr>
      <w:rFonts w:cs="Times New Roman"/>
      <w:kern w:val="2"/>
      <w:sz w:val="18"/>
    </w:rPr>
  </w:style>
  <w:style w:type="character" w:customStyle="1" w:styleId="54">
    <w:name w:val="Header Char"/>
    <w:basedOn w:val="27"/>
    <w:semiHidden/>
    <w:qFormat/>
    <w:locked/>
    <w:uiPriority w:val="99"/>
    <w:rPr>
      <w:rFonts w:cs="Times New Roman"/>
      <w:kern w:val="0"/>
      <w:sz w:val="18"/>
    </w:rPr>
  </w:style>
  <w:style w:type="character" w:customStyle="1" w:styleId="55">
    <w:name w:val="HTML 预设格式 字符"/>
    <w:basedOn w:val="27"/>
    <w:link w:val="25"/>
    <w:qFormat/>
    <w:locked/>
    <w:uiPriority w:val="99"/>
    <w:rPr>
      <w:rFonts w:ascii="宋体" w:eastAsia="宋体" w:cs="Times New Roman"/>
      <w:sz w:val="24"/>
    </w:rPr>
  </w:style>
  <w:style w:type="character" w:customStyle="1" w:styleId="56">
    <w:name w:val="正文文本 3 字符"/>
    <w:link w:val="11"/>
    <w:qFormat/>
    <w:locked/>
    <w:uiPriority w:val="0"/>
    <w:rPr>
      <w:kern w:val="2"/>
      <w:sz w:val="24"/>
    </w:rPr>
  </w:style>
  <w:style w:type="character" w:customStyle="1" w:styleId="57">
    <w:name w:val="日期 字符"/>
    <w:link w:val="16"/>
    <w:qFormat/>
    <w:locked/>
    <w:uiPriority w:val="99"/>
    <w:rPr>
      <w:kern w:val="2"/>
      <w:sz w:val="24"/>
    </w:rPr>
  </w:style>
  <w:style w:type="character" w:customStyle="1" w:styleId="58">
    <w:name w:val="正文文本 字符"/>
    <w:link w:val="3"/>
    <w:qFormat/>
    <w:locked/>
    <w:uiPriority w:val="99"/>
    <w:rPr>
      <w:kern w:val="2"/>
      <w:sz w:val="24"/>
    </w:rPr>
  </w:style>
  <w:style w:type="character" w:customStyle="1" w:styleId="59">
    <w:name w:val="页眉 字符"/>
    <w:link w:val="19"/>
    <w:qFormat/>
    <w:locked/>
    <w:uiPriority w:val="99"/>
    <w:rPr>
      <w:kern w:val="2"/>
      <w:sz w:val="18"/>
    </w:rPr>
  </w:style>
  <w:style w:type="character" w:customStyle="1" w:styleId="60">
    <w:name w:val="head 1 Char Char"/>
    <w:basedOn w:val="27"/>
    <w:link w:val="39"/>
    <w:qFormat/>
    <w:locked/>
    <w:uiPriority w:val="99"/>
    <w:rPr>
      <w:rFonts w:ascii="黑体" w:hAnsi="黑体" w:eastAsia="黑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730</Words>
  <Characters>4163</Characters>
  <Lines>34</Lines>
  <Paragraphs>9</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2020-09-22T06:48:00Z</dcterms:created>
  <dc:creator>walkinnet</dc:creator>
  <cp:lastModifiedBy>汪洋</cp:lastModifiedBy>
  <cp:lastPrinted>2018-08-31T03:14:00Z</cp:lastPrinted>
  <dcterms:modified xsi:type="dcterms:W3CDTF">2020-11-02T07:21:36Z</dcterms:modified>
  <dc:title>分发部门：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