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4532399"/>
      <w:bookmarkStart w:id="1" w:name="_Toc483400307"/>
      <w:bookmarkStart w:id="2" w:name="_Toc483227223"/>
      <w:bookmarkStart w:id="3" w:name="_Toc482717189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联合疫苗楼站驾式电动托盘搬运车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center"/>
        <w:rPr>
          <w:b/>
          <w:i/>
          <w:color w:val="4472C4"/>
          <w:szCs w:val="21"/>
          <w:lang w:eastAsia="zh-CN"/>
        </w:rPr>
      </w:pPr>
      <w:bookmarkStart w:id="5" w:name="OLE_LINK4"/>
      <w:permStart w:id="1" w:edGrp="everyone"/>
      <w:permEnd w:id="1"/>
    </w:p>
    <w:bookmarkEnd w:id="5"/>
    <w:p>
      <w:pPr>
        <w:pStyle w:val="32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rPr>
          <w:i/>
          <w:color w:val="00B0F0"/>
          <w:lang w:val="zh-CN" w:eastAsia="zh-CN"/>
        </w:rPr>
      </w:pPr>
      <w:permStart w:id="2" w:edGrp="everyone"/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2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2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2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2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2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2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2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2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2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2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2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2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2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6" w:name="_Toc522107734"/>
    </w:p>
    <w:bookmarkEnd w:id="6"/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107735"/>
      <w:bookmarkStart w:id="8" w:name="_Toc52271611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70349"/>
      <w:bookmarkStart w:id="10" w:name="_Toc481702475"/>
      <w:bookmarkStart w:id="11" w:name="_Toc482360281"/>
      <w:bookmarkStart w:id="12" w:name="_Toc482369805"/>
      <w:bookmarkStart w:id="13" w:name="_Toc482370061"/>
      <w:bookmarkStart w:id="14" w:name="_Toc482370141"/>
      <w:bookmarkStart w:id="15" w:name="_Toc482370757"/>
      <w:bookmarkStart w:id="16" w:name="_Toc482625279"/>
      <w:bookmarkStart w:id="17" w:name="_Toc482359936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联合疫苗楼站驾式电动托盘搬运车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5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/>
          <w:b/>
        </w:rPr>
        <w:t>范围</w:t>
      </w:r>
      <w:bookmarkEnd w:id="18"/>
      <w:bookmarkEnd w:id="19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联合疫苗楼站驾式电动托盘搬运车</w:t>
      </w:r>
      <w:permEnd w:id="4"/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7"/>
      <w:bookmarkStart w:id="21" w:name="_Toc52271611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35"/>
        <w:numPr>
          <w:ilvl w:val="0"/>
          <w:numId w:val="5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5"/>
        <w:numPr>
          <w:ilvl w:val="0"/>
          <w:numId w:val="6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5"/>
        <w:numPr>
          <w:ilvl w:val="0"/>
          <w:numId w:val="6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5" w:edGrp="everyone"/>
      <w:r>
        <w:rPr>
          <w:rFonts w:hint="eastAsia"/>
          <w:iCs/>
          <w:szCs w:val="21"/>
          <w:lang w:eastAsia="zh-CN"/>
        </w:rPr>
        <w:t>中国药典</w:t>
      </w:r>
      <w:r>
        <w:rPr>
          <w:iCs/>
          <w:szCs w:val="21"/>
        </w:rPr>
        <w:t>2015</w:t>
      </w:r>
      <w:r>
        <w:rPr>
          <w:rFonts w:hint="eastAsia"/>
          <w:iCs/>
          <w:szCs w:val="21"/>
        </w:rPr>
        <w:t>年版</w:t>
      </w:r>
    </w:p>
    <w:p>
      <w:pPr>
        <w:pStyle w:val="35"/>
        <w:numPr>
          <w:ilvl w:val="0"/>
          <w:numId w:val="6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r>
        <w:rPr>
          <w:rFonts w:hint="eastAsia"/>
          <w:iCs/>
          <w:szCs w:val="21"/>
          <w:lang w:eastAsia="zh-CN"/>
        </w:rPr>
        <w:t>《药品生产质量管理规范》（</w:t>
      </w:r>
      <w:r>
        <w:rPr>
          <w:iCs/>
          <w:szCs w:val="21"/>
          <w:lang w:eastAsia="zh-CN"/>
        </w:rPr>
        <w:t>2010</w:t>
      </w:r>
      <w:r>
        <w:rPr>
          <w:rFonts w:hint="eastAsia"/>
          <w:iCs/>
          <w:szCs w:val="21"/>
          <w:lang w:eastAsia="zh-CN"/>
        </w:rPr>
        <w:t>修订版）</w:t>
      </w:r>
    </w:p>
    <w:permEnd w:id="5"/>
    <w:p>
      <w:pPr>
        <w:pStyle w:val="35"/>
        <w:numPr>
          <w:ilvl w:val="0"/>
          <w:numId w:val="5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5"/>
        <w:numPr>
          <w:ilvl w:val="0"/>
          <w:numId w:val="6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6" w:edGrp="everyone"/>
      <w:r>
        <w:rPr>
          <w:iCs/>
          <w:szCs w:val="21"/>
          <w:lang w:eastAsia="zh-CN"/>
        </w:rPr>
        <w:t>电气安全应符合GB4793.1和GB4793.4的要求。</w:t>
      </w:r>
    </w:p>
    <w:permEnd w:id="6"/>
    <w:p>
      <w:pPr>
        <w:pStyle w:val="35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2" w:name="_Toc522716119"/>
      <w:bookmarkStart w:id="23" w:name="_Toc522107739"/>
      <w:r>
        <w:rPr>
          <w:rFonts w:ascii="Times New Roman" w:hAnsi="Times New Roman"/>
          <w:b/>
        </w:rPr>
        <w:t>系统描述</w:t>
      </w:r>
      <w:bookmarkEnd w:id="22"/>
      <w:bookmarkEnd w:id="23"/>
    </w:p>
    <w:p>
      <w:pPr>
        <w:pStyle w:val="35"/>
        <w:spacing w:before="0" w:line="360" w:lineRule="auto"/>
        <w:jc w:val="left"/>
        <w:rPr>
          <w:i/>
          <w:color w:val="4472C4"/>
          <w:szCs w:val="24"/>
          <w:lang w:eastAsia="zh-CN"/>
        </w:rPr>
      </w:pPr>
      <w:permStart w:id="7" w:edGrp="everyone"/>
      <w:r>
        <w:rPr>
          <w:rFonts w:hint="eastAsia" w:ascii="宋体" w:hAnsi="宋体"/>
          <w:lang w:eastAsia="zh-CN"/>
        </w:rPr>
        <w:t>分包装室需要购买站驾式电动托盘搬运车，</w:t>
      </w:r>
      <w:r>
        <w:rPr>
          <w:rFonts w:hint="eastAsia" w:ascii="宋体" w:hAnsi="宋体"/>
          <w:bCs/>
          <w:lang w:eastAsia="zh-CN"/>
        </w:rPr>
        <w:t>用于分装车间、物检车间和包装车间生产货物的搬运和装卸</w:t>
      </w:r>
      <w:r>
        <w:rPr>
          <w:rFonts w:hint="eastAsia" w:ascii="宋体" w:hAnsi="宋体"/>
          <w:szCs w:val="24"/>
          <w:lang w:eastAsia="zh-CN"/>
        </w:rPr>
        <w:t>间</w:t>
      </w:r>
      <w:r>
        <w:rPr>
          <w:rFonts w:hint="eastAsia" w:ascii="宋体" w:hAnsi="宋体"/>
          <w:color w:val="000000"/>
          <w:szCs w:val="24"/>
          <w:lang w:eastAsia="zh-CN"/>
        </w:rPr>
        <w:t>需要</w:t>
      </w:r>
      <w:r>
        <w:rPr>
          <w:rFonts w:hint="eastAsia"/>
          <w:i/>
          <w:color w:val="4472C4"/>
          <w:szCs w:val="24"/>
          <w:lang w:eastAsia="zh-CN"/>
        </w:rPr>
        <w:t>。</w:t>
      </w:r>
      <w:permEnd w:id="7"/>
    </w:p>
    <w:p>
      <w:pPr>
        <w:pStyle w:val="35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bookmarkStart w:id="49" w:name="_GoBack"/>
      <w:bookmarkEnd w:id="49"/>
    </w:p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4" w:name="_Toc522716120"/>
      <w:r>
        <w:rPr>
          <w:rFonts w:ascii="Times New Roman" w:hAnsi="Times New Roman"/>
          <w:b/>
          <w:szCs w:val="21"/>
        </w:rPr>
        <w:t>安装要求</w:t>
      </w:r>
      <w:bookmarkEnd w:id="24"/>
    </w:p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8" w:edGrp="everyone"/>
      <w:permEnd w:id="8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1"/>
            <w:bookmarkStart w:id="26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联合疫苗楼一楼，移动式无固定安装地点。使用地点有：分装车间外围走廊、卸货平台、室外较平整路面等。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pStyle w:val="10"/>
              <w:spacing w:line="360" w:lineRule="auto"/>
              <w:rPr>
                <w:rFonts w:ascii="宋体" w:hAnsi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 w:val="0"/>
                <w:color w:val="000000"/>
                <w:sz w:val="21"/>
                <w:szCs w:val="21"/>
                <w:lang w:eastAsia="zh-CN"/>
              </w:rPr>
              <w:t>踏板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  <w:lang w:eastAsia="zh-CN"/>
              </w:rPr>
              <w:t>收起</w:t>
            </w:r>
            <w:r>
              <w:rPr>
                <w:rFonts w:ascii="宋体" w:hAnsi="宋体"/>
                <w:b w:val="0"/>
                <w:color w:val="000000"/>
                <w:sz w:val="21"/>
                <w:szCs w:val="21"/>
                <w:lang w:eastAsia="zh-CN"/>
              </w:rPr>
              <w:t>时，整车长×宽＜1860×700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  <w:lang w:eastAsia="zh-CN"/>
              </w:rPr>
              <w:t>，且运输我公司垫板时可顺利进入大楼货梯。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10"/>
              <w:spacing w:line="360" w:lineRule="auto"/>
              <w:rPr>
                <w:rFonts w:ascii="宋体" w:hAnsi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  <w:lang w:eastAsia="zh-CN"/>
              </w:rPr>
              <w:t>货叉尺寸：货叉间距必须适应我公司</w:t>
            </w:r>
            <w:r>
              <w:rPr>
                <w:rFonts w:ascii="宋体" w:hAnsi="宋体"/>
                <w:b w:val="0"/>
                <w:color w:val="000000"/>
                <w:sz w:val="21"/>
                <w:szCs w:val="21"/>
                <w:lang w:eastAsia="zh-CN"/>
              </w:rPr>
              <w:t>1100mm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  <w:lang w:eastAsia="zh-CN"/>
              </w:rPr>
              <w:t>×</w:t>
            </w:r>
            <w:r>
              <w:rPr>
                <w:rFonts w:ascii="宋体" w:hAnsi="宋体"/>
                <w:b w:val="0"/>
                <w:color w:val="000000"/>
                <w:sz w:val="21"/>
                <w:szCs w:val="21"/>
                <w:lang w:eastAsia="zh-CN"/>
              </w:rPr>
              <w:t>1100mm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  <w:lang w:eastAsia="zh-CN"/>
              </w:rPr>
              <w:t>垫板，正常卸货时不得卡住垫板。货叉外宽不低于</w:t>
            </w:r>
            <w:r>
              <w:rPr>
                <w:rFonts w:ascii="宋体" w:hAnsi="宋体"/>
                <w:b w:val="0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/>
                <w:b w:val="0"/>
                <w:color w:val="000000"/>
                <w:sz w:val="21"/>
                <w:szCs w:val="21"/>
                <w:lang w:eastAsia="zh-CN"/>
              </w:rPr>
              <w:t>0mm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重量（kg）不超出房间地面承重要求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提供</w:t>
            </w:r>
            <w:r>
              <w:rPr>
                <w:rFonts w:hint="eastAsia" w:ascii="宋体" w:hAnsi="宋体"/>
                <w:lang w:eastAsia="zh-CN"/>
              </w:rPr>
              <w:t>充电电源</w:t>
            </w:r>
            <w:r>
              <w:rPr>
                <w:rFonts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eastAsia="zh-CN"/>
              </w:rPr>
              <w:t>交流</w:t>
            </w:r>
            <w:r>
              <w:rPr>
                <w:rFonts w:ascii="宋体" w:hAnsi="宋体"/>
                <w:lang w:eastAsia="zh-CN"/>
              </w:rPr>
              <w:t>220V/50HZ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工作环境温度：18℃～25℃环境   设备应可适应温度：-5℃～50℃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工作环境湿度：45%～65%  设备应可适应湿度：45%～90%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工作环境洁净级别： CNC区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匹配我公司交流电电源：</w:t>
            </w:r>
            <w:r>
              <w:rPr>
                <w:rFonts w:ascii="宋体" w:hAnsi="宋体"/>
                <w:lang w:eastAsia="zh-CN"/>
              </w:rPr>
              <w:t>220V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±10% V； 50 Hz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pStyle w:val="9"/>
              <w:spacing w:line="360" w:lineRule="auto"/>
              <w:rPr>
                <w:rFonts w:asci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车体外壳由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5mm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厚优质钢板组成，表面刷漆，耐撞、耐腐蚀。外观端正、整齐，不得有锈蚀、毛刺等缺陷。设备操作面的高度符合人体工程学的要求，适合中国人的体型及身高，保证操作工人工作的舒适与便捷。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9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 xml:space="preserve">标识：至少应有以下永久贴牢和清楚易认的标识： </w:t>
            </w:r>
          </w:p>
          <w:p>
            <w:pPr>
              <w:pStyle w:val="9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（1）制造/供应单位；</w:t>
            </w:r>
          </w:p>
          <w:p>
            <w:pPr>
              <w:pStyle w:val="9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（2）产品注册号；</w:t>
            </w:r>
          </w:p>
          <w:p>
            <w:pPr>
              <w:pStyle w:val="9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（3）型号；</w:t>
            </w:r>
          </w:p>
          <w:p>
            <w:pPr>
              <w:pStyle w:val="9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（4）生产日期或编号；</w:t>
            </w:r>
          </w:p>
          <w:p>
            <w:pPr>
              <w:pStyle w:val="9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（5）对设备必要的说明；</w:t>
            </w:r>
          </w:p>
          <w:p>
            <w:pPr>
              <w:pStyle w:val="9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（6）安全标识。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bookmarkEnd w:id="25"/>
      <w:bookmarkEnd w:id="26"/>
      <w:permEnd w:id="18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1"/>
      <w:bookmarkStart w:id="28" w:name="_Toc522107740"/>
      <w:r>
        <w:rPr>
          <w:rFonts w:ascii="Times New Roman" w:hAnsi="Times New Roman"/>
          <w:b/>
        </w:rPr>
        <w:t>运行要求</w:t>
      </w:r>
      <w:bookmarkEnd w:id="27"/>
      <w:bookmarkEnd w:id="28"/>
    </w:p>
    <w:p>
      <w:pPr>
        <w:pStyle w:val="35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9" w:edGrp="everyone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19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851"/>
              <w:rPr>
                <w:szCs w:val="21"/>
                <w:lang w:eastAsia="zh-CN"/>
              </w:rPr>
            </w:pPr>
            <w:permStart w:id="2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kern w:val="2"/>
                <w:sz w:val="24"/>
                <w:szCs w:val="24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N/A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额定载荷2</w:t>
            </w:r>
            <w:r>
              <w:rPr>
                <w:rFonts w:ascii="宋体" w:hAnsi="宋体"/>
                <w:color w:val="000000"/>
                <w:szCs w:val="21"/>
                <w:lang w:val="en-US" w:eastAsia="zh-CN"/>
              </w:rPr>
              <w:t>T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车身自重≤</w:t>
            </w:r>
            <w:r>
              <w:rPr>
                <w:rFonts w:ascii="宋体" w:hAnsi="宋体"/>
                <w:iCs/>
                <w:szCs w:val="21"/>
                <w:lang w:eastAsia="zh-CN"/>
              </w:rPr>
              <w:t>550kg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，不含电池。</w:t>
            </w:r>
          </w:p>
        </w:tc>
        <w:tc>
          <w:tcPr>
            <w:tcW w:w="2125" w:type="dxa"/>
            <w:vAlign w:val="center"/>
          </w:tcPr>
          <w:p>
            <w:pPr>
              <w:ind w:firstLine="735" w:firstLineChars="350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iCs/>
                <w:szCs w:val="21"/>
                <w:lang w:eastAsia="zh-CN"/>
              </w:rPr>
              <w:t>货叉提升高度提升范围≥</w:t>
            </w:r>
            <w:r>
              <w:rPr>
                <w:rFonts w:ascii="宋体" w:hAnsi="宋体"/>
                <w:iCs/>
                <w:szCs w:val="21"/>
                <w:lang w:eastAsia="zh-CN"/>
              </w:rPr>
              <w:t>80mm~205mm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最小离地间隙≥</w:t>
            </w:r>
            <w:r>
              <w:rPr>
                <w:rFonts w:ascii="宋体" w:hAnsi="宋体"/>
                <w:color w:val="000000"/>
              </w:rPr>
              <w:t>30mm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转弯半径≤</w:t>
            </w:r>
            <w:r>
              <w:rPr>
                <w:rFonts w:ascii="宋体" w:hAnsi="宋体"/>
                <w:lang w:eastAsia="zh-CN"/>
              </w:rPr>
              <w:t>2000mm</w:t>
            </w:r>
            <w:r>
              <w:rPr>
                <w:rFonts w:hint="eastAsia" w:ascii="宋体" w:hAnsi="宋体"/>
                <w:lang w:eastAsia="zh-CN"/>
              </w:rPr>
              <w:t>，越小越好。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爬坡能力≥</w:t>
            </w:r>
            <w:r>
              <w:rPr>
                <w:rFonts w:ascii="宋体" w:hAnsi="宋体"/>
              </w:rPr>
              <w:t>10%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整机运行噪音＜</w:t>
            </w:r>
            <w:r>
              <w:rPr>
                <w:rFonts w:ascii="宋体" w:hAnsi="宋体"/>
              </w:rPr>
              <w:t>60</w:t>
            </w:r>
            <w:r>
              <w:rPr>
                <w:rFonts w:hint="eastAsia" w:ascii="宋体" w:hAnsi="宋体"/>
              </w:rPr>
              <w:t>分贝</w:t>
            </w:r>
          </w:p>
        </w:tc>
        <w:tc>
          <w:tcPr>
            <w:tcW w:w="2125" w:type="dxa"/>
            <w:vAlign w:val="center"/>
          </w:tcPr>
          <w:p>
            <w:pPr>
              <w:ind w:firstLine="735" w:firstLineChars="350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电机采用进口交流驱动电机，功率不低于</w:t>
            </w:r>
            <w:r>
              <w:rPr>
                <w:lang w:eastAsia="zh-CN"/>
              </w:rPr>
              <w:t>1.2kW</w:t>
            </w:r>
          </w:p>
        </w:tc>
        <w:tc>
          <w:tcPr>
            <w:tcW w:w="2125" w:type="dxa"/>
            <w:vAlign w:val="center"/>
          </w:tcPr>
          <w:p>
            <w:pPr>
              <w:ind w:firstLine="735" w:firstLineChars="350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采用电动驱动，可进行装货、</w:t>
            </w:r>
            <w:r>
              <w:rPr>
                <w:rFonts w:hint="eastAsia" w:ascii="宋体" w:hAnsi="宋体"/>
                <w:color w:val="000000"/>
                <w:lang w:eastAsia="zh-CN"/>
              </w:rPr>
              <w:t>水平搬运及卸货操作。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可以无障碍通过我公司路面、卸货平台等路况。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整机振动小、工作平稳。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25"/>
    </w:tbl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522716122"/>
      <w:bookmarkStart w:id="30" w:name="_Toc522107742"/>
      <w:bookmarkStart w:id="31" w:name="_Toc482370071"/>
      <w:bookmarkStart w:id="32" w:name="_Toc482370767"/>
      <w:bookmarkStart w:id="33" w:name="_Toc482369815"/>
      <w:bookmarkStart w:id="34" w:name="_Toc482359946"/>
      <w:bookmarkStart w:id="35" w:name="_Toc482370359"/>
      <w:bookmarkStart w:id="36" w:name="_Toc482370151"/>
      <w:bookmarkStart w:id="37" w:name="_Toc483400317"/>
      <w:bookmarkStart w:id="38" w:name="_Toc482625289"/>
      <w:bookmarkStart w:id="39" w:name="_Toc482360291"/>
      <w:bookmarkStart w:id="40" w:name="_Toc481702480"/>
      <w:bookmarkStart w:id="41" w:name="_Toc483227237"/>
      <w:bookmarkStart w:id="42" w:name="_Toc482717202"/>
      <w:r>
        <w:rPr>
          <w:rFonts w:ascii="Times New Roman" w:hAnsi="Times New Roman"/>
          <w:b/>
        </w:rPr>
        <w:t>电气、自动控制要求</w:t>
      </w:r>
      <w:bookmarkEnd w:id="29"/>
    </w:p>
    <w:p>
      <w:pPr>
        <w:pStyle w:val="35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6" w:edGrp="everyone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6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显示仪表采用多功能仪表，集成显示电量报警、工作时间及故障指示等。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手柄功能集成以下功能：加速、喇叭、紧急反向、升降按钮。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电控转向手柄，省力。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操作手柄、舵柄安装位置顺手，具备良好的操作灵活性，符合人机工程学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电控系统</w:t>
            </w:r>
            <w:r>
              <w:rPr>
                <w:rFonts w:hint="eastAsia" w:ascii="宋体" w:hAnsi="宋体"/>
                <w:color w:val="000000"/>
                <w:lang w:eastAsia="zh-CN"/>
              </w:rPr>
              <w:t>使用进口优质电控系统，控制车辆起升和行走。采用交流驱动系统动力强劲</w:t>
            </w:r>
            <w:r>
              <w:rPr>
                <w:rFonts w:hint="eastAsia" w:ascii="宋体" w:hAnsi="宋体"/>
                <w:lang w:eastAsia="zh-CN"/>
              </w:rPr>
              <w:t>采用电控刹车电磁式制动叉车转向方式应为电子转向。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9"/>
              <w:spacing w:line="360" w:lineRule="auto"/>
              <w:rPr>
                <w:rFonts w:ascii="宋体" w:hAnsi="宋体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0"/>
                <w:lang w:eastAsia="zh-CN"/>
              </w:rPr>
              <w:t>电池充电电源</w:t>
            </w:r>
            <w:r>
              <w:rPr>
                <w:rFonts w:ascii="宋体" w:hAnsi="宋体"/>
                <w:sz w:val="21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0"/>
                <w:lang w:eastAsia="zh-CN"/>
              </w:rPr>
              <w:t>交流</w:t>
            </w:r>
            <w:r>
              <w:rPr>
                <w:rFonts w:ascii="宋体" w:hAnsi="宋体"/>
                <w:sz w:val="21"/>
                <w:szCs w:val="20"/>
                <w:lang w:eastAsia="zh-CN"/>
              </w:rPr>
              <w:t>220V/50HZ</w:t>
            </w:r>
            <w:r>
              <w:rPr>
                <w:rFonts w:hint="eastAsia" w:ascii="宋体" w:hAnsi="宋体"/>
                <w:sz w:val="21"/>
                <w:szCs w:val="20"/>
                <w:lang w:eastAsia="zh-CN"/>
              </w:rPr>
              <w:t>。采用大容量电池组，牵引电池不低于</w:t>
            </w:r>
            <w:r>
              <w:rPr>
                <w:rFonts w:ascii="宋体" w:hAnsi="宋体"/>
                <w:sz w:val="21"/>
                <w:szCs w:val="20"/>
                <w:lang w:eastAsia="zh-CN"/>
              </w:rPr>
              <w:t>24v 210ah</w:t>
            </w:r>
            <w:r>
              <w:rPr>
                <w:rFonts w:hint="eastAsia" w:ascii="宋体" w:hAnsi="宋体"/>
                <w:sz w:val="21"/>
                <w:szCs w:val="20"/>
                <w:lang w:eastAsia="zh-CN"/>
              </w:rPr>
              <w:t>，充满电可使用</w:t>
            </w:r>
            <w:r>
              <w:rPr>
                <w:rFonts w:ascii="宋体" w:hAnsi="宋体"/>
                <w:sz w:val="21"/>
                <w:szCs w:val="20"/>
                <w:lang w:eastAsia="zh-CN"/>
              </w:rPr>
              <w:t>5h</w:t>
            </w:r>
            <w:r>
              <w:rPr>
                <w:rFonts w:hint="eastAsia" w:ascii="宋体" w:hAnsi="宋体"/>
                <w:sz w:val="21"/>
                <w:szCs w:val="20"/>
                <w:lang w:eastAsia="zh-CN"/>
              </w:rPr>
              <w:t>以上。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9"/>
              <w:spacing w:line="360" w:lineRule="auto"/>
              <w:rPr>
                <w:rFonts w:ascii="宋体" w:hAnsi="宋体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0"/>
                <w:lang w:eastAsia="zh-CN"/>
              </w:rPr>
              <w:t>为了保障蓄电池的正常使用寿命，在充满电时会自动断电，不至于过度充电。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9"/>
              <w:spacing w:line="360" w:lineRule="auto"/>
              <w:rPr>
                <w:rFonts w:ascii="宋体" w:hAnsi="宋体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0"/>
                <w:lang w:eastAsia="zh-CN"/>
              </w:rPr>
              <w:t>电池放置于车体后桥。有低电压报警。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N/A</w:t>
            </w:r>
          </w:p>
        </w:tc>
      </w:tr>
      <w:permEnd w:id="28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3"/>
      <w:r>
        <w:rPr>
          <w:rFonts w:ascii="Times New Roman" w:hAnsi="Times New Roman"/>
          <w:b/>
        </w:rPr>
        <w:t>安全要求</w:t>
      </w:r>
      <w:bookmarkEnd w:id="30"/>
      <w:bookmarkEnd w:id="43"/>
    </w:p>
    <w:p>
      <w:pPr>
        <w:pStyle w:val="35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9" w:edGrp="everyone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9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N/A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进口设备符合CE标准。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电气安全高于GB4793.1的要求。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电磁兼容性应高于GB/T18268—2000《测量、控制和实验室用的电设备电磁兼容性要求》。</w:t>
            </w:r>
          </w:p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有急停开关按钮，在紧急情况下快速断电提供安全保护。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lang w:eastAsia="zh-CN"/>
              </w:rPr>
              <w:t>当叉车在坡道运行时，人员送开手柄或松开操作杆后，叉车会主动制动并停车</w:t>
            </w:r>
            <w:r>
              <w:rPr>
                <w:rFonts w:hint="eastAsia" w:ascii="宋体" w:hAnsi="宋体"/>
                <w:bCs/>
                <w:color w:val="000000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107743"/>
      <w:bookmarkStart w:id="45" w:name="_Toc522716124"/>
      <w:r>
        <w:rPr>
          <w:rFonts w:ascii="Times New Roman" w:hAnsi="Times New Roman"/>
          <w:b/>
        </w:rPr>
        <w:t>文件要求</w:t>
      </w:r>
      <w:bookmarkEnd w:id="44"/>
      <w:bookmarkEnd w:id="45"/>
    </w:p>
    <w:p>
      <w:pPr>
        <w:pStyle w:val="35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3" w:edGrp="everyone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3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投标文件、合同及订单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投标文件内必须包含关于本URS的详细技术响应列表。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标书中应明确叉车所有重要组件的品牌、材质、型号、使用寿命，并且注明每一个组件的保修期。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发货时，提供发货清单、叉车出厂测试合格证、其他相关检测报告。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发货时，提供易损件和重要零部件（电池组等）清单。包括组件名称、编号、品牌、产地、规格、材质、使用寿命等；提供针对每一部件所作序号的简明图册，以便于维修人员查找和辩识。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提供电动叉车标准技术文件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提供维修所需的电子版及打印版图纸：叉车工作原理图、电气原理图、控制原理图、设备装配图、控制盘面仪表、开关配置图等线图等。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提供叉车</w:t>
            </w:r>
            <w:r>
              <w:rPr>
                <w:rFonts w:hint="eastAsia" w:ascii="宋体" w:hAnsi="宋体" w:cs="宋体"/>
                <w:lang w:eastAsia="zh-CN"/>
              </w:rPr>
              <w:t>操作手册（</w:t>
            </w:r>
            <w:r>
              <w:rPr>
                <w:rFonts w:ascii="宋体" w:hAnsi="宋体" w:cs="宋体"/>
                <w:lang w:eastAsia="zh-CN"/>
              </w:rPr>
              <w:t>SOP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/>
                <w:lang w:eastAsia="zh-CN"/>
              </w:rPr>
              <w:t>及维护保养说明（即运行及维护手册）</w:t>
            </w:r>
            <w:r>
              <w:rPr>
                <w:rFonts w:ascii="宋体" w:hAnsi="宋体"/>
                <w:lang w:eastAsia="zh-CN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份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设备厂家文件：出厂测试合格证、相关检测报告、各种标示、必要的材质证书。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现场验收测试（</w:t>
            </w:r>
            <w:r>
              <w:rPr>
                <w:rFonts w:ascii="宋体" w:hAnsi="宋体"/>
                <w:lang w:eastAsia="zh-CN"/>
              </w:rPr>
              <w:t>SAT</w:t>
            </w:r>
            <w:r>
              <w:rPr>
                <w:rFonts w:hint="eastAsia" w:ascii="宋体" w:hAnsi="宋体"/>
                <w:lang w:eastAsia="zh-CN"/>
              </w:rPr>
              <w:t>）报告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提供设备及其零部件使用寿命清单及说明。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5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5"/>
      <w:r>
        <w:rPr>
          <w:rFonts w:ascii="Times New Roman" w:hAnsi="Times New Roman"/>
          <w:b/>
          <w:szCs w:val="21"/>
        </w:rPr>
        <w:t>服务要求</w:t>
      </w:r>
      <w:bookmarkEnd w:id="46"/>
    </w:p>
    <w:p>
      <w:pPr>
        <w:pStyle w:val="35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6" w:edGrp="everyone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6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使用人员培训包括叉车结构原理、性能、操作、充电事项、故障排除等基本知识。合格标准为用户参加培训人员能够独立正确操作叉车，正确充电及维护电池，会排除常见故障。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叉车维护、维修人员培训应包括叉车结构原理、基本操作、维修、日常保养内容、故障排除等基本知识。合格标准为维修人员能够了解叉车日常保养内容，能对造成常见故障的易损部件有明确认识。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设备2020年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10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月01日到武汉公司达指定车间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设备质保期为一年，一年内免费保修，一年后应提供良好的售后服务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</w:t>
            </w:r>
            <w:r>
              <w:rPr>
                <w:rFonts w:ascii="宋体" w:hAnsi="宋体"/>
                <w:szCs w:val="21"/>
                <w:lang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小时内明确答复，当电话沟通无法解决时，须</w:t>
            </w:r>
            <w:r>
              <w:rPr>
                <w:rFonts w:ascii="宋体" w:hAnsi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供应商进厂安装培训需遵守安全和安装规定。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设备经相关部门验收合格后，确认设备验收合格后，买卖双方签订验收报告。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permEnd w:id="44"/>
    </w:tbl>
    <w:p>
      <w:pPr>
        <w:pStyle w:val="31"/>
        <w:spacing w:after="158" w:afterLines="50"/>
        <w:ind w:left="426" w:firstLine="0" w:firstLineChars="0"/>
        <w:outlineLvl w:val="0"/>
        <w:rPr>
          <w:rFonts w:ascii="Times New Roman" w:hAnsi="Times New Roman"/>
          <w:b/>
        </w:rPr>
      </w:pPr>
      <w:bookmarkStart w:id="47" w:name="_Toc522107746"/>
      <w:bookmarkStart w:id="48" w:name="_Toc522716126"/>
    </w:p>
    <w:p>
      <w:pPr>
        <w:pStyle w:val="31"/>
        <w:numPr>
          <w:ilvl w:val="0"/>
          <w:numId w:val="4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附件</w:t>
      </w:r>
      <w:bookmarkEnd w:id="47"/>
      <w:bookmarkEnd w:id="48"/>
    </w:p>
    <w:p>
      <w:pPr>
        <w:pStyle w:val="35"/>
        <w:spacing w:before="0" w:line="360" w:lineRule="auto"/>
        <w:ind w:firstLine="480" w:firstLineChars="200"/>
        <w:jc w:val="left"/>
        <w:rPr>
          <w:color w:val="4472C4"/>
          <w:szCs w:val="21"/>
          <w:lang w:eastAsia="zh-CN"/>
        </w:rPr>
      </w:pPr>
      <w:permStart w:id="45" w:edGrp="everyone"/>
      <w:r>
        <w:rPr>
          <w:szCs w:val="21"/>
          <w:lang w:eastAsia="zh-CN"/>
        </w:rPr>
        <w:t>N/A</w:t>
      </w:r>
      <w:permEnd w:id="45"/>
    </w:p>
    <w:p>
      <w:pPr>
        <w:pStyle w:val="35"/>
        <w:spacing w:before="0" w:line="360" w:lineRule="auto"/>
        <w:jc w:val="left"/>
        <w:rPr>
          <w:szCs w:val="21"/>
          <w:lang w:eastAsia="zh-CN"/>
        </w:rPr>
      </w:pPr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94967167">
    <w:nsid w:val="FFFFFF7F"/>
    <w:multiLevelType w:val="singleLevel"/>
    <w:tmpl w:val="FFFFFF7F"/>
    <w:lvl w:ilvl="0" w:tentative="1">
      <w:start w:val="1"/>
      <w:numFmt w:val="decimal"/>
      <w:pStyle w:val="8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1271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3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4294967167"/>
  </w:num>
  <w:num w:numId="3">
    <w:abstractNumId w:val="1751467757"/>
  </w:num>
  <w:num w:numId="4">
    <w:abstractNumId w:val="594097956"/>
  </w:num>
  <w:num w:numId="5">
    <w:abstractNumId w:val="1653867252"/>
  </w:num>
  <w:num w:numId="6">
    <w:abstractNumId w:val="512037502"/>
  </w:num>
  <w:num w:numId="7">
    <w:abstractNumId w:val="143812762"/>
  </w:num>
  <w:num w:numId="8">
    <w:abstractNumId w:val="382943692"/>
  </w:num>
  <w:num w:numId="9">
    <w:abstractNumId w:val="287781897"/>
  </w:num>
  <w:num w:numId="10">
    <w:abstractNumId w:val="839589741"/>
  </w:num>
  <w:num w:numId="11">
    <w:abstractNumId w:val="196115971"/>
  </w:num>
  <w:num w:numId="12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2EC"/>
    <w:rsid w:val="000275E7"/>
    <w:rsid w:val="000303D0"/>
    <w:rsid w:val="00030F94"/>
    <w:rsid w:val="00031243"/>
    <w:rsid w:val="00031900"/>
    <w:rsid w:val="00032DC4"/>
    <w:rsid w:val="00033AF9"/>
    <w:rsid w:val="0003445A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5C39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011A"/>
    <w:rsid w:val="000818AC"/>
    <w:rsid w:val="00082C13"/>
    <w:rsid w:val="00083D58"/>
    <w:rsid w:val="000844A8"/>
    <w:rsid w:val="00084F90"/>
    <w:rsid w:val="00086CA0"/>
    <w:rsid w:val="00087002"/>
    <w:rsid w:val="00087A5B"/>
    <w:rsid w:val="00091A59"/>
    <w:rsid w:val="00092C03"/>
    <w:rsid w:val="00096510"/>
    <w:rsid w:val="00097A7D"/>
    <w:rsid w:val="00097CA2"/>
    <w:rsid w:val="000A1D9E"/>
    <w:rsid w:val="000A2664"/>
    <w:rsid w:val="000A2851"/>
    <w:rsid w:val="000A2C3C"/>
    <w:rsid w:val="000A41DA"/>
    <w:rsid w:val="000A55CC"/>
    <w:rsid w:val="000A5CEE"/>
    <w:rsid w:val="000A6423"/>
    <w:rsid w:val="000A6661"/>
    <w:rsid w:val="000A6A09"/>
    <w:rsid w:val="000B02ED"/>
    <w:rsid w:val="000B02FD"/>
    <w:rsid w:val="000B068C"/>
    <w:rsid w:val="000B417D"/>
    <w:rsid w:val="000B45E0"/>
    <w:rsid w:val="000B4EC4"/>
    <w:rsid w:val="000B5888"/>
    <w:rsid w:val="000C07FD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3DF9"/>
    <w:rsid w:val="000D43C9"/>
    <w:rsid w:val="000D4E3B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4E63"/>
    <w:rsid w:val="0010503D"/>
    <w:rsid w:val="001055DD"/>
    <w:rsid w:val="00106571"/>
    <w:rsid w:val="00106B5D"/>
    <w:rsid w:val="00110CF0"/>
    <w:rsid w:val="001120B7"/>
    <w:rsid w:val="0011231F"/>
    <w:rsid w:val="00112670"/>
    <w:rsid w:val="00112DD4"/>
    <w:rsid w:val="00112F30"/>
    <w:rsid w:val="00113FFF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915"/>
    <w:rsid w:val="00124C39"/>
    <w:rsid w:val="00124E69"/>
    <w:rsid w:val="00125CC1"/>
    <w:rsid w:val="001273B0"/>
    <w:rsid w:val="00127758"/>
    <w:rsid w:val="00127CB8"/>
    <w:rsid w:val="001313C3"/>
    <w:rsid w:val="00132F4C"/>
    <w:rsid w:val="00134C68"/>
    <w:rsid w:val="00135FD6"/>
    <w:rsid w:val="001374CF"/>
    <w:rsid w:val="001417F1"/>
    <w:rsid w:val="00143952"/>
    <w:rsid w:val="001442AB"/>
    <w:rsid w:val="0014477D"/>
    <w:rsid w:val="00144D00"/>
    <w:rsid w:val="00145034"/>
    <w:rsid w:val="0014560D"/>
    <w:rsid w:val="00145DC7"/>
    <w:rsid w:val="00145F74"/>
    <w:rsid w:val="00146568"/>
    <w:rsid w:val="00150BCC"/>
    <w:rsid w:val="001541A9"/>
    <w:rsid w:val="001549D1"/>
    <w:rsid w:val="00154CD3"/>
    <w:rsid w:val="00155295"/>
    <w:rsid w:val="001560AD"/>
    <w:rsid w:val="0015633E"/>
    <w:rsid w:val="0015752C"/>
    <w:rsid w:val="0016077F"/>
    <w:rsid w:val="00160CEA"/>
    <w:rsid w:val="00161486"/>
    <w:rsid w:val="0016194A"/>
    <w:rsid w:val="00161F7F"/>
    <w:rsid w:val="00162A78"/>
    <w:rsid w:val="0016342E"/>
    <w:rsid w:val="00163A08"/>
    <w:rsid w:val="00164CDC"/>
    <w:rsid w:val="00164E0D"/>
    <w:rsid w:val="00166311"/>
    <w:rsid w:val="00166478"/>
    <w:rsid w:val="0016753A"/>
    <w:rsid w:val="00167B0E"/>
    <w:rsid w:val="00171A51"/>
    <w:rsid w:val="00171CB5"/>
    <w:rsid w:val="001746E7"/>
    <w:rsid w:val="001757AB"/>
    <w:rsid w:val="001769A8"/>
    <w:rsid w:val="001814FA"/>
    <w:rsid w:val="001815A9"/>
    <w:rsid w:val="00181D36"/>
    <w:rsid w:val="00182A27"/>
    <w:rsid w:val="0018375B"/>
    <w:rsid w:val="00184DDD"/>
    <w:rsid w:val="00184FFD"/>
    <w:rsid w:val="00185449"/>
    <w:rsid w:val="00186314"/>
    <w:rsid w:val="00187B04"/>
    <w:rsid w:val="00190000"/>
    <w:rsid w:val="001929C2"/>
    <w:rsid w:val="00192B8F"/>
    <w:rsid w:val="00192DE4"/>
    <w:rsid w:val="00193D66"/>
    <w:rsid w:val="00194BB7"/>
    <w:rsid w:val="001A03DF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B6432"/>
    <w:rsid w:val="001B6563"/>
    <w:rsid w:val="001C017B"/>
    <w:rsid w:val="001C239E"/>
    <w:rsid w:val="001C2D7E"/>
    <w:rsid w:val="001D1FA0"/>
    <w:rsid w:val="001D32D4"/>
    <w:rsid w:val="001D3645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4ED9"/>
    <w:rsid w:val="001E5657"/>
    <w:rsid w:val="001E5F94"/>
    <w:rsid w:val="001E744F"/>
    <w:rsid w:val="001E776C"/>
    <w:rsid w:val="001F0557"/>
    <w:rsid w:val="001F065A"/>
    <w:rsid w:val="001F0B0E"/>
    <w:rsid w:val="001F1FE7"/>
    <w:rsid w:val="001F25DD"/>
    <w:rsid w:val="001F3552"/>
    <w:rsid w:val="001F473D"/>
    <w:rsid w:val="001F4BFD"/>
    <w:rsid w:val="001F7405"/>
    <w:rsid w:val="001F7D0D"/>
    <w:rsid w:val="001F7E95"/>
    <w:rsid w:val="00201487"/>
    <w:rsid w:val="00201EF8"/>
    <w:rsid w:val="00202219"/>
    <w:rsid w:val="0020321B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4D44"/>
    <w:rsid w:val="0025526E"/>
    <w:rsid w:val="0025531B"/>
    <w:rsid w:val="0025604C"/>
    <w:rsid w:val="002560F9"/>
    <w:rsid w:val="00257517"/>
    <w:rsid w:val="00257FA9"/>
    <w:rsid w:val="00261CD0"/>
    <w:rsid w:val="00261F30"/>
    <w:rsid w:val="002637FB"/>
    <w:rsid w:val="00263CB5"/>
    <w:rsid w:val="0026571F"/>
    <w:rsid w:val="002669B0"/>
    <w:rsid w:val="0027137F"/>
    <w:rsid w:val="002723D2"/>
    <w:rsid w:val="002732E5"/>
    <w:rsid w:val="002745D9"/>
    <w:rsid w:val="00274823"/>
    <w:rsid w:val="0027577D"/>
    <w:rsid w:val="00275F43"/>
    <w:rsid w:val="00276F60"/>
    <w:rsid w:val="002810E3"/>
    <w:rsid w:val="00282EAA"/>
    <w:rsid w:val="0028384D"/>
    <w:rsid w:val="0028525D"/>
    <w:rsid w:val="00285DCC"/>
    <w:rsid w:val="002860DB"/>
    <w:rsid w:val="00286CE5"/>
    <w:rsid w:val="0029023F"/>
    <w:rsid w:val="002913B7"/>
    <w:rsid w:val="00291541"/>
    <w:rsid w:val="00291C5E"/>
    <w:rsid w:val="00292353"/>
    <w:rsid w:val="002924C2"/>
    <w:rsid w:val="00293069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077F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3A64"/>
    <w:rsid w:val="00304F42"/>
    <w:rsid w:val="00304F96"/>
    <w:rsid w:val="00305477"/>
    <w:rsid w:val="00306131"/>
    <w:rsid w:val="00311B2C"/>
    <w:rsid w:val="00311EE4"/>
    <w:rsid w:val="0031318B"/>
    <w:rsid w:val="003137B7"/>
    <w:rsid w:val="00314406"/>
    <w:rsid w:val="003148D1"/>
    <w:rsid w:val="003148F3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2E1F"/>
    <w:rsid w:val="00333C91"/>
    <w:rsid w:val="00335FF3"/>
    <w:rsid w:val="0033695C"/>
    <w:rsid w:val="00336E75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65AC9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5002"/>
    <w:rsid w:val="00387B81"/>
    <w:rsid w:val="0039003D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B7A75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D7980"/>
    <w:rsid w:val="003E49F8"/>
    <w:rsid w:val="003E5109"/>
    <w:rsid w:val="003E5507"/>
    <w:rsid w:val="003E60EE"/>
    <w:rsid w:val="003E6B48"/>
    <w:rsid w:val="003E748F"/>
    <w:rsid w:val="003F3F47"/>
    <w:rsid w:val="003F6A81"/>
    <w:rsid w:val="003F6E0C"/>
    <w:rsid w:val="004003A8"/>
    <w:rsid w:val="0040240E"/>
    <w:rsid w:val="00402756"/>
    <w:rsid w:val="00404175"/>
    <w:rsid w:val="00405B3A"/>
    <w:rsid w:val="004074DC"/>
    <w:rsid w:val="004111CC"/>
    <w:rsid w:val="004122A3"/>
    <w:rsid w:val="004153CC"/>
    <w:rsid w:val="00416E8B"/>
    <w:rsid w:val="00420273"/>
    <w:rsid w:val="00420AA0"/>
    <w:rsid w:val="0042116C"/>
    <w:rsid w:val="00422D19"/>
    <w:rsid w:val="00422DFE"/>
    <w:rsid w:val="00424D83"/>
    <w:rsid w:val="00424E29"/>
    <w:rsid w:val="004274B4"/>
    <w:rsid w:val="00427D22"/>
    <w:rsid w:val="00427E2D"/>
    <w:rsid w:val="00432568"/>
    <w:rsid w:val="004362D4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3375"/>
    <w:rsid w:val="004565EF"/>
    <w:rsid w:val="00457FF9"/>
    <w:rsid w:val="004601ED"/>
    <w:rsid w:val="00460711"/>
    <w:rsid w:val="0046108B"/>
    <w:rsid w:val="00462B1B"/>
    <w:rsid w:val="00467AE6"/>
    <w:rsid w:val="00467EC9"/>
    <w:rsid w:val="0047348F"/>
    <w:rsid w:val="00477791"/>
    <w:rsid w:val="00480286"/>
    <w:rsid w:val="0048070B"/>
    <w:rsid w:val="00480C3B"/>
    <w:rsid w:val="00480FE3"/>
    <w:rsid w:val="004815CC"/>
    <w:rsid w:val="00481C94"/>
    <w:rsid w:val="00481EB4"/>
    <w:rsid w:val="00482D58"/>
    <w:rsid w:val="00484A8D"/>
    <w:rsid w:val="00486A4E"/>
    <w:rsid w:val="00486B09"/>
    <w:rsid w:val="00487AD1"/>
    <w:rsid w:val="0049039C"/>
    <w:rsid w:val="0049139F"/>
    <w:rsid w:val="00494F07"/>
    <w:rsid w:val="00496116"/>
    <w:rsid w:val="004965A0"/>
    <w:rsid w:val="00497335"/>
    <w:rsid w:val="004A05A7"/>
    <w:rsid w:val="004A2E6B"/>
    <w:rsid w:val="004A3F98"/>
    <w:rsid w:val="004A5532"/>
    <w:rsid w:val="004A5958"/>
    <w:rsid w:val="004A76DF"/>
    <w:rsid w:val="004B0A75"/>
    <w:rsid w:val="004B1E56"/>
    <w:rsid w:val="004B2190"/>
    <w:rsid w:val="004B69B2"/>
    <w:rsid w:val="004B7507"/>
    <w:rsid w:val="004B7DC4"/>
    <w:rsid w:val="004B7F85"/>
    <w:rsid w:val="004C099B"/>
    <w:rsid w:val="004C42AE"/>
    <w:rsid w:val="004C43C0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1378"/>
    <w:rsid w:val="004E1575"/>
    <w:rsid w:val="004E255F"/>
    <w:rsid w:val="004E4C2D"/>
    <w:rsid w:val="004E547A"/>
    <w:rsid w:val="004E5CFB"/>
    <w:rsid w:val="004F0539"/>
    <w:rsid w:val="004F0885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02A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CD5"/>
    <w:rsid w:val="00552EFE"/>
    <w:rsid w:val="00554ABB"/>
    <w:rsid w:val="0055552D"/>
    <w:rsid w:val="00555668"/>
    <w:rsid w:val="0055679E"/>
    <w:rsid w:val="0056090D"/>
    <w:rsid w:val="0056189B"/>
    <w:rsid w:val="00561E9C"/>
    <w:rsid w:val="00565C7A"/>
    <w:rsid w:val="00567E14"/>
    <w:rsid w:val="005705A7"/>
    <w:rsid w:val="00571D9D"/>
    <w:rsid w:val="0057277E"/>
    <w:rsid w:val="005727C5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389"/>
    <w:rsid w:val="00593AF8"/>
    <w:rsid w:val="00593EC9"/>
    <w:rsid w:val="005964B1"/>
    <w:rsid w:val="005965FD"/>
    <w:rsid w:val="00597FCC"/>
    <w:rsid w:val="005A01C3"/>
    <w:rsid w:val="005A132A"/>
    <w:rsid w:val="005A337C"/>
    <w:rsid w:val="005A34B0"/>
    <w:rsid w:val="005A3ECF"/>
    <w:rsid w:val="005A5383"/>
    <w:rsid w:val="005A6821"/>
    <w:rsid w:val="005B2393"/>
    <w:rsid w:val="005B750A"/>
    <w:rsid w:val="005C2B89"/>
    <w:rsid w:val="005C2FA7"/>
    <w:rsid w:val="005C386F"/>
    <w:rsid w:val="005C42AC"/>
    <w:rsid w:val="005C47D8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0E90"/>
    <w:rsid w:val="005E2725"/>
    <w:rsid w:val="005E65FA"/>
    <w:rsid w:val="005F19CE"/>
    <w:rsid w:val="005F28F4"/>
    <w:rsid w:val="005F43BB"/>
    <w:rsid w:val="005F4C81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171AA"/>
    <w:rsid w:val="00620598"/>
    <w:rsid w:val="00620818"/>
    <w:rsid w:val="00620FEC"/>
    <w:rsid w:val="006214DC"/>
    <w:rsid w:val="006215E2"/>
    <w:rsid w:val="0062168F"/>
    <w:rsid w:val="006221A2"/>
    <w:rsid w:val="006226EA"/>
    <w:rsid w:val="00627113"/>
    <w:rsid w:val="00627A51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46B48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937DD"/>
    <w:rsid w:val="0069588C"/>
    <w:rsid w:val="006A0059"/>
    <w:rsid w:val="006A7425"/>
    <w:rsid w:val="006B058A"/>
    <w:rsid w:val="006B1299"/>
    <w:rsid w:val="006B26D9"/>
    <w:rsid w:val="006B310C"/>
    <w:rsid w:val="006B664C"/>
    <w:rsid w:val="006B6711"/>
    <w:rsid w:val="006C1125"/>
    <w:rsid w:val="006C1C83"/>
    <w:rsid w:val="006C3E78"/>
    <w:rsid w:val="006C54E6"/>
    <w:rsid w:val="006C5762"/>
    <w:rsid w:val="006C690D"/>
    <w:rsid w:val="006D149F"/>
    <w:rsid w:val="006D3396"/>
    <w:rsid w:val="006D5314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6F598E"/>
    <w:rsid w:val="006F689B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5CCC"/>
    <w:rsid w:val="00736FFB"/>
    <w:rsid w:val="00740080"/>
    <w:rsid w:val="00740913"/>
    <w:rsid w:val="00741A30"/>
    <w:rsid w:val="007504DC"/>
    <w:rsid w:val="0075142F"/>
    <w:rsid w:val="00751965"/>
    <w:rsid w:val="007524EF"/>
    <w:rsid w:val="00752689"/>
    <w:rsid w:val="00756D1D"/>
    <w:rsid w:val="00757A3E"/>
    <w:rsid w:val="00760886"/>
    <w:rsid w:val="007615CA"/>
    <w:rsid w:val="00761ADD"/>
    <w:rsid w:val="00762B3A"/>
    <w:rsid w:val="00765449"/>
    <w:rsid w:val="00765D6E"/>
    <w:rsid w:val="00765D7E"/>
    <w:rsid w:val="007674B6"/>
    <w:rsid w:val="00770E90"/>
    <w:rsid w:val="00771324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19DD"/>
    <w:rsid w:val="00782860"/>
    <w:rsid w:val="00784913"/>
    <w:rsid w:val="00785B90"/>
    <w:rsid w:val="0078639C"/>
    <w:rsid w:val="007913D3"/>
    <w:rsid w:val="0079790C"/>
    <w:rsid w:val="007A102A"/>
    <w:rsid w:val="007A15E6"/>
    <w:rsid w:val="007A194B"/>
    <w:rsid w:val="007A2C01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2170"/>
    <w:rsid w:val="007E3532"/>
    <w:rsid w:val="007E5B9A"/>
    <w:rsid w:val="007E5FE3"/>
    <w:rsid w:val="007E64DF"/>
    <w:rsid w:val="007E657D"/>
    <w:rsid w:val="007E6898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7F9"/>
    <w:rsid w:val="00800AFD"/>
    <w:rsid w:val="00800C1B"/>
    <w:rsid w:val="0080239D"/>
    <w:rsid w:val="00803CF3"/>
    <w:rsid w:val="00806EAB"/>
    <w:rsid w:val="00810E52"/>
    <w:rsid w:val="00811CA7"/>
    <w:rsid w:val="0081636E"/>
    <w:rsid w:val="00816CFE"/>
    <w:rsid w:val="008175BB"/>
    <w:rsid w:val="0082112E"/>
    <w:rsid w:val="00821662"/>
    <w:rsid w:val="00822F2B"/>
    <w:rsid w:val="00823D9A"/>
    <w:rsid w:val="008276EB"/>
    <w:rsid w:val="00827EA4"/>
    <w:rsid w:val="008301D6"/>
    <w:rsid w:val="00830443"/>
    <w:rsid w:val="008305B7"/>
    <w:rsid w:val="00830C78"/>
    <w:rsid w:val="00830FB9"/>
    <w:rsid w:val="0083295D"/>
    <w:rsid w:val="00834968"/>
    <w:rsid w:val="00834B53"/>
    <w:rsid w:val="00840298"/>
    <w:rsid w:val="00841BE4"/>
    <w:rsid w:val="008420CF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4D37"/>
    <w:rsid w:val="00865EE6"/>
    <w:rsid w:val="00870D23"/>
    <w:rsid w:val="00872B72"/>
    <w:rsid w:val="00873022"/>
    <w:rsid w:val="008759DE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1D8A"/>
    <w:rsid w:val="008920F2"/>
    <w:rsid w:val="0089348A"/>
    <w:rsid w:val="008944C9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2B77"/>
    <w:rsid w:val="008C302A"/>
    <w:rsid w:val="008C37C4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5E3E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054DC"/>
    <w:rsid w:val="009076D4"/>
    <w:rsid w:val="0091086B"/>
    <w:rsid w:val="00911129"/>
    <w:rsid w:val="00912EA3"/>
    <w:rsid w:val="009135C7"/>
    <w:rsid w:val="00914B6E"/>
    <w:rsid w:val="009156A2"/>
    <w:rsid w:val="0091579A"/>
    <w:rsid w:val="0091615D"/>
    <w:rsid w:val="00916A73"/>
    <w:rsid w:val="00923F7E"/>
    <w:rsid w:val="00924C96"/>
    <w:rsid w:val="00925030"/>
    <w:rsid w:val="00925B32"/>
    <w:rsid w:val="00930A64"/>
    <w:rsid w:val="00930BE5"/>
    <w:rsid w:val="00931403"/>
    <w:rsid w:val="00933850"/>
    <w:rsid w:val="00934991"/>
    <w:rsid w:val="009351A7"/>
    <w:rsid w:val="0093640F"/>
    <w:rsid w:val="0094180B"/>
    <w:rsid w:val="00941BC8"/>
    <w:rsid w:val="009426B9"/>
    <w:rsid w:val="00944E85"/>
    <w:rsid w:val="00945459"/>
    <w:rsid w:val="0094634C"/>
    <w:rsid w:val="009463AB"/>
    <w:rsid w:val="00950239"/>
    <w:rsid w:val="00950332"/>
    <w:rsid w:val="00955899"/>
    <w:rsid w:val="00955A03"/>
    <w:rsid w:val="0096203D"/>
    <w:rsid w:val="0096224A"/>
    <w:rsid w:val="00962599"/>
    <w:rsid w:val="00963208"/>
    <w:rsid w:val="00963289"/>
    <w:rsid w:val="00964263"/>
    <w:rsid w:val="0096459B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090F"/>
    <w:rsid w:val="0099128D"/>
    <w:rsid w:val="009917F1"/>
    <w:rsid w:val="00991E37"/>
    <w:rsid w:val="00991E74"/>
    <w:rsid w:val="009926A6"/>
    <w:rsid w:val="0099415E"/>
    <w:rsid w:val="009948BF"/>
    <w:rsid w:val="009966B7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2934"/>
    <w:rsid w:val="009C339C"/>
    <w:rsid w:val="009C33B8"/>
    <w:rsid w:val="009D07A0"/>
    <w:rsid w:val="009D107D"/>
    <w:rsid w:val="009D1871"/>
    <w:rsid w:val="009D2985"/>
    <w:rsid w:val="009D3033"/>
    <w:rsid w:val="009D3F3B"/>
    <w:rsid w:val="009D5770"/>
    <w:rsid w:val="009D6759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380D"/>
    <w:rsid w:val="009F4200"/>
    <w:rsid w:val="009F4933"/>
    <w:rsid w:val="009F5FD0"/>
    <w:rsid w:val="009F6DD5"/>
    <w:rsid w:val="009F7B12"/>
    <w:rsid w:val="00A020A2"/>
    <w:rsid w:val="00A0297B"/>
    <w:rsid w:val="00A0358E"/>
    <w:rsid w:val="00A046AA"/>
    <w:rsid w:val="00A049F9"/>
    <w:rsid w:val="00A0529B"/>
    <w:rsid w:val="00A057F6"/>
    <w:rsid w:val="00A0766F"/>
    <w:rsid w:val="00A10713"/>
    <w:rsid w:val="00A1252C"/>
    <w:rsid w:val="00A13B8B"/>
    <w:rsid w:val="00A151B7"/>
    <w:rsid w:val="00A1782D"/>
    <w:rsid w:val="00A21225"/>
    <w:rsid w:val="00A2139C"/>
    <w:rsid w:val="00A218F9"/>
    <w:rsid w:val="00A21E37"/>
    <w:rsid w:val="00A23314"/>
    <w:rsid w:val="00A235BB"/>
    <w:rsid w:val="00A23F10"/>
    <w:rsid w:val="00A23F72"/>
    <w:rsid w:val="00A25F84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66F2"/>
    <w:rsid w:val="00A47471"/>
    <w:rsid w:val="00A47E22"/>
    <w:rsid w:val="00A47ED0"/>
    <w:rsid w:val="00A509EA"/>
    <w:rsid w:val="00A51363"/>
    <w:rsid w:val="00A51476"/>
    <w:rsid w:val="00A526D2"/>
    <w:rsid w:val="00A54412"/>
    <w:rsid w:val="00A5498B"/>
    <w:rsid w:val="00A550C8"/>
    <w:rsid w:val="00A5564C"/>
    <w:rsid w:val="00A559EC"/>
    <w:rsid w:val="00A55A3D"/>
    <w:rsid w:val="00A569F8"/>
    <w:rsid w:val="00A56E60"/>
    <w:rsid w:val="00A571B3"/>
    <w:rsid w:val="00A57A8F"/>
    <w:rsid w:val="00A61884"/>
    <w:rsid w:val="00A626B5"/>
    <w:rsid w:val="00A62DF0"/>
    <w:rsid w:val="00A63620"/>
    <w:rsid w:val="00A63ECE"/>
    <w:rsid w:val="00A66342"/>
    <w:rsid w:val="00A665C8"/>
    <w:rsid w:val="00A6749E"/>
    <w:rsid w:val="00A67D7A"/>
    <w:rsid w:val="00A701A6"/>
    <w:rsid w:val="00A70D88"/>
    <w:rsid w:val="00A71142"/>
    <w:rsid w:val="00A711F0"/>
    <w:rsid w:val="00A72895"/>
    <w:rsid w:val="00A73520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4D3E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571B"/>
    <w:rsid w:val="00AA73FD"/>
    <w:rsid w:val="00AB1CEF"/>
    <w:rsid w:val="00AB2F87"/>
    <w:rsid w:val="00AB32C3"/>
    <w:rsid w:val="00AB5E2B"/>
    <w:rsid w:val="00AB6069"/>
    <w:rsid w:val="00AB6467"/>
    <w:rsid w:val="00AC0575"/>
    <w:rsid w:val="00AC0758"/>
    <w:rsid w:val="00AC0934"/>
    <w:rsid w:val="00AC0DF1"/>
    <w:rsid w:val="00AC17EE"/>
    <w:rsid w:val="00AC2BFD"/>
    <w:rsid w:val="00AC4DDD"/>
    <w:rsid w:val="00AC54DF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4BC"/>
    <w:rsid w:val="00B059B8"/>
    <w:rsid w:val="00B07418"/>
    <w:rsid w:val="00B11547"/>
    <w:rsid w:val="00B11EF0"/>
    <w:rsid w:val="00B1226C"/>
    <w:rsid w:val="00B14F05"/>
    <w:rsid w:val="00B15731"/>
    <w:rsid w:val="00B15D01"/>
    <w:rsid w:val="00B1735E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0D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60A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461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03A"/>
    <w:rsid w:val="00C005D8"/>
    <w:rsid w:val="00C00760"/>
    <w:rsid w:val="00C02F31"/>
    <w:rsid w:val="00C03A74"/>
    <w:rsid w:val="00C04DA5"/>
    <w:rsid w:val="00C050FC"/>
    <w:rsid w:val="00C05D40"/>
    <w:rsid w:val="00C06A4E"/>
    <w:rsid w:val="00C07F6B"/>
    <w:rsid w:val="00C113BA"/>
    <w:rsid w:val="00C11905"/>
    <w:rsid w:val="00C14462"/>
    <w:rsid w:val="00C16542"/>
    <w:rsid w:val="00C22382"/>
    <w:rsid w:val="00C2355B"/>
    <w:rsid w:val="00C254C0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2A6C"/>
    <w:rsid w:val="00C54FC6"/>
    <w:rsid w:val="00C56F88"/>
    <w:rsid w:val="00C57B7E"/>
    <w:rsid w:val="00C60217"/>
    <w:rsid w:val="00C60525"/>
    <w:rsid w:val="00C631A5"/>
    <w:rsid w:val="00C63AF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97F63"/>
    <w:rsid w:val="00CA55BD"/>
    <w:rsid w:val="00CB0837"/>
    <w:rsid w:val="00CB2BFA"/>
    <w:rsid w:val="00CB3888"/>
    <w:rsid w:val="00CB400E"/>
    <w:rsid w:val="00CB48F6"/>
    <w:rsid w:val="00CB5F04"/>
    <w:rsid w:val="00CB67F1"/>
    <w:rsid w:val="00CB68A8"/>
    <w:rsid w:val="00CB7DC8"/>
    <w:rsid w:val="00CC0EC0"/>
    <w:rsid w:val="00CC2894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363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9D0"/>
    <w:rsid w:val="00D11A35"/>
    <w:rsid w:val="00D13130"/>
    <w:rsid w:val="00D146D4"/>
    <w:rsid w:val="00D14B3C"/>
    <w:rsid w:val="00D14BA5"/>
    <w:rsid w:val="00D16580"/>
    <w:rsid w:val="00D168B1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CE8"/>
    <w:rsid w:val="00D33FC2"/>
    <w:rsid w:val="00D36C7E"/>
    <w:rsid w:val="00D37394"/>
    <w:rsid w:val="00D426F1"/>
    <w:rsid w:val="00D46699"/>
    <w:rsid w:val="00D47345"/>
    <w:rsid w:val="00D503A1"/>
    <w:rsid w:val="00D5073F"/>
    <w:rsid w:val="00D50E2C"/>
    <w:rsid w:val="00D51573"/>
    <w:rsid w:val="00D5399A"/>
    <w:rsid w:val="00D5444F"/>
    <w:rsid w:val="00D54E0D"/>
    <w:rsid w:val="00D54F7D"/>
    <w:rsid w:val="00D55FDF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1CA1"/>
    <w:rsid w:val="00D83D95"/>
    <w:rsid w:val="00D85ED6"/>
    <w:rsid w:val="00D90293"/>
    <w:rsid w:val="00D90496"/>
    <w:rsid w:val="00D917BC"/>
    <w:rsid w:val="00D942DE"/>
    <w:rsid w:val="00D9491E"/>
    <w:rsid w:val="00D957DC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2C6F"/>
    <w:rsid w:val="00DC3256"/>
    <w:rsid w:val="00DC35A6"/>
    <w:rsid w:val="00DC49C7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083"/>
    <w:rsid w:val="00DE5458"/>
    <w:rsid w:val="00DE5EE6"/>
    <w:rsid w:val="00DE77EA"/>
    <w:rsid w:val="00DE7A92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27BD6"/>
    <w:rsid w:val="00E325A5"/>
    <w:rsid w:val="00E33928"/>
    <w:rsid w:val="00E33C90"/>
    <w:rsid w:val="00E34D15"/>
    <w:rsid w:val="00E3575C"/>
    <w:rsid w:val="00E35E86"/>
    <w:rsid w:val="00E36B45"/>
    <w:rsid w:val="00E37BF1"/>
    <w:rsid w:val="00E41D3F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6A8"/>
    <w:rsid w:val="00E61C74"/>
    <w:rsid w:val="00E63D8F"/>
    <w:rsid w:val="00E706B6"/>
    <w:rsid w:val="00E72AC0"/>
    <w:rsid w:val="00E76FF1"/>
    <w:rsid w:val="00E771D6"/>
    <w:rsid w:val="00E774FE"/>
    <w:rsid w:val="00E77AC4"/>
    <w:rsid w:val="00E809A0"/>
    <w:rsid w:val="00E80AF7"/>
    <w:rsid w:val="00E84407"/>
    <w:rsid w:val="00E85A84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0AD1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D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68D9"/>
    <w:rsid w:val="00EF791E"/>
    <w:rsid w:val="00EF7A63"/>
    <w:rsid w:val="00F00D58"/>
    <w:rsid w:val="00F0226C"/>
    <w:rsid w:val="00F02522"/>
    <w:rsid w:val="00F0275E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2C40"/>
    <w:rsid w:val="00F13B2E"/>
    <w:rsid w:val="00F176A0"/>
    <w:rsid w:val="00F20174"/>
    <w:rsid w:val="00F22098"/>
    <w:rsid w:val="00F223BC"/>
    <w:rsid w:val="00F23780"/>
    <w:rsid w:val="00F2395F"/>
    <w:rsid w:val="00F251D3"/>
    <w:rsid w:val="00F26185"/>
    <w:rsid w:val="00F3178C"/>
    <w:rsid w:val="00F33D8B"/>
    <w:rsid w:val="00F33DE5"/>
    <w:rsid w:val="00F34B8F"/>
    <w:rsid w:val="00F36D7F"/>
    <w:rsid w:val="00F37186"/>
    <w:rsid w:val="00F42BF4"/>
    <w:rsid w:val="00F42FCF"/>
    <w:rsid w:val="00F44A83"/>
    <w:rsid w:val="00F51743"/>
    <w:rsid w:val="00F529D4"/>
    <w:rsid w:val="00F54A12"/>
    <w:rsid w:val="00F54F27"/>
    <w:rsid w:val="00F55FC8"/>
    <w:rsid w:val="00F57B2E"/>
    <w:rsid w:val="00F60430"/>
    <w:rsid w:val="00F604E3"/>
    <w:rsid w:val="00F610E6"/>
    <w:rsid w:val="00F61B60"/>
    <w:rsid w:val="00F61FCC"/>
    <w:rsid w:val="00F66036"/>
    <w:rsid w:val="00F6689D"/>
    <w:rsid w:val="00F66E47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4AC0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17F"/>
    <w:rsid w:val="00FB020D"/>
    <w:rsid w:val="00FB3F33"/>
    <w:rsid w:val="00FB43E4"/>
    <w:rsid w:val="00FB4889"/>
    <w:rsid w:val="00FB676C"/>
    <w:rsid w:val="00FB67CC"/>
    <w:rsid w:val="00FB70EA"/>
    <w:rsid w:val="00FB728E"/>
    <w:rsid w:val="00FC0ADE"/>
    <w:rsid w:val="00FC0FF1"/>
    <w:rsid w:val="00FC1FDF"/>
    <w:rsid w:val="00FC3360"/>
    <w:rsid w:val="00FC3E27"/>
    <w:rsid w:val="00FC4493"/>
    <w:rsid w:val="00FC493B"/>
    <w:rsid w:val="00FC63E5"/>
    <w:rsid w:val="00FD0E54"/>
    <w:rsid w:val="00FD166A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2D2C6088"/>
    <w:rsid w:val="3BAE0207"/>
    <w:rsid w:val="68306EF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link w:val="48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0">
    <w:name w:val="Default Paragraph Font"/>
    <w:unhideWhenUsed/>
    <w:uiPriority w:val="1"/>
  </w:style>
  <w:style w:type="table" w:default="1" w:styleId="24">
    <w:name w:val="Normal Table"/>
    <w:unhideWhenUsed/>
    <w:uiPriority w:val="99"/>
    <w:tblPr>
      <w:tblStyle w:val="2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uiPriority w:val="0"/>
    <w:rPr>
      <w:b/>
      <w:bCs/>
    </w:rPr>
  </w:style>
  <w:style w:type="paragraph" w:styleId="7">
    <w:name w:val="annotation text"/>
    <w:basedOn w:val="1"/>
    <w:link w:val="38"/>
    <w:semiHidden/>
    <w:uiPriority w:val="0"/>
    <w:rPr>
      <w:sz w:val="24"/>
    </w:rPr>
  </w:style>
  <w:style w:type="paragraph" w:styleId="8">
    <w:name w:val="List Number 2"/>
    <w:basedOn w:val="1"/>
    <w:qFormat/>
    <w:uiPriority w:val="0"/>
    <w:pPr>
      <w:numPr>
        <w:ilvl w:val="0"/>
        <w:numId w:val="2"/>
      </w:numPr>
      <w:tabs>
        <w:tab w:val="left" w:pos="851"/>
        <w:tab w:val="right" w:pos="10206"/>
        <w:tab w:val="clear" w:pos="780"/>
      </w:tabs>
      <w:adjustRightInd/>
      <w:spacing w:after="120" w:line="240" w:lineRule="atLeast"/>
      <w:ind w:left="851" w:leftChars="0" w:hanging="426" w:firstLineChars="0"/>
      <w:jc w:val="both"/>
      <w:textAlignment w:val="auto"/>
    </w:pPr>
    <w:rPr>
      <w:rFonts w:ascii="Arial" w:hAnsi="Arial" w:eastAsia="宋体"/>
      <w:sz w:val="18"/>
      <w:lang w:val="en-US"/>
    </w:r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"/>
    <w:basedOn w:val="1"/>
    <w:uiPriority w:val="0"/>
    <w:pPr>
      <w:ind w:right="56"/>
    </w:pPr>
    <w:rPr>
      <w:b/>
      <w:sz w:val="22"/>
    </w:rPr>
  </w:style>
  <w:style w:type="paragraph" w:styleId="11">
    <w:name w:val="Body Text Indent"/>
    <w:basedOn w:val="1"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3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4">
    <w:name w:val="Balloon Text"/>
    <w:basedOn w:val="1"/>
    <w:semiHidden/>
    <w:uiPriority w:val="0"/>
    <w:rPr>
      <w:sz w:val="18"/>
      <w:szCs w:val="18"/>
    </w:rPr>
  </w:style>
  <w:style w:type="paragraph" w:styleId="15">
    <w:name w:val="footer"/>
    <w:basedOn w:val="1"/>
    <w:link w:val="39"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6">
    <w:name w:val="header"/>
    <w:basedOn w:val="1"/>
    <w:link w:val="37"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7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8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9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1">
    <w:name w:val="page number"/>
    <w:basedOn w:val="20"/>
    <w:uiPriority w:val="0"/>
    <w:rPr/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semiHidden/>
    <w:uiPriority w:val="0"/>
    <w:rPr>
      <w:sz w:val="21"/>
      <w:szCs w:val="21"/>
    </w:rPr>
  </w:style>
  <w:style w:type="table" w:styleId="25">
    <w:name w:val="Table Grid"/>
    <w:basedOn w:val="24"/>
    <w:uiPriority w:val="59"/>
    <w:pPr>
      <w:overflowPunct w:val="0"/>
      <w:autoSpaceDE w:val="0"/>
      <w:autoSpaceDN w:val="0"/>
      <w:adjustRightInd w:val="0"/>
      <w:textAlignment w:val="baseline"/>
    </w:pPr>
    <w:tblPr>
      <w:tblStyle w:val="2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6">
    <w:name w:val="Table"/>
    <w:basedOn w:val="1"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7">
    <w:name w:val="Default Text"/>
    <w:basedOn w:val="1"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1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2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3">
    <w:name w:val="numbering blue"/>
    <w:basedOn w:val="1"/>
    <w:link w:val="42"/>
    <w:qFormat/>
    <w:uiPriority w:val="0"/>
    <w:pPr>
      <w:numPr>
        <w:ilvl w:val="0"/>
        <w:numId w:val="3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5">
    <w:name w:val="Text"/>
    <w:basedOn w:val="1"/>
    <w:link w:val="43"/>
    <w:qFormat/>
    <w:uiPriority w:val="99"/>
    <w:pPr>
      <w:adjustRightInd/>
      <w:spacing w:before="120"/>
      <w:jc w:val="both"/>
      <w:textAlignment w:val="auto"/>
    </w:pPr>
    <w:rPr>
      <w:sz w:val="24"/>
    </w:rPr>
  </w:style>
  <w:style w:type="paragraph" w:customStyle="1" w:styleId="36">
    <w:name w:val="Table text"/>
    <w:basedOn w:val="1"/>
    <w:qFormat/>
    <w:uiPriority w:val="99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7">
    <w:name w:val="页眉 Char"/>
    <w:link w:val="16"/>
    <w:uiPriority w:val="0"/>
    <w:rPr>
      <w:rFonts w:eastAsia="宋体"/>
      <w:sz w:val="24"/>
      <w:lang w:eastAsia="en-US" w:bidi="ar-SA"/>
    </w:rPr>
  </w:style>
  <w:style w:type="character" w:customStyle="1" w:styleId="38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39">
    <w:name w:val="页脚 Char"/>
    <w:link w:val="15"/>
    <w:qFormat/>
    <w:uiPriority w:val="0"/>
    <w:rPr>
      <w:sz w:val="24"/>
      <w:lang w:eastAsia="en-US"/>
    </w:rPr>
  </w:style>
  <w:style w:type="character" w:customStyle="1" w:styleId="40">
    <w:name w:val="instruction standard blue"/>
    <w:qFormat/>
    <w:uiPriority w:val="1"/>
    <w:rPr>
      <w:rFonts w:cs="Arial"/>
      <w:i/>
      <w:color w:val="0070C0"/>
    </w:rPr>
  </w:style>
  <w:style w:type="character" w:customStyle="1" w:styleId="41">
    <w:name w:val="keyword"/>
    <w:basedOn w:val="20"/>
    <w:qFormat/>
    <w:uiPriority w:val="0"/>
    <w:rPr/>
  </w:style>
  <w:style w:type="character" w:customStyle="1" w:styleId="42">
    <w:name w:val="numbering blue Zchn"/>
    <w:link w:val="33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3">
    <w:name w:val="Text Char"/>
    <w:link w:val="35"/>
    <w:qFormat/>
    <w:locked/>
    <w:uiPriority w:val="99"/>
    <w:rPr>
      <w:sz w:val="24"/>
      <w:lang w:eastAsia="en-US"/>
    </w:rPr>
  </w:style>
  <w:style w:type="character" w:customStyle="1" w:styleId="44">
    <w:name w:val="ordinary-span-edit2"/>
    <w:qFormat/>
    <w:uiPriority w:val="0"/>
  </w:style>
  <w:style w:type="character" w:customStyle="1" w:styleId="45">
    <w:name w:val="apple-converted-space"/>
    <w:basedOn w:val="20"/>
    <w:qFormat/>
    <w:uiPriority w:val="0"/>
    <w:rPr/>
  </w:style>
  <w:style w:type="character" w:customStyle="1" w:styleId="46">
    <w:name w:val="标题 Char"/>
    <w:link w:val="19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7">
    <w:name w:val="Footer Char"/>
    <w:basedOn w:val="20"/>
    <w:semiHidden/>
    <w:qFormat/>
    <w:locked/>
    <w:uiPriority w:val="0"/>
    <w:rPr>
      <w:rFonts w:cs="Times New Roman"/>
      <w:sz w:val="18"/>
      <w:szCs w:val="18"/>
    </w:rPr>
  </w:style>
  <w:style w:type="character" w:customStyle="1" w:styleId="48">
    <w:name w:val="标题 4 Char"/>
    <w:basedOn w:val="20"/>
    <w:link w:val="5"/>
    <w:qFormat/>
    <w:uiPriority w:val="0"/>
    <w:rPr>
      <w:b/>
      <w:i/>
      <w:sz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671</Words>
  <Characters>3829</Characters>
  <Lines>31</Lines>
  <Paragraphs>8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2020-04-28T02:10:00Z</dcterms:created>
  <dc:creator>Lilly</dc:creator>
  <cp:lastModifiedBy>汪洋</cp:lastModifiedBy>
  <cp:lastPrinted>2020-10-26T05:05:00Z</cp:lastPrinted>
  <dcterms:modified xsi:type="dcterms:W3CDTF">2020-11-20T02:00:04Z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