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lang w:eastAsia="zh-CN"/>
        </w:rPr>
      </w:pPr>
      <w:bookmarkStart w:id="0" w:name="_Toc482717189"/>
      <w:bookmarkStart w:id="1" w:name="_Toc483666358"/>
      <w:bookmarkStart w:id="2" w:name="_Toc483400307"/>
      <w:bookmarkStart w:id="3" w:name="_Toc484532399"/>
      <w:bookmarkStart w:id="4" w:name="_Toc483227223"/>
    </w:p>
    <w:p>
      <w:pPr>
        <w:spacing w:after="158" w:afterLines="50"/>
        <w:jc w:val="center"/>
        <w:rPr>
          <w:b/>
          <w:szCs w:val="21"/>
          <w:lang w:eastAsia="zh-CN"/>
        </w:rPr>
      </w:pPr>
      <w:permStart w:id="0" w:edGrp="everyone"/>
      <w:r>
        <w:rPr>
          <w:rFonts w:hint="eastAsia"/>
          <w:b/>
          <w:sz w:val="28"/>
          <w:szCs w:val="28"/>
          <w:lang w:eastAsia="zh-CN"/>
        </w:rPr>
        <w:t>研发中心分装中试车间粒子及微生物在线监测系统</w:t>
      </w:r>
      <w:permEnd w:id="0"/>
      <w:r>
        <w:rPr>
          <w:rFonts w:hint="eastAsia"/>
          <w:b/>
          <w:sz w:val="28"/>
          <w:szCs w:val="28"/>
          <w:lang w:eastAsia="zh-CN"/>
        </w:rPr>
        <w:t>用户需求说明（</w:t>
      </w:r>
      <w:r>
        <w:rPr>
          <w:b/>
          <w:sz w:val="28"/>
          <w:szCs w:val="28"/>
          <w:lang w:eastAsia="zh-CN"/>
        </w:rPr>
        <w:t>URS</w:t>
      </w:r>
      <w:r>
        <w:rPr>
          <w:rFonts w:hint="eastAsia"/>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r>
        <w:rPr>
          <w:rFonts w:hint="eastAsia"/>
          <w:sz w:val="21"/>
          <w:szCs w:val="21"/>
          <w:lang w:val="zh-CN" w:eastAsia="zh-CN"/>
        </w:rPr>
        <w:t>目录</w:t>
      </w:r>
      <w:r>
        <w:rPr>
          <w:sz w:val="21"/>
          <w:szCs w:val="21"/>
          <w:lang w:val="zh-CN" w:eastAsia="zh-CN"/>
        </w:rPr>
        <w:t xml:space="preserve"> </w:t>
      </w:r>
    </w:p>
    <w:p>
      <w:pPr>
        <w:rPr>
          <w:i/>
          <w:color w:val="00B0F0"/>
          <w:lang w:val="zh-CN" w:eastAsia="zh-CN"/>
        </w:rPr>
      </w:pPr>
      <w:permStart w:id="1" w:edGrp="everyone"/>
    </w:p>
    <w:p>
      <w:pPr>
        <w:pStyle w:val="16"/>
        <w:rPr>
          <w:b w:val="0"/>
          <w:bCs w:val="0"/>
          <w:caps w:val="0"/>
          <w:szCs w:val="22"/>
        </w:rPr>
      </w:pPr>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Fonts w:hint="eastAsia"/>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Fonts w:hint="eastAsia"/>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Fonts w:hint="eastAsia"/>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Fonts w:hint="eastAsia"/>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Fonts w:hint="eastAsia"/>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Fonts w:hint="eastAsia"/>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Fonts w:hint="eastAsia"/>
        </w:rPr>
        <w:t>安装要求</w:t>
      </w:r>
      <w:r>
        <w:tab/>
      </w:r>
      <w:r>
        <w:fldChar w:fldCharType="begin"/>
      </w:r>
      <w:r>
        <w:instrText xml:space="preserve"> PAGEREF _Toc522716120 \h </w:instrText>
      </w:r>
      <w:r>
        <w:fldChar w:fldCharType="separate"/>
      </w:r>
      <w:r>
        <w:t>6</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Fonts w:hint="eastAsia"/>
        </w:rPr>
        <w:t>运行要求</w:t>
      </w:r>
      <w:r>
        <w:tab/>
      </w:r>
      <w:r>
        <w:fldChar w:fldCharType="begin"/>
      </w:r>
      <w:r>
        <w:instrText xml:space="preserve"> PAGEREF _Toc522716121 \h </w:instrText>
      </w:r>
      <w:r>
        <w:fldChar w:fldCharType="separate"/>
      </w:r>
      <w:r>
        <w:t>9</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Fonts w:hint="eastAsia"/>
        </w:rPr>
        <w:t>电气、自动控制要求</w:t>
      </w:r>
      <w:r>
        <w:tab/>
      </w:r>
      <w:r>
        <w:fldChar w:fldCharType="begin"/>
      </w:r>
      <w:r>
        <w:instrText xml:space="preserve"> PAGEREF _Toc522716122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Fonts w:hint="eastAsia"/>
        </w:rPr>
        <w:t>安全要求</w:t>
      </w:r>
      <w:r>
        <w:tab/>
      </w:r>
      <w:r>
        <w:fldChar w:fldCharType="begin"/>
      </w:r>
      <w:r>
        <w:instrText xml:space="preserve"> PAGEREF _Toc522716123 \h </w:instrText>
      </w:r>
      <w:r>
        <w:fldChar w:fldCharType="separate"/>
      </w:r>
      <w:r>
        <w:t>15</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Fonts w:hint="eastAsia"/>
        </w:rPr>
        <w:t>文件要求</w:t>
      </w:r>
      <w:r>
        <w:tab/>
      </w:r>
      <w:r>
        <w:fldChar w:fldCharType="begin"/>
      </w:r>
      <w:r>
        <w:instrText xml:space="preserve"> PAGEREF _Toc522716124 \h </w:instrText>
      </w:r>
      <w:r>
        <w:fldChar w:fldCharType="separate"/>
      </w:r>
      <w:r>
        <w:t>16</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Fonts w:hint="eastAsia"/>
        </w:rPr>
        <w:t>服务要求</w:t>
      </w:r>
      <w:r>
        <w:tab/>
      </w:r>
      <w:r>
        <w:fldChar w:fldCharType="begin"/>
      </w:r>
      <w:r>
        <w:instrText xml:space="preserve"> PAGEREF _Toc522716125 \h </w:instrText>
      </w:r>
      <w:r>
        <w:fldChar w:fldCharType="separate"/>
      </w:r>
      <w:r>
        <w:t>17</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Fonts w:hint="eastAsia"/>
        </w:rPr>
        <w:t>附件</w:t>
      </w:r>
      <w:r>
        <w:tab/>
      </w:r>
      <w:r>
        <w:fldChar w:fldCharType="begin"/>
      </w:r>
      <w:r>
        <w:instrText xml:space="preserve"> PAGEREF _Toc522716126 \h </w:instrText>
      </w:r>
      <w:r>
        <w:fldChar w:fldCharType="separate"/>
      </w:r>
      <w:r>
        <w:t>19</w:t>
      </w:r>
      <w:r>
        <w:fldChar w:fldCharType="end"/>
      </w:r>
      <w:r>
        <w:fldChar w:fldCharType="end"/>
      </w:r>
    </w:p>
    <w:p>
      <w:r>
        <w:fldChar w:fldCharType="end"/>
      </w:r>
      <w:permEnd w:id="1"/>
    </w:p>
    <w:p>
      <w:pPr>
        <w:rPr>
          <w:lang w:val="en-US" w:eastAsia="zh-CN"/>
        </w:rPr>
      </w:pPr>
      <w:r>
        <w:rPr>
          <w:lang w:val="en-US" w:eastAsia="zh-CN"/>
        </w:rPr>
        <w:br w:type="page"/>
      </w:r>
      <w:bookmarkStart w:id="5" w:name="_Toc522107734"/>
    </w:p>
    <w:bookmarkEnd w:id="5"/>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hint="eastAsia" w:ascii="Times New Roman" w:hAnsi="Times New Roman"/>
          <w:b/>
        </w:rPr>
        <w:t>目的</w:t>
      </w:r>
      <w:bookmarkEnd w:id="6"/>
      <w:bookmarkEnd w:id="7"/>
    </w:p>
    <w:p>
      <w:pPr>
        <w:pStyle w:val="34"/>
        <w:spacing w:before="0" w:line="360" w:lineRule="auto"/>
        <w:ind w:left="357"/>
        <w:jc w:val="left"/>
        <w:rPr>
          <w:rFonts w:ascii="宋体" w:hAnsi="宋体" w:eastAsia="宋体"/>
          <w:sz w:val="21"/>
          <w:szCs w:val="21"/>
          <w:lang w:eastAsia="zh-CN"/>
        </w:rPr>
      </w:pPr>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bookmarkStart w:id="16" w:name="_Toc481702475"/>
      <w:r>
        <w:rPr>
          <w:rFonts w:hint="eastAsia" w:ascii="宋体" w:hAnsi="宋体" w:eastAsia="宋体"/>
          <w:sz w:val="21"/>
          <w:szCs w:val="21"/>
          <w:lang w:eastAsia="zh-CN"/>
        </w:rPr>
        <w:t>本文件的目的是描述武汉生物制品研究所有限责任公司</w:t>
      </w:r>
      <w:permStart w:id="2" w:edGrp="everyone"/>
      <w:r>
        <w:rPr>
          <w:rFonts w:hint="eastAsia" w:ascii="宋体" w:hAnsi="宋体" w:eastAsia="宋体"/>
          <w:sz w:val="21"/>
          <w:szCs w:val="21"/>
          <w:lang w:eastAsia="zh-CN"/>
        </w:rPr>
        <w:t>研发中心分装中试车间粒子及微生物在线监测系统</w:t>
      </w:r>
      <w:permEnd w:id="2"/>
      <w:r>
        <w:rPr>
          <w:rFonts w:hint="eastAsia" w:ascii="宋体" w:hAnsi="宋体" w:eastAsia="宋体"/>
          <w:sz w:val="21"/>
          <w:szCs w:val="21"/>
          <w:lang w:eastAsia="zh-CN"/>
        </w:rPr>
        <w:t>的用户需求说明（</w:t>
      </w:r>
      <w:r>
        <w:rPr>
          <w:rFonts w:ascii="宋体" w:hAnsi="宋体" w:eastAsia="宋体"/>
          <w:sz w:val="21"/>
          <w:szCs w:val="21"/>
          <w:lang w:eastAsia="zh-CN"/>
        </w:rPr>
        <w:t>URS</w:t>
      </w:r>
      <w:r>
        <w:rPr>
          <w:rFonts w:hint="eastAsia" w:ascii="宋体" w:hAnsi="宋体" w:eastAsia="宋体"/>
          <w:sz w:val="21"/>
          <w:szCs w:val="21"/>
          <w:lang w:eastAsia="zh-CN"/>
        </w:rPr>
        <w:t>），以确保最终用户的需求在项目设计阶段得以实现，并作为后续验证工作的基础。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hint="eastAsia" w:ascii="Times New Roman" w:hAnsi="Times New Roman"/>
          <w:b/>
        </w:rPr>
        <w:t>范围</w:t>
      </w:r>
      <w:bookmarkEnd w:id="17"/>
      <w:bookmarkEnd w:id="18"/>
    </w:p>
    <w:p>
      <w:pPr>
        <w:pStyle w:val="34"/>
        <w:spacing w:before="0" w:line="360" w:lineRule="auto"/>
        <w:ind w:left="357"/>
        <w:jc w:val="left"/>
        <w:rPr>
          <w:szCs w:val="21"/>
          <w:lang w:eastAsia="zh-CN"/>
        </w:rPr>
      </w:pPr>
      <w:r>
        <w:rPr>
          <w:rFonts w:hint="eastAsia" w:ascii="宋体" w:hAnsi="宋体"/>
          <w:sz w:val="21"/>
          <w:szCs w:val="21"/>
          <w:lang w:eastAsia="zh-CN"/>
        </w:rPr>
        <w:t>本</w:t>
      </w:r>
      <w:r>
        <w:rPr>
          <w:rFonts w:ascii="宋体" w:hAnsi="宋体"/>
          <w:sz w:val="21"/>
          <w:szCs w:val="21"/>
          <w:lang w:eastAsia="zh-CN"/>
        </w:rPr>
        <w:t>URS</w:t>
      </w:r>
      <w:r>
        <w:rPr>
          <w:rFonts w:hint="eastAsia" w:ascii="宋体" w:hAnsi="宋体"/>
          <w:sz w:val="21"/>
          <w:szCs w:val="21"/>
          <w:lang w:eastAsia="zh-CN"/>
        </w:rPr>
        <w:t>适用于武汉生物制品研究所有限责任公司</w:t>
      </w:r>
      <w:permStart w:id="3" w:edGrp="everyone"/>
      <w:r>
        <w:rPr>
          <w:rFonts w:hint="eastAsia" w:ascii="宋体" w:hAnsi="宋体" w:eastAsia="宋体"/>
          <w:sz w:val="21"/>
          <w:szCs w:val="21"/>
          <w:lang w:eastAsia="zh-CN"/>
        </w:rPr>
        <w:t>研发中心分装中试</w:t>
      </w:r>
      <w:r>
        <w:rPr>
          <w:rFonts w:hint="eastAsia" w:ascii="宋体" w:hAnsi="宋体"/>
          <w:sz w:val="21"/>
          <w:szCs w:val="21"/>
          <w:lang w:eastAsia="zh-CN"/>
        </w:rPr>
        <w:t>车间粒子及微生物在线监测系统</w:t>
      </w:r>
      <w:permEnd w:id="3"/>
      <w:r>
        <w:rPr>
          <w:rFonts w:hint="eastAsia"/>
          <w:szCs w:val="21"/>
          <w:lang w:eastAsia="zh-CN"/>
        </w:rPr>
        <w:t>。</w:t>
      </w:r>
      <w:bookmarkEnd w:id="8"/>
      <w:bookmarkEnd w:id="9"/>
      <w:bookmarkEnd w:id="10"/>
      <w:bookmarkEnd w:id="11"/>
      <w:bookmarkEnd w:id="12"/>
      <w:bookmarkEnd w:id="13"/>
      <w:bookmarkEnd w:id="14"/>
      <w:bookmarkEnd w:id="15"/>
      <w:bookmarkEnd w:id="16"/>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107737"/>
      <w:bookmarkStart w:id="20" w:name="_Toc522716117"/>
      <w:r>
        <w:rPr>
          <w:rFonts w:hint="eastAsia" w:ascii="Times New Roman" w:hAnsi="Times New Roman"/>
          <w:b/>
        </w:rPr>
        <w:t>参考文件</w:t>
      </w:r>
      <w:bookmarkEnd w:id="19"/>
      <w:bookmarkEnd w:id="20"/>
    </w:p>
    <w:p>
      <w:pPr>
        <w:pStyle w:val="34"/>
        <w:numPr>
          <w:ilvl w:val="0"/>
          <w:numId w:val="4"/>
        </w:numPr>
        <w:spacing w:before="0" w:line="360" w:lineRule="auto"/>
        <w:jc w:val="left"/>
        <w:rPr>
          <w:rFonts w:ascii="宋体" w:hAnsi="宋体"/>
          <w:color w:val="000000"/>
          <w:sz w:val="21"/>
          <w:szCs w:val="21"/>
          <w:lang w:eastAsia="zh-CN"/>
        </w:rPr>
      </w:pPr>
      <w:r>
        <w:rPr>
          <w:rFonts w:ascii="宋体" w:hAnsi="宋体"/>
          <w:color w:val="000000"/>
          <w:sz w:val="21"/>
          <w:szCs w:val="21"/>
          <w:lang w:eastAsia="zh-CN"/>
        </w:rPr>
        <w:t>GMP</w:t>
      </w:r>
      <w:r>
        <w:rPr>
          <w:rFonts w:hint="eastAsia" w:ascii="宋体" w:hAnsi="宋体"/>
          <w:color w:val="000000"/>
          <w:sz w:val="21"/>
          <w:szCs w:val="21"/>
          <w:lang w:eastAsia="zh-CN"/>
        </w:rPr>
        <w:t>法规指南和</w:t>
      </w:r>
      <w:r>
        <w:rPr>
          <w:rFonts w:ascii="宋体" w:hAnsi="宋体"/>
          <w:color w:val="000000"/>
          <w:sz w:val="21"/>
          <w:szCs w:val="21"/>
          <w:lang w:eastAsia="zh-CN"/>
        </w:rPr>
        <w:t>SOP</w:t>
      </w:r>
    </w:p>
    <w:p>
      <w:pPr>
        <w:pStyle w:val="34"/>
        <w:numPr>
          <w:ilvl w:val="0"/>
          <w:numId w:val="5"/>
        </w:numPr>
        <w:spacing w:before="0" w:line="360" w:lineRule="auto"/>
        <w:ind w:left="777"/>
        <w:jc w:val="left"/>
        <w:rPr>
          <w:rFonts w:ascii="宋体" w:hAnsi="宋体"/>
          <w:color w:val="4472C4"/>
          <w:sz w:val="21"/>
          <w:szCs w:val="21"/>
          <w:lang w:eastAsia="zh-CN"/>
        </w:rPr>
      </w:pPr>
      <w:r>
        <w:rPr>
          <w:rFonts w:ascii="宋体" w:hAnsi="宋体"/>
          <w:color w:val="000000"/>
          <w:sz w:val="21"/>
          <w:szCs w:val="21"/>
          <w:lang w:eastAsia="zh-CN"/>
        </w:rPr>
        <w:t xml:space="preserve">SOP-06-12-0005 </w:t>
      </w:r>
      <w:r>
        <w:rPr>
          <w:rFonts w:hint="eastAsia" w:ascii="宋体" w:hAnsi="宋体"/>
          <w:color w:val="000000"/>
          <w:sz w:val="21"/>
          <w:szCs w:val="21"/>
          <w:lang w:eastAsia="zh-CN"/>
        </w:rPr>
        <w:t>用户需求编写审批</w:t>
      </w:r>
      <w:r>
        <w:rPr>
          <w:rFonts w:ascii="宋体" w:hAnsi="宋体"/>
          <w:color w:val="000000"/>
          <w:sz w:val="21"/>
          <w:szCs w:val="21"/>
          <w:lang w:eastAsia="zh-CN"/>
        </w:rPr>
        <w:t>SOP</w:t>
      </w:r>
    </w:p>
    <w:p>
      <w:pPr>
        <w:pStyle w:val="34"/>
        <w:numPr>
          <w:ilvl w:val="0"/>
          <w:numId w:val="5"/>
        </w:numPr>
        <w:spacing w:before="0" w:line="360" w:lineRule="auto"/>
        <w:ind w:left="777"/>
        <w:jc w:val="left"/>
        <w:rPr>
          <w:rFonts w:ascii="宋体" w:hAnsi="宋体"/>
          <w:sz w:val="21"/>
          <w:szCs w:val="21"/>
          <w:lang w:eastAsia="zh-CN"/>
        </w:rPr>
      </w:pPr>
      <w:permStart w:id="4" w:edGrp="everyone"/>
      <w:r>
        <w:rPr>
          <w:rFonts w:hint="eastAsia" w:ascii="宋体" w:hAnsi="宋体"/>
          <w:sz w:val="21"/>
          <w:szCs w:val="21"/>
          <w:lang w:eastAsia="zh-CN"/>
        </w:rPr>
        <w:t>《药品生产质量管理规范》</w:t>
      </w:r>
      <w:r>
        <w:rPr>
          <w:rFonts w:hint="eastAsia" w:ascii="宋体" w:hAnsi="宋体"/>
          <w:kern w:val="2"/>
          <w:sz w:val="21"/>
          <w:szCs w:val="21"/>
          <w:lang w:eastAsia="zh-CN"/>
        </w:rPr>
        <w:t>（</w:t>
      </w:r>
      <w:r>
        <w:rPr>
          <w:rFonts w:ascii="宋体" w:hAnsi="宋体"/>
          <w:kern w:val="2"/>
          <w:sz w:val="21"/>
          <w:szCs w:val="21"/>
          <w:lang w:eastAsia="zh-CN"/>
        </w:rPr>
        <w:t>2010</w:t>
      </w:r>
      <w:r>
        <w:rPr>
          <w:rFonts w:hint="eastAsia" w:ascii="宋体" w:hAnsi="宋体"/>
          <w:kern w:val="2"/>
          <w:sz w:val="21"/>
          <w:szCs w:val="21"/>
          <w:lang w:eastAsia="zh-CN"/>
        </w:rPr>
        <w:t>年修订版）及附录</w:t>
      </w:r>
    </w:p>
    <w:p>
      <w:pPr>
        <w:pStyle w:val="3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《欧盟：药品生产质量管理规范》第5版</w:t>
      </w:r>
    </w:p>
    <w:p>
      <w:pPr>
        <w:pStyle w:val="3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《药品</w:t>
      </w:r>
      <w:r>
        <w:rPr>
          <w:rFonts w:ascii="宋体" w:hAnsi="宋体"/>
          <w:sz w:val="21"/>
          <w:szCs w:val="21"/>
          <w:lang w:eastAsia="zh-CN"/>
        </w:rPr>
        <w:t>GMP</w:t>
      </w:r>
      <w:r>
        <w:rPr>
          <w:rFonts w:hint="eastAsia" w:ascii="宋体" w:hAnsi="宋体"/>
          <w:sz w:val="21"/>
          <w:szCs w:val="21"/>
          <w:lang w:eastAsia="zh-CN"/>
        </w:rPr>
        <w:t>指南》无菌药品</w:t>
      </w:r>
      <w:r>
        <w:rPr>
          <w:rFonts w:hint="eastAsia" w:ascii="宋体" w:hAnsi="宋体"/>
          <w:kern w:val="2"/>
          <w:sz w:val="21"/>
          <w:szCs w:val="21"/>
          <w:lang w:eastAsia="zh-CN"/>
        </w:rPr>
        <w:t>（</w:t>
      </w:r>
      <w:r>
        <w:rPr>
          <w:rFonts w:ascii="宋体" w:hAnsi="宋体"/>
          <w:kern w:val="2"/>
          <w:sz w:val="21"/>
          <w:szCs w:val="21"/>
          <w:lang w:eastAsia="zh-CN"/>
        </w:rPr>
        <w:t>2011</w:t>
      </w:r>
      <w:r>
        <w:rPr>
          <w:rFonts w:hint="eastAsia" w:ascii="宋体" w:hAnsi="宋体"/>
          <w:kern w:val="2"/>
          <w:sz w:val="21"/>
          <w:szCs w:val="21"/>
          <w:lang w:eastAsia="zh-CN"/>
        </w:rPr>
        <w:t>版）</w:t>
      </w:r>
    </w:p>
    <w:p>
      <w:pPr>
        <w:pStyle w:val="34"/>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lang w:eastAsia="zh-CN"/>
        </w:rPr>
        <w:t>GMP</w:t>
      </w:r>
      <w:r>
        <w:rPr>
          <w:rFonts w:hint="eastAsia" w:ascii="宋体" w:hAnsi="宋体"/>
          <w:kern w:val="2"/>
          <w:sz w:val="21"/>
          <w:szCs w:val="21"/>
          <w:lang w:eastAsia="zh-CN"/>
        </w:rPr>
        <w:t>附件</w:t>
      </w:r>
      <w:r>
        <w:rPr>
          <w:rFonts w:ascii="宋体" w:hAnsi="宋体"/>
          <w:kern w:val="2"/>
          <w:sz w:val="21"/>
          <w:szCs w:val="21"/>
          <w:lang w:eastAsia="zh-CN"/>
        </w:rPr>
        <w:t>1</w:t>
      </w:r>
      <w:r>
        <w:rPr>
          <w:rFonts w:hint="eastAsia" w:ascii="宋体" w:hAnsi="宋体"/>
          <w:kern w:val="2"/>
          <w:sz w:val="21"/>
          <w:szCs w:val="21"/>
          <w:lang w:eastAsia="zh-CN"/>
        </w:rPr>
        <w:t>《计算机化系统》（</w:t>
      </w:r>
      <w:r>
        <w:rPr>
          <w:rFonts w:ascii="宋体" w:hAnsi="宋体"/>
          <w:kern w:val="2"/>
          <w:sz w:val="21"/>
          <w:szCs w:val="21"/>
          <w:lang w:eastAsia="zh-CN"/>
        </w:rPr>
        <w:t>2015</w:t>
      </w:r>
      <w:r>
        <w:rPr>
          <w:rFonts w:hint="eastAsia" w:ascii="宋体" w:hAnsi="宋体"/>
          <w:kern w:val="2"/>
          <w:sz w:val="21"/>
          <w:szCs w:val="21"/>
          <w:lang w:eastAsia="zh-CN"/>
        </w:rPr>
        <w:t>版）</w:t>
      </w:r>
    </w:p>
    <w:p>
      <w:pPr>
        <w:pStyle w:val="34"/>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lang w:eastAsia="zh-CN"/>
        </w:rPr>
        <w:t>GMP</w:t>
      </w:r>
      <w:r>
        <w:rPr>
          <w:rFonts w:hint="eastAsia" w:ascii="宋体" w:hAnsi="宋体"/>
          <w:kern w:val="2"/>
          <w:sz w:val="21"/>
          <w:szCs w:val="21"/>
          <w:lang w:eastAsia="zh-CN"/>
        </w:rPr>
        <w:t>附件</w:t>
      </w:r>
      <w:r>
        <w:rPr>
          <w:rFonts w:ascii="宋体" w:hAnsi="宋体"/>
          <w:kern w:val="2"/>
          <w:sz w:val="21"/>
          <w:szCs w:val="21"/>
          <w:lang w:eastAsia="zh-CN"/>
        </w:rPr>
        <w:t>2</w:t>
      </w:r>
      <w:r>
        <w:rPr>
          <w:rFonts w:hint="eastAsia" w:ascii="宋体" w:hAnsi="宋体"/>
          <w:kern w:val="2"/>
          <w:sz w:val="21"/>
          <w:szCs w:val="21"/>
          <w:lang w:eastAsia="zh-CN"/>
        </w:rPr>
        <w:t>《确认与验证》（</w:t>
      </w:r>
      <w:r>
        <w:rPr>
          <w:rFonts w:ascii="宋体" w:hAnsi="宋体"/>
          <w:kern w:val="2"/>
          <w:sz w:val="21"/>
          <w:szCs w:val="21"/>
          <w:lang w:eastAsia="zh-CN"/>
        </w:rPr>
        <w:t>2015</w:t>
      </w:r>
      <w:r>
        <w:rPr>
          <w:rFonts w:hint="eastAsia" w:ascii="宋体" w:hAnsi="宋体"/>
          <w:kern w:val="2"/>
          <w:sz w:val="21"/>
          <w:szCs w:val="21"/>
          <w:lang w:eastAsia="zh-CN"/>
        </w:rPr>
        <w:t>版）</w:t>
      </w:r>
    </w:p>
    <w:p>
      <w:pPr>
        <w:pStyle w:val="34"/>
        <w:numPr>
          <w:ilvl w:val="0"/>
          <w:numId w:val="5"/>
        </w:numPr>
        <w:spacing w:before="0" w:line="360" w:lineRule="auto"/>
        <w:ind w:left="777"/>
        <w:jc w:val="left"/>
        <w:rPr>
          <w:rFonts w:ascii="宋体" w:hAnsi="宋体"/>
          <w:sz w:val="21"/>
          <w:szCs w:val="21"/>
          <w:lang w:eastAsia="zh-CN"/>
        </w:rPr>
      </w:pPr>
      <w:r>
        <w:rPr>
          <w:rFonts w:ascii="宋体" w:hAnsi="宋体"/>
          <w:kern w:val="2"/>
          <w:sz w:val="21"/>
          <w:szCs w:val="21"/>
        </w:rPr>
        <w:t>21CFR Pa</w:t>
      </w:r>
      <w:r>
        <w:rPr>
          <w:rFonts w:ascii="宋体" w:hAnsi="宋体"/>
          <w:sz w:val="21"/>
          <w:szCs w:val="21"/>
          <w:lang w:eastAsia="zh-CN"/>
        </w:rPr>
        <w:t>rt11电子记录</w:t>
      </w:r>
      <w:r>
        <w:rPr>
          <w:rFonts w:hint="eastAsia" w:ascii="宋体" w:hAnsi="宋体"/>
          <w:sz w:val="21"/>
          <w:szCs w:val="21"/>
          <w:lang w:eastAsia="zh-CN"/>
        </w:rPr>
        <w:t>和</w:t>
      </w:r>
      <w:r>
        <w:rPr>
          <w:rFonts w:ascii="宋体" w:hAnsi="宋体"/>
          <w:sz w:val="21"/>
          <w:szCs w:val="21"/>
          <w:lang w:eastAsia="zh-CN"/>
        </w:rPr>
        <w:t>电子签名</w:t>
      </w:r>
      <w:r>
        <w:rPr>
          <w:rFonts w:hint="eastAsia" w:ascii="宋体" w:hAnsi="宋体"/>
          <w:sz w:val="21"/>
          <w:szCs w:val="21"/>
          <w:lang w:eastAsia="zh-CN"/>
        </w:rPr>
        <w:t>1997年8月20日</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GAMP5</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ISO14644</w:t>
      </w:r>
      <w:r>
        <w:rPr>
          <w:rFonts w:hint="eastAsia" w:ascii="宋体" w:hAnsi="宋体"/>
          <w:sz w:val="21"/>
          <w:szCs w:val="21"/>
          <w:lang w:eastAsia="zh-CN"/>
        </w:rPr>
        <w:t>-1  2015年12月15日</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ISO 21501:2015</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 xml:space="preserve">GB/T 6167-2007 </w:t>
      </w:r>
      <w:r>
        <w:rPr>
          <w:rFonts w:hint="eastAsia" w:ascii="宋体" w:hAnsi="宋体"/>
          <w:sz w:val="21"/>
          <w:szCs w:val="21"/>
          <w:lang w:eastAsia="zh-CN"/>
        </w:rPr>
        <w:t>尘埃粒子计数器性能试验方法</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 xml:space="preserve">JJF1190-2008 </w:t>
      </w:r>
      <w:r>
        <w:rPr>
          <w:rFonts w:hint="eastAsia" w:ascii="宋体" w:hAnsi="宋体"/>
          <w:sz w:val="21"/>
          <w:szCs w:val="21"/>
          <w:lang w:eastAsia="zh-CN"/>
        </w:rPr>
        <w:t>尘埃粒子计数器校准规则</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ISO 14698-1</w:t>
      </w:r>
      <w:r>
        <w:rPr>
          <w:rFonts w:hint="eastAsia" w:ascii="宋体" w:hAnsi="宋体"/>
          <w:sz w:val="21"/>
          <w:szCs w:val="21"/>
          <w:lang w:eastAsia="zh-CN"/>
        </w:rPr>
        <w:t>（</w:t>
      </w:r>
      <w:r>
        <w:rPr>
          <w:rFonts w:ascii="宋体" w:hAnsi="宋体"/>
          <w:sz w:val="21"/>
          <w:szCs w:val="21"/>
          <w:lang w:eastAsia="zh-CN"/>
        </w:rPr>
        <w:t xml:space="preserve"> </w:t>
      </w:r>
      <w:r>
        <w:rPr>
          <w:rFonts w:hint="eastAsia" w:ascii="宋体" w:hAnsi="宋体"/>
          <w:sz w:val="21"/>
          <w:szCs w:val="21"/>
          <w:lang w:eastAsia="zh-CN"/>
        </w:rPr>
        <w:t>洁净室及相关控制环境的微生物污染控制）</w:t>
      </w:r>
    </w:p>
    <w:p>
      <w:pPr>
        <w:pStyle w:val="34"/>
        <w:numPr>
          <w:ilvl w:val="0"/>
          <w:numId w:val="5"/>
        </w:numPr>
        <w:spacing w:before="0" w:line="360" w:lineRule="auto"/>
        <w:ind w:left="777"/>
        <w:jc w:val="left"/>
        <w:rPr>
          <w:rFonts w:ascii="宋体" w:hAnsi="宋体"/>
          <w:sz w:val="21"/>
          <w:szCs w:val="21"/>
          <w:lang w:eastAsia="zh-CN"/>
        </w:rPr>
      </w:pPr>
      <w:r>
        <w:rPr>
          <w:rFonts w:ascii="宋体" w:hAnsi="宋体"/>
          <w:sz w:val="21"/>
          <w:szCs w:val="21"/>
          <w:lang w:eastAsia="zh-CN"/>
        </w:rPr>
        <w:t>GB50591-2010</w:t>
      </w:r>
      <w:r>
        <w:rPr>
          <w:rFonts w:hint="eastAsia" w:ascii="宋体" w:hAnsi="宋体"/>
          <w:sz w:val="21"/>
          <w:szCs w:val="21"/>
          <w:lang w:eastAsia="zh-CN"/>
        </w:rPr>
        <w:t>《洁净室施工及验收规范》</w:t>
      </w:r>
    </w:p>
    <w:permEnd w:id="4"/>
    <w:p>
      <w:pPr>
        <w:pStyle w:val="3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安全及环保法规指南</w:t>
      </w:r>
    </w:p>
    <w:p>
      <w:pPr>
        <w:pStyle w:val="34"/>
        <w:numPr>
          <w:ilvl w:val="0"/>
          <w:numId w:val="5"/>
        </w:numPr>
        <w:spacing w:before="0" w:line="360" w:lineRule="auto"/>
        <w:ind w:left="777"/>
        <w:jc w:val="left"/>
        <w:rPr>
          <w:rFonts w:ascii="宋体" w:hAnsi="宋体"/>
          <w:sz w:val="21"/>
          <w:szCs w:val="21"/>
          <w:lang w:eastAsia="zh-CN"/>
        </w:rPr>
      </w:pPr>
      <w:permStart w:id="5" w:edGrp="everyone"/>
      <w:r>
        <w:rPr>
          <w:rFonts w:hint="eastAsia" w:ascii="宋体" w:hAnsi="宋体"/>
          <w:sz w:val="21"/>
          <w:szCs w:val="21"/>
          <w:lang w:eastAsia="zh-CN"/>
        </w:rPr>
        <w:t>电气安全应符合</w:t>
      </w:r>
      <w:r>
        <w:rPr>
          <w:rFonts w:ascii="宋体" w:hAnsi="宋体"/>
          <w:sz w:val="21"/>
          <w:szCs w:val="21"/>
          <w:lang w:eastAsia="zh-CN"/>
        </w:rPr>
        <w:t>GB4793.1-2007</w:t>
      </w:r>
      <w:r>
        <w:rPr>
          <w:rFonts w:hint="eastAsia" w:ascii="宋体" w:hAnsi="宋体"/>
          <w:sz w:val="21"/>
          <w:szCs w:val="21"/>
          <w:lang w:eastAsia="zh-CN"/>
        </w:rPr>
        <w:t>测量、控制和实验室用电气设备的安全要求。</w:t>
      </w:r>
    </w:p>
    <w:p>
      <w:pPr>
        <w:pStyle w:val="34"/>
        <w:numPr>
          <w:ilvl w:val="0"/>
          <w:numId w:val="5"/>
        </w:numPr>
        <w:spacing w:before="0" w:line="360" w:lineRule="auto"/>
        <w:ind w:left="777"/>
        <w:jc w:val="left"/>
        <w:rPr>
          <w:rFonts w:ascii="宋体" w:hAnsi="宋体"/>
          <w:sz w:val="21"/>
          <w:szCs w:val="21"/>
          <w:lang w:eastAsia="zh-CN"/>
        </w:rPr>
      </w:pPr>
      <w:r>
        <w:rPr>
          <w:rFonts w:hint="eastAsia" w:ascii="宋体" w:hAnsi="宋体"/>
          <w:sz w:val="21"/>
          <w:szCs w:val="21"/>
          <w:lang w:eastAsia="zh-CN"/>
        </w:rPr>
        <w:t>电磁兼容性应符合</w:t>
      </w:r>
      <w:r>
        <w:rPr>
          <w:rFonts w:ascii="宋体" w:hAnsi="宋体"/>
          <w:sz w:val="21"/>
          <w:szCs w:val="21"/>
          <w:lang w:eastAsia="zh-CN"/>
        </w:rPr>
        <w:t>GB/T18268-2000</w:t>
      </w:r>
      <w:r>
        <w:rPr>
          <w:rFonts w:hint="eastAsia" w:ascii="宋体" w:hAnsi="宋体"/>
          <w:sz w:val="21"/>
          <w:szCs w:val="21"/>
          <w:lang w:eastAsia="zh-CN"/>
        </w:rPr>
        <w:t>的要求。</w:t>
      </w:r>
    </w:p>
    <w:p>
      <w:pPr>
        <w:pStyle w:val="34"/>
        <w:numPr>
          <w:ilvl w:val="0"/>
          <w:numId w:val="5"/>
        </w:numPr>
        <w:spacing w:before="0" w:line="360" w:lineRule="auto"/>
        <w:ind w:left="777"/>
        <w:jc w:val="left"/>
        <w:rPr>
          <w:rFonts w:ascii="宋体" w:hAnsi="宋体"/>
          <w:sz w:val="21"/>
          <w:szCs w:val="21"/>
          <w:lang w:eastAsia="zh-CN"/>
        </w:rPr>
      </w:pPr>
      <w:bookmarkStart w:id="21" w:name="_Hlk37677427"/>
      <w:r>
        <w:rPr>
          <w:rFonts w:ascii="宋体" w:hAnsi="宋体"/>
          <w:sz w:val="21"/>
          <w:szCs w:val="21"/>
          <w:lang w:eastAsia="zh-CN"/>
        </w:rPr>
        <w:t>GB19517-2009 国家电气设备安全技术规范</w:t>
      </w:r>
      <w:bookmarkEnd w:id="21"/>
      <w:permEnd w:id="5"/>
    </w:p>
    <w:p>
      <w:pPr>
        <w:pStyle w:val="34"/>
        <w:spacing w:before="0" w:line="360" w:lineRule="auto"/>
        <w:ind w:left="357"/>
        <w:jc w:val="left"/>
        <w:rPr>
          <w:szCs w:val="21"/>
          <w:lang w:eastAsia="zh-CN"/>
        </w:rPr>
      </w:pPr>
      <w:permStart w:id="6" w:edGrp="everyone"/>
    </w:p>
    <w:permEnd w:id="6"/>
    <w:p>
      <w:pPr>
        <w:pStyle w:val="30"/>
        <w:numPr>
          <w:ilvl w:val="0"/>
          <w:numId w:val="3"/>
        </w:numPr>
        <w:spacing w:after="158" w:afterLines="50"/>
        <w:ind w:left="426" w:hanging="426" w:hangingChars="202"/>
        <w:outlineLvl w:val="0"/>
        <w:rPr>
          <w:rFonts w:ascii="Times New Roman" w:hAnsi="Times New Roman"/>
          <w:b/>
        </w:rPr>
      </w:pPr>
      <w:bookmarkStart w:id="22" w:name="_Toc522716119"/>
      <w:bookmarkStart w:id="23" w:name="_Toc522107739"/>
      <w:r>
        <w:rPr>
          <w:rFonts w:hint="eastAsia" w:ascii="Times New Roman" w:hAnsi="Times New Roman"/>
          <w:b/>
        </w:rPr>
        <w:t>系统描述</w:t>
      </w:r>
      <w:bookmarkEnd w:id="22"/>
      <w:bookmarkEnd w:id="23"/>
    </w:p>
    <w:p>
      <w:pPr>
        <w:pStyle w:val="34"/>
        <w:spacing w:before="0" w:line="360" w:lineRule="auto"/>
        <w:ind w:left="357"/>
        <w:jc w:val="left"/>
        <w:rPr>
          <w:rFonts w:ascii="宋体" w:hAnsi="宋体"/>
          <w:sz w:val="21"/>
          <w:szCs w:val="21"/>
          <w:lang w:eastAsia="zh-CN"/>
        </w:rPr>
      </w:pPr>
      <w:permStart w:id="7" w:edGrp="everyone"/>
      <w:r>
        <w:rPr>
          <w:rFonts w:hint="eastAsia" w:ascii="宋体" w:hAnsi="宋体" w:eastAsia="宋体"/>
          <w:sz w:val="21"/>
          <w:szCs w:val="21"/>
          <w:lang w:eastAsia="zh-CN"/>
        </w:rPr>
        <w:t>研发中心分装中试</w:t>
      </w:r>
      <w:r>
        <w:rPr>
          <w:rFonts w:hint="eastAsia" w:ascii="宋体" w:hAnsi="宋体"/>
          <w:sz w:val="21"/>
          <w:szCs w:val="21"/>
          <w:lang w:eastAsia="zh-CN"/>
        </w:rPr>
        <w:t>车间需要购买1套粒子及微生物在线监测系统，用于检测预灌封间A级区、B级区的粒子和浮游菌。</w:t>
      </w:r>
      <w:bookmarkStart w:id="49" w:name="_GoBack"/>
      <w:bookmarkEnd w:id="49"/>
    </w:p>
    <w:p>
      <w:pPr>
        <w:pStyle w:val="34"/>
        <w:spacing w:before="0" w:line="360" w:lineRule="auto"/>
        <w:ind w:left="357"/>
        <w:jc w:val="left"/>
        <w:rPr>
          <w:rFonts w:ascii="宋体" w:hAnsi="宋体"/>
          <w:sz w:val="21"/>
          <w:szCs w:val="21"/>
          <w:lang w:eastAsia="zh-CN"/>
        </w:rPr>
      </w:pPr>
      <w:r>
        <w:rPr>
          <w:rFonts w:hint="eastAsia" w:ascii="宋体" w:hAnsi="宋体"/>
          <w:sz w:val="21"/>
          <w:szCs w:val="21"/>
          <w:lang w:eastAsia="zh-CN"/>
        </w:rPr>
        <w:t>系统基本配置如下：</w:t>
      </w:r>
    </w:p>
    <w:tbl>
      <w:tblPr>
        <w:tblStyle w:val="23"/>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86"/>
        <w:gridCol w:w="2029"/>
        <w:gridCol w:w="891"/>
        <w:gridCol w:w="921"/>
        <w:gridCol w:w="4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9570" w:type="dxa"/>
            <w:gridSpan w:val="5"/>
            <w:shd w:val="clear" w:color="auto" w:fill="F2F2F2"/>
            <w:vAlign w:val="center"/>
          </w:tcPr>
          <w:p>
            <w:pPr>
              <w:spacing w:line="360" w:lineRule="auto"/>
              <w:jc w:val="center"/>
              <w:rPr>
                <w:rFonts w:ascii="宋体"/>
                <w:b/>
                <w:bCs/>
                <w:szCs w:val="21"/>
              </w:rPr>
            </w:pPr>
            <w:r>
              <w:rPr>
                <w:rFonts w:hint="eastAsia" w:ascii="宋体" w:hAnsi="宋体"/>
                <w:b/>
                <w:bCs/>
                <w:szCs w:val="21"/>
              </w:rPr>
              <w:t>系统基本配置表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7" w:hRule="atLeast"/>
          <w:jc w:val="center"/>
        </w:trPr>
        <w:tc>
          <w:tcPr>
            <w:tcW w:w="786" w:type="dxa"/>
            <w:shd w:val="clear" w:color="auto" w:fill="D9D9D9"/>
            <w:vAlign w:val="center"/>
          </w:tcPr>
          <w:p>
            <w:pPr>
              <w:spacing w:line="360" w:lineRule="auto"/>
              <w:jc w:val="center"/>
              <w:rPr>
                <w:rFonts w:ascii="宋体"/>
                <w:b/>
                <w:bCs/>
                <w:szCs w:val="21"/>
              </w:rPr>
            </w:pPr>
            <w:r>
              <w:rPr>
                <w:rFonts w:hint="eastAsia" w:ascii="宋体" w:hAnsi="宋体"/>
                <w:b/>
                <w:bCs/>
                <w:szCs w:val="21"/>
              </w:rPr>
              <w:t>序号</w:t>
            </w:r>
          </w:p>
        </w:tc>
        <w:tc>
          <w:tcPr>
            <w:tcW w:w="2029" w:type="dxa"/>
            <w:shd w:val="clear" w:color="auto" w:fill="D9D9D9"/>
            <w:vAlign w:val="center"/>
          </w:tcPr>
          <w:p>
            <w:pPr>
              <w:spacing w:line="360" w:lineRule="auto"/>
              <w:jc w:val="center"/>
              <w:rPr>
                <w:rFonts w:ascii="宋体"/>
                <w:b/>
                <w:bCs/>
                <w:szCs w:val="21"/>
              </w:rPr>
            </w:pPr>
            <w:r>
              <w:rPr>
                <w:rFonts w:hint="eastAsia" w:ascii="宋体" w:hAnsi="宋体"/>
                <w:b/>
                <w:bCs/>
                <w:szCs w:val="21"/>
              </w:rPr>
              <w:t>项目名称</w:t>
            </w:r>
          </w:p>
        </w:tc>
        <w:tc>
          <w:tcPr>
            <w:tcW w:w="891" w:type="dxa"/>
            <w:shd w:val="clear" w:color="auto" w:fill="D9D9D9"/>
            <w:vAlign w:val="center"/>
          </w:tcPr>
          <w:p>
            <w:pPr>
              <w:spacing w:line="360" w:lineRule="auto"/>
              <w:jc w:val="center"/>
              <w:rPr>
                <w:rFonts w:ascii="宋体"/>
                <w:b/>
                <w:bCs/>
                <w:szCs w:val="21"/>
              </w:rPr>
            </w:pPr>
            <w:r>
              <w:rPr>
                <w:rFonts w:hint="eastAsia" w:ascii="宋体" w:hAnsi="宋体"/>
                <w:b/>
                <w:bCs/>
                <w:szCs w:val="21"/>
              </w:rPr>
              <w:t>单位</w:t>
            </w:r>
          </w:p>
        </w:tc>
        <w:tc>
          <w:tcPr>
            <w:tcW w:w="921" w:type="dxa"/>
            <w:shd w:val="clear" w:color="auto" w:fill="D9D9D9"/>
            <w:vAlign w:val="center"/>
          </w:tcPr>
          <w:p>
            <w:pPr>
              <w:spacing w:line="360" w:lineRule="auto"/>
              <w:jc w:val="center"/>
              <w:rPr>
                <w:rFonts w:ascii="宋体"/>
                <w:b/>
                <w:bCs/>
                <w:szCs w:val="21"/>
              </w:rPr>
            </w:pPr>
            <w:r>
              <w:rPr>
                <w:rFonts w:hint="eastAsia" w:ascii="宋体" w:hAnsi="宋体"/>
                <w:b/>
                <w:bCs/>
                <w:szCs w:val="21"/>
              </w:rPr>
              <w:t>数量</w:t>
            </w:r>
          </w:p>
        </w:tc>
        <w:tc>
          <w:tcPr>
            <w:tcW w:w="4943" w:type="dxa"/>
            <w:shd w:val="clear" w:color="auto" w:fill="D9D9D9"/>
            <w:vAlign w:val="center"/>
          </w:tcPr>
          <w:p>
            <w:pPr>
              <w:spacing w:line="360" w:lineRule="auto"/>
              <w:jc w:val="center"/>
              <w:rPr>
                <w:rFonts w:ascii="宋体"/>
                <w:b/>
                <w:bCs/>
                <w:szCs w:val="21"/>
              </w:rPr>
            </w:pPr>
            <w:r>
              <w:rPr>
                <w:rFonts w:hint="eastAsia" w:ascii="宋体" w:hAnsi="宋体"/>
                <w:b/>
                <w:bCs/>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1</w:t>
            </w:r>
          </w:p>
        </w:tc>
        <w:tc>
          <w:tcPr>
            <w:tcW w:w="2029" w:type="dxa"/>
            <w:vAlign w:val="center"/>
          </w:tcPr>
          <w:p>
            <w:pPr>
              <w:spacing w:line="360" w:lineRule="auto"/>
              <w:jc w:val="center"/>
              <w:rPr>
                <w:rFonts w:ascii="宋体"/>
                <w:bCs/>
                <w:szCs w:val="21"/>
              </w:rPr>
            </w:pPr>
            <w:r>
              <w:rPr>
                <w:rFonts w:hint="eastAsia" w:ascii="宋体" w:hAnsi="宋体"/>
                <w:bCs/>
                <w:szCs w:val="21"/>
              </w:rPr>
              <w:t>尘埃粒子计数器</w:t>
            </w:r>
          </w:p>
        </w:tc>
        <w:tc>
          <w:tcPr>
            <w:tcW w:w="891" w:type="dxa"/>
            <w:vAlign w:val="center"/>
          </w:tcPr>
          <w:p>
            <w:pPr>
              <w:spacing w:line="360" w:lineRule="auto"/>
              <w:jc w:val="center"/>
              <w:rPr>
                <w:rFonts w:ascii="宋体"/>
                <w:bCs/>
                <w:szCs w:val="21"/>
              </w:rPr>
            </w:pPr>
            <w:r>
              <w:rPr>
                <w:rFonts w:hint="eastAsia" w:ascii="宋体" w:hAnsi="宋体"/>
                <w:bCs/>
                <w:szCs w:val="21"/>
              </w:rPr>
              <w:t>个</w:t>
            </w:r>
          </w:p>
        </w:tc>
        <w:tc>
          <w:tcPr>
            <w:tcW w:w="921" w:type="dxa"/>
            <w:vAlign w:val="center"/>
          </w:tcPr>
          <w:p>
            <w:pPr>
              <w:spacing w:line="360" w:lineRule="auto"/>
              <w:jc w:val="center"/>
              <w:rPr>
                <w:rFonts w:ascii="宋体"/>
                <w:bCs/>
                <w:szCs w:val="21"/>
              </w:rPr>
            </w:pPr>
            <w:r>
              <w:rPr>
                <w:rFonts w:hint="eastAsia" w:ascii="宋体" w:hAnsi="宋体"/>
                <w:bCs/>
                <w:szCs w:val="21"/>
                <w:lang w:eastAsia="zh-CN"/>
              </w:rPr>
              <w:t>3</w:t>
            </w:r>
          </w:p>
        </w:tc>
        <w:tc>
          <w:tcPr>
            <w:tcW w:w="4943" w:type="dxa"/>
            <w:vAlign w:val="center"/>
          </w:tcPr>
          <w:p>
            <w:pPr>
              <w:spacing w:line="360" w:lineRule="auto"/>
              <w:rPr>
                <w:rFonts w:ascii="宋体"/>
                <w:bCs/>
                <w:szCs w:val="21"/>
                <w:lang w:eastAsia="zh-CN"/>
              </w:rPr>
            </w:pPr>
            <w:r>
              <w:rPr>
                <w:rFonts w:hint="eastAsia" w:ascii="宋体"/>
                <w:bCs/>
                <w:szCs w:val="21"/>
                <w:lang w:eastAsia="zh-CN"/>
              </w:rPr>
              <w:t xml:space="preserve"> “预灌装间”</w:t>
            </w:r>
            <w:r>
              <w:rPr>
                <w:rFonts w:hint="eastAsia" w:ascii="宋体"/>
                <w:bCs/>
                <w:szCs w:val="21"/>
                <w:lang w:val="en-US" w:eastAsia="zh-CN"/>
              </w:rPr>
              <w:t>3个</w:t>
            </w:r>
            <w:r>
              <w:rPr>
                <w:rFonts w:hint="eastAsia" w:ascii="宋体"/>
                <w:bCs/>
                <w:szCs w:val="21"/>
                <w:lang w:eastAsia="zh-CN"/>
              </w:rPr>
              <w:t>；（含背景点）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2</w:t>
            </w:r>
          </w:p>
        </w:tc>
        <w:tc>
          <w:tcPr>
            <w:tcW w:w="2029" w:type="dxa"/>
            <w:vAlign w:val="center"/>
          </w:tcPr>
          <w:p>
            <w:pPr>
              <w:spacing w:line="360" w:lineRule="auto"/>
              <w:jc w:val="center"/>
              <w:rPr>
                <w:rFonts w:ascii="宋体"/>
                <w:bCs/>
                <w:szCs w:val="21"/>
              </w:rPr>
            </w:pPr>
            <w:r>
              <w:rPr>
                <w:rFonts w:hint="eastAsia" w:ascii="宋体" w:hAnsi="宋体"/>
                <w:bCs/>
                <w:szCs w:val="21"/>
              </w:rPr>
              <w:t>浮游菌采样器</w:t>
            </w:r>
          </w:p>
        </w:tc>
        <w:tc>
          <w:tcPr>
            <w:tcW w:w="891" w:type="dxa"/>
            <w:vAlign w:val="center"/>
          </w:tcPr>
          <w:p>
            <w:pPr>
              <w:spacing w:line="360" w:lineRule="auto"/>
              <w:jc w:val="center"/>
              <w:rPr>
                <w:rFonts w:ascii="宋体"/>
                <w:bCs/>
                <w:szCs w:val="21"/>
              </w:rPr>
            </w:pPr>
            <w:r>
              <w:rPr>
                <w:rFonts w:hint="eastAsia" w:ascii="宋体" w:hAnsi="宋体"/>
                <w:bCs/>
                <w:szCs w:val="21"/>
              </w:rPr>
              <w:t>个</w:t>
            </w:r>
          </w:p>
        </w:tc>
        <w:tc>
          <w:tcPr>
            <w:tcW w:w="921" w:type="dxa"/>
            <w:vAlign w:val="center"/>
          </w:tcPr>
          <w:p>
            <w:pPr>
              <w:spacing w:line="360" w:lineRule="auto"/>
              <w:jc w:val="center"/>
              <w:rPr>
                <w:rFonts w:ascii="宋体"/>
                <w:bCs/>
                <w:szCs w:val="21"/>
              </w:rPr>
            </w:pPr>
            <w:r>
              <w:rPr>
                <w:rFonts w:hint="eastAsia" w:ascii="宋体" w:hAnsi="宋体"/>
                <w:bCs/>
                <w:szCs w:val="21"/>
                <w:lang w:eastAsia="zh-CN"/>
              </w:rPr>
              <w:t>2</w:t>
            </w:r>
          </w:p>
        </w:tc>
        <w:tc>
          <w:tcPr>
            <w:tcW w:w="4943" w:type="dxa"/>
            <w:vAlign w:val="center"/>
          </w:tcPr>
          <w:p>
            <w:pPr>
              <w:spacing w:line="360" w:lineRule="auto"/>
              <w:rPr>
                <w:rFonts w:ascii="宋体"/>
                <w:bCs/>
                <w:szCs w:val="21"/>
                <w:lang w:eastAsia="zh-CN"/>
              </w:rPr>
            </w:pPr>
            <w:r>
              <w:rPr>
                <w:rFonts w:hint="eastAsia" w:ascii="宋体"/>
                <w:bCs/>
                <w:szCs w:val="21"/>
                <w:lang w:eastAsia="zh-CN"/>
              </w:rPr>
              <w:t>预灌封灌装机 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3</w:t>
            </w:r>
          </w:p>
        </w:tc>
        <w:tc>
          <w:tcPr>
            <w:tcW w:w="2029" w:type="dxa"/>
            <w:vAlign w:val="center"/>
          </w:tcPr>
          <w:p>
            <w:pPr>
              <w:spacing w:line="360" w:lineRule="auto"/>
              <w:jc w:val="center"/>
              <w:rPr>
                <w:rFonts w:ascii="宋体"/>
                <w:bCs/>
                <w:szCs w:val="21"/>
              </w:rPr>
            </w:pPr>
            <w:r>
              <w:rPr>
                <w:rFonts w:hint="eastAsia" w:ascii="宋体" w:hAnsi="宋体"/>
                <w:bCs/>
                <w:szCs w:val="21"/>
              </w:rPr>
              <w:t>报警系统</w:t>
            </w:r>
          </w:p>
        </w:tc>
        <w:tc>
          <w:tcPr>
            <w:tcW w:w="891" w:type="dxa"/>
            <w:vAlign w:val="center"/>
          </w:tcPr>
          <w:p>
            <w:pPr>
              <w:spacing w:line="360" w:lineRule="auto"/>
              <w:jc w:val="center"/>
              <w:rPr>
                <w:rFonts w:ascii="宋体"/>
                <w:bCs/>
                <w:szCs w:val="21"/>
              </w:rPr>
            </w:pPr>
            <w:r>
              <w:rPr>
                <w:rFonts w:hint="eastAsia" w:ascii="宋体" w:hAnsi="宋体"/>
                <w:bCs/>
                <w:szCs w:val="21"/>
              </w:rPr>
              <w:t>套</w:t>
            </w:r>
          </w:p>
        </w:tc>
        <w:tc>
          <w:tcPr>
            <w:tcW w:w="921" w:type="dxa"/>
            <w:vAlign w:val="center"/>
          </w:tcPr>
          <w:p>
            <w:pPr>
              <w:spacing w:line="360" w:lineRule="auto"/>
              <w:jc w:val="center"/>
              <w:rPr>
                <w:rFonts w:asci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 xml:space="preserve"> 预灌装间和资料间各1个报警器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4</w:t>
            </w:r>
          </w:p>
        </w:tc>
        <w:tc>
          <w:tcPr>
            <w:tcW w:w="2029" w:type="dxa"/>
            <w:vAlign w:val="center"/>
          </w:tcPr>
          <w:p>
            <w:pPr>
              <w:spacing w:line="360" w:lineRule="auto"/>
              <w:jc w:val="center"/>
              <w:rPr>
                <w:rFonts w:ascii="宋体" w:hAnsi="宋体"/>
                <w:bCs/>
                <w:szCs w:val="21"/>
                <w:lang w:eastAsia="zh-CN"/>
              </w:rPr>
            </w:pPr>
            <w:r>
              <w:rPr>
                <w:rFonts w:hint="eastAsia" w:ascii="宋体" w:hAnsi="宋体"/>
                <w:bCs/>
                <w:szCs w:val="21"/>
                <w:lang w:eastAsia="zh-CN"/>
              </w:rPr>
              <w:t>主控电脑</w:t>
            </w:r>
          </w:p>
          <w:p>
            <w:pPr>
              <w:spacing w:line="360" w:lineRule="auto"/>
              <w:jc w:val="center"/>
              <w:rPr>
                <w:rFonts w:ascii="宋体"/>
                <w:bCs/>
                <w:szCs w:val="21"/>
                <w:lang w:eastAsia="zh-CN"/>
              </w:rPr>
            </w:pPr>
            <w:r>
              <w:rPr>
                <w:rFonts w:hint="eastAsia" w:ascii="宋体" w:hAnsi="宋体"/>
                <w:bCs/>
                <w:szCs w:val="21"/>
                <w:lang w:eastAsia="zh-CN"/>
              </w:rPr>
              <w:t>（含软件）</w:t>
            </w:r>
          </w:p>
        </w:tc>
        <w:tc>
          <w:tcPr>
            <w:tcW w:w="891" w:type="dxa"/>
            <w:vAlign w:val="center"/>
          </w:tcPr>
          <w:p>
            <w:pPr>
              <w:spacing w:line="360" w:lineRule="auto"/>
              <w:jc w:val="center"/>
              <w:rPr>
                <w:rFonts w:ascii="宋体"/>
                <w:bCs/>
                <w:szCs w:val="21"/>
              </w:rPr>
            </w:pPr>
            <w:r>
              <w:rPr>
                <w:rFonts w:hint="eastAsia" w:ascii="宋体" w:hAnsi="宋体"/>
                <w:bCs/>
                <w:szCs w:val="21"/>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w:t>
            </w:r>
            <w:r>
              <w:rPr>
                <w:rFonts w:hint="eastAsia" w:ascii="宋体" w:hAnsi="宋体"/>
                <w:szCs w:val="21"/>
                <w:lang w:eastAsia="zh-CN"/>
              </w:rPr>
              <w:t>资料间</w:t>
            </w:r>
            <w:r>
              <w:rPr>
                <w:rFonts w:hint="eastAsia" w:ascii="宋体"/>
                <w:bCs/>
                <w:szCs w:val="21"/>
                <w:lang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5</w:t>
            </w:r>
          </w:p>
        </w:tc>
        <w:tc>
          <w:tcPr>
            <w:tcW w:w="2029" w:type="dxa"/>
            <w:vAlign w:val="center"/>
          </w:tcPr>
          <w:p>
            <w:pPr>
              <w:spacing w:line="360" w:lineRule="auto"/>
              <w:jc w:val="center"/>
              <w:rPr>
                <w:rFonts w:ascii="宋体" w:hAnsi="宋体"/>
                <w:bCs/>
                <w:szCs w:val="21"/>
                <w:lang w:eastAsia="zh-CN"/>
              </w:rPr>
            </w:pPr>
            <w:r>
              <w:rPr>
                <w:rFonts w:hint="eastAsia" w:ascii="宋体" w:hAnsi="宋体"/>
                <w:bCs/>
                <w:szCs w:val="21"/>
                <w:lang w:eastAsia="zh-CN"/>
              </w:rPr>
              <w:t>触摸屏（含软件）</w:t>
            </w:r>
          </w:p>
        </w:tc>
        <w:tc>
          <w:tcPr>
            <w:tcW w:w="891" w:type="dxa"/>
            <w:vAlign w:val="center"/>
          </w:tcPr>
          <w:p>
            <w:pPr>
              <w:spacing w:line="360" w:lineRule="auto"/>
              <w:jc w:val="center"/>
              <w:rPr>
                <w:rFonts w:ascii="宋体" w:hAnsi="宋体"/>
                <w:bCs/>
                <w:szCs w:val="21"/>
              </w:rPr>
            </w:pPr>
            <w:r>
              <w:rPr>
                <w:rFonts w:hint="eastAsia" w:ascii="宋体" w:hAnsi="宋体"/>
                <w:bCs/>
                <w:szCs w:val="21"/>
                <w:lang w:eastAsia="zh-CN"/>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“预灌装间”1个；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6</w:t>
            </w:r>
          </w:p>
        </w:tc>
        <w:tc>
          <w:tcPr>
            <w:tcW w:w="2029" w:type="dxa"/>
            <w:vAlign w:val="center"/>
          </w:tcPr>
          <w:p>
            <w:pPr>
              <w:spacing w:line="360" w:lineRule="auto"/>
              <w:jc w:val="center"/>
              <w:rPr>
                <w:rFonts w:ascii="宋体"/>
                <w:bCs/>
                <w:szCs w:val="21"/>
              </w:rPr>
            </w:pPr>
            <w:r>
              <w:rPr>
                <w:rFonts w:hint="eastAsia" w:ascii="宋体" w:hAnsi="宋体"/>
                <w:bCs/>
                <w:szCs w:val="21"/>
              </w:rPr>
              <w:t>真空系统</w:t>
            </w:r>
          </w:p>
        </w:tc>
        <w:tc>
          <w:tcPr>
            <w:tcW w:w="891" w:type="dxa"/>
            <w:vAlign w:val="center"/>
          </w:tcPr>
          <w:p>
            <w:pPr>
              <w:spacing w:line="360" w:lineRule="auto"/>
              <w:jc w:val="center"/>
              <w:rPr>
                <w:rFonts w:ascii="宋体"/>
                <w:bCs/>
                <w:szCs w:val="21"/>
              </w:rPr>
            </w:pPr>
            <w:r>
              <w:rPr>
                <w:rFonts w:hint="eastAsia" w:ascii="宋体" w:hAnsi="宋体"/>
                <w:bCs/>
                <w:szCs w:val="21"/>
              </w:rPr>
              <w:t>套</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真空泵安装在空调机房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hAnsi="宋体"/>
                <w:bCs/>
                <w:szCs w:val="21"/>
              </w:rPr>
            </w:pPr>
            <w:r>
              <w:rPr>
                <w:rFonts w:ascii="宋体" w:hAnsi="宋体"/>
                <w:bCs/>
                <w:szCs w:val="21"/>
              </w:rPr>
              <w:t>7</w:t>
            </w:r>
          </w:p>
        </w:tc>
        <w:tc>
          <w:tcPr>
            <w:tcW w:w="2029" w:type="dxa"/>
            <w:vAlign w:val="center"/>
          </w:tcPr>
          <w:p>
            <w:pPr>
              <w:spacing w:line="360" w:lineRule="auto"/>
              <w:jc w:val="center"/>
              <w:rPr>
                <w:rFonts w:ascii="宋体"/>
                <w:bCs/>
                <w:szCs w:val="21"/>
              </w:rPr>
            </w:pPr>
            <w:r>
              <w:rPr>
                <w:rFonts w:hint="eastAsia" w:ascii="宋体" w:hAnsi="宋体"/>
                <w:bCs/>
                <w:szCs w:val="21"/>
              </w:rPr>
              <w:t>打印机</w:t>
            </w:r>
          </w:p>
        </w:tc>
        <w:tc>
          <w:tcPr>
            <w:tcW w:w="891" w:type="dxa"/>
            <w:vAlign w:val="center"/>
          </w:tcPr>
          <w:p>
            <w:pPr>
              <w:spacing w:line="360" w:lineRule="auto"/>
              <w:jc w:val="center"/>
              <w:rPr>
                <w:rFonts w:ascii="宋体"/>
                <w:bCs/>
                <w:szCs w:val="21"/>
              </w:rPr>
            </w:pPr>
            <w:r>
              <w:rPr>
                <w:rFonts w:hint="eastAsia" w:ascii="宋体" w:hAnsi="宋体"/>
                <w:bCs/>
                <w:szCs w:val="21"/>
              </w:rPr>
              <w:t>台</w:t>
            </w:r>
          </w:p>
        </w:tc>
        <w:tc>
          <w:tcPr>
            <w:tcW w:w="921" w:type="dxa"/>
            <w:vAlign w:val="center"/>
          </w:tcPr>
          <w:p>
            <w:pPr>
              <w:spacing w:line="360" w:lineRule="auto"/>
              <w:jc w:val="center"/>
              <w:rPr>
                <w:rFonts w:ascii="宋体" w:hAns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rPr>
            </w:pPr>
            <w:r>
              <w:rPr>
                <w:rFonts w:hint="eastAsia" w:ascii="宋体" w:hAnsi="宋体"/>
                <w:bCs/>
                <w:szCs w:val="21"/>
              </w:rPr>
              <w:t>激光彩色</w:t>
            </w:r>
            <w:r>
              <w:rPr>
                <w:rFonts w:hint="eastAsia" w:ascii="宋体" w:hAnsi="宋体"/>
                <w:bCs/>
                <w:szCs w:val="21"/>
                <w:lang w:eastAsia="zh-CN"/>
              </w:rPr>
              <w:t>硒鼓</w:t>
            </w:r>
            <w:r>
              <w:rPr>
                <w:rFonts w:hint="eastAsia" w:ascii="宋体" w:hAnsi="宋体"/>
                <w:bCs/>
                <w:szCs w:val="21"/>
              </w:rPr>
              <w:t>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4" w:hRule="atLeast"/>
          <w:jc w:val="center"/>
        </w:trPr>
        <w:tc>
          <w:tcPr>
            <w:tcW w:w="786" w:type="dxa"/>
            <w:vAlign w:val="center"/>
          </w:tcPr>
          <w:p>
            <w:pPr>
              <w:spacing w:line="360" w:lineRule="auto"/>
              <w:jc w:val="center"/>
              <w:rPr>
                <w:rFonts w:ascii="宋体"/>
                <w:bCs/>
                <w:szCs w:val="21"/>
              </w:rPr>
            </w:pPr>
            <w:r>
              <w:rPr>
                <w:rFonts w:ascii="宋体" w:hAnsi="宋体"/>
                <w:bCs/>
                <w:szCs w:val="21"/>
              </w:rPr>
              <w:t>8</w:t>
            </w:r>
          </w:p>
        </w:tc>
        <w:tc>
          <w:tcPr>
            <w:tcW w:w="2029" w:type="dxa"/>
            <w:vAlign w:val="center"/>
          </w:tcPr>
          <w:p>
            <w:pPr>
              <w:spacing w:line="360" w:lineRule="auto"/>
              <w:jc w:val="center"/>
              <w:rPr>
                <w:rFonts w:ascii="宋体"/>
                <w:bCs/>
                <w:szCs w:val="21"/>
              </w:rPr>
            </w:pPr>
            <w:r>
              <w:rPr>
                <w:rFonts w:ascii="宋体" w:hAnsi="宋体"/>
                <w:bCs/>
                <w:szCs w:val="21"/>
              </w:rPr>
              <w:t>UPS</w:t>
            </w:r>
            <w:r>
              <w:rPr>
                <w:rFonts w:hint="eastAsia" w:ascii="宋体" w:hAnsi="宋体"/>
                <w:bCs/>
                <w:szCs w:val="21"/>
              </w:rPr>
              <w:t>电源</w:t>
            </w:r>
          </w:p>
        </w:tc>
        <w:tc>
          <w:tcPr>
            <w:tcW w:w="891" w:type="dxa"/>
            <w:vAlign w:val="center"/>
          </w:tcPr>
          <w:p>
            <w:pPr>
              <w:spacing w:line="360" w:lineRule="auto"/>
              <w:jc w:val="center"/>
              <w:rPr>
                <w:rFonts w:ascii="宋体"/>
                <w:bCs/>
                <w:szCs w:val="21"/>
              </w:rPr>
            </w:pPr>
            <w:r>
              <w:rPr>
                <w:rFonts w:hint="eastAsia" w:ascii="宋体" w:hAnsi="宋体"/>
                <w:bCs/>
                <w:szCs w:val="21"/>
                <w:lang w:eastAsia="zh-CN"/>
              </w:rPr>
              <w:t>台</w:t>
            </w:r>
          </w:p>
        </w:tc>
        <w:tc>
          <w:tcPr>
            <w:tcW w:w="921" w:type="dxa"/>
            <w:vAlign w:val="center"/>
          </w:tcPr>
          <w:p>
            <w:pPr>
              <w:spacing w:line="360" w:lineRule="auto"/>
              <w:jc w:val="center"/>
              <w:rPr>
                <w:rFonts w:ascii="宋体"/>
                <w:bCs/>
                <w:szCs w:val="21"/>
                <w:lang w:eastAsia="zh-CN"/>
              </w:rPr>
            </w:pPr>
            <w:r>
              <w:rPr>
                <w:rFonts w:hint="eastAsia" w:ascii="宋体" w:hAnsi="宋体"/>
                <w:bCs/>
                <w:szCs w:val="21"/>
                <w:lang w:eastAsia="zh-CN"/>
              </w:rPr>
              <w:t>1</w:t>
            </w:r>
          </w:p>
        </w:tc>
        <w:tc>
          <w:tcPr>
            <w:tcW w:w="4943" w:type="dxa"/>
            <w:vAlign w:val="center"/>
          </w:tcPr>
          <w:p>
            <w:pPr>
              <w:spacing w:line="360" w:lineRule="auto"/>
              <w:rPr>
                <w:rFonts w:ascii="宋体"/>
                <w:bCs/>
                <w:szCs w:val="21"/>
                <w:lang w:eastAsia="zh-CN"/>
              </w:rPr>
            </w:pPr>
            <w:r>
              <w:rPr>
                <w:rFonts w:hint="eastAsia" w:ascii="宋体"/>
                <w:bCs/>
                <w:szCs w:val="21"/>
                <w:lang w:eastAsia="zh-CN"/>
              </w:rPr>
              <w:t>N/A</w:t>
            </w:r>
          </w:p>
        </w:tc>
      </w:tr>
    </w:tbl>
    <w:p>
      <w:pPr>
        <w:pStyle w:val="34"/>
        <w:spacing w:before="0" w:line="360" w:lineRule="auto"/>
        <w:ind w:left="357"/>
        <w:jc w:val="left"/>
        <w:rPr>
          <w:rFonts w:ascii="宋体" w:hAnsi="宋体"/>
          <w:sz w:val="21"/>
          <w:szCs w:val="21"/>
          <w:lang w:eastAsia="zh-CN"/>
        </w:rPr>
      </w:pPr>
    </w:p>
    <w:permEnd w:id="7"/>
    <w:p>
      <w:pPr>
        <w:pStyle w:val="34"/>
        <w:spacing w:before="0" w:line="360" w:lineRule="auto"/>
        <w:ind w:left="357"/>
        <w:jc w:val="left"/>
        <w:rPr>
          <w:rFonts w:ascii="宋体" w:hAnsi="宋体"/>
          <w:i/>
          <w:color w:val="4472C4"/>
          <w:sz w:val="21"/>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4" w:name="_Toc522716120"/>
      <w:r>
        <w:rPr>
          <w:rFonts w:hint="eastAsia" w:ascii="Times New Roman" w:hAnsi="Times New Roman"/>
          <w:b/>
          <w:szCs w:val="21"/>
        </w:rPr>
        <w:t>安装要求</w:t>
      </w:r>
      <w:bookmarkEnd w:id="24"/>
    </w:p>
    <w:p>
      <w:pPr>
        <w:pStyle w:val="30"/>
        <w:spacing w:after="158" w:afterLines="50"/>
        <w:ind w:left="425" w:firstLine="0" w:firstLineChars="0"/>
        <w:rPr>
          <w:rFonts w:ascii="Times New Roman" w:hAnsi="Times New Roman"/>
          <w:szCs w:val="21"/>
        </w:rPr>
      </w:pPr>
      <w:permStart w:id="8" w:edGrp="everyone"/>
      <w:permEnd w:id="8"/>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10"/>
        <w:gridCol w:w="1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5" w:name="OLE_LINK1"/>
            <w:bookmarkStart w:id="26" w:name="OLE_LINK2"/>
            <w:r>
              <w:rPr>
                <w:rFonts w:hint="eastAsia"/>
                <w:b/>
                <w:szCs w:val="21"/>
              </w:rPr>
              <w:t>编号</w:t>
            </w:r>
          </w:p>
        </w:tc>
        <w:tc>
          <w:tcPr>
            <w:tcW w:w="7128" w:type="dxa"/>
            <w:gridSpan w:val="2"/>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szCs w:val="21"/>
                <w:lang w:eastAsia="zh-CN"/>
              </w:rPr>
              <w:t xml:space="preserve"> </w:t>
            </w:r>
            <w:r>
              <w:rPr>
                <w:rFonts w:hint="eastAsia"/>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kern w:val="0"/>
                <w:szCs w:val="21"/>
                <w:lang/>
              </w:rPr>
            </w:pPr>
            <w:permStart w:id="9" w:edGrp="everyone"/>
          </w:p>
        </w:tc>
        <w:tc>
          <w:tcPr>
            <w:tcW w:w="7128" w:type="dxa"/>
            <w:gridSpan w:val="2"/>
            <w:vAlign w:val="center"/>
          </w:tcPr>
          <w:p>
            <w:pPr>
              <w:spacing w:line="276" w:lineRule="auto"/>
              <w:jc w:val="both"/>
              <w:rPr>
                <w:szCs w:val="21"/>
                <w:lang w:eastAsia="zh-CN"/>
              </w:rPr>
            </w:pPr>
            <w:r>
              <w:rPr>
                <w:rFonts w:hint="eastAsia"/>
                <w:szCs w:val="21"/>
                <w:lang w:eastAsia="zh-CN"/>
              </w:rPr>
              <w:t>粒子计数器和浮游菌采样头安装位置：</w:t>
            </w:r>
            <w:r>
              <w:rPr>
                <w:rFonts w:hint="eastAsia" w:ascii="宋体"/>
                <w:bCs/>
                <w:szCs w:val="21"/>
                <w:lang w:eastAsia="zh-CN"/>
              </w:rPr>
              <w:t>“预灌装间”</w:t>
            </w:r>
          </w:p>
        </w:tc>
        <w:tc>
          <w:tcPr>
            <w:tcW w:w="2125" w:type="dxa"/>
            <w:vAlign w:val="center"/>
          </w:tcPr>
          <w:p>
            <w:pPr>
              <w:jc w:val="center"/>
              <w:rPr>
                <w:i/>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kern w:val="0"/>
                <w:szCs w:val="21"/>
                <w:lang/>
              </w:rPr>
            </w:pPr>
          </w:p>
        </w:tc>
        <w:tc>
          <w:tcPr>
            <w:tcW w:w="7128" w:type="dxa"/>
            <w:gridSpan w:val="2"/>
            <w:vAlign w:val="center"/>
          </w:tcPr>
          <w:p>
            <w:pPr>
              <w:spacing w:line="276" w:lineRule="auto"/>
              <w:jc w:val="both"/>
              <w:rPr>
                <w:szCs w:val="21"/>
                <w:lang w:eastAsia="zh-CN"/>
              </w:rPr>
            </w:pPr>
            <w:r>
              <w:rPr>
                <w:rFonts w:hint="eastAsia" w:ascii="宋体" w:hAnsi="宋体"/>
                <w:szCs w:val="21"/>
                <w:lang w:eastAsia="zh-CN"/>
              </w:rPr>
              <w:t>声光报警灯分别位于：</w:t>
            </w:r>
            <w:r>
              <w:rPr>
                <w:rFonts w:hint="eastAsia" w:ascii="宋体"/>
                <w:bCs/>
                <w:szCs w:val="21"/>
                <w:lang w:eastAsia="zh-CN"/>
              </w:rPr>
              <w:t>预灌装间、</w:t>
            </w:r>
            <w:r>
              <w:rPr>
                <w:rFonts w:hint="eastAsia" w:ascii="宋体" w:hAnsi="宋体"/>
                <w:szCs w:val="21"/>
                <w:lang w:eastAsia="zh-CN"/>
              </w:rPr>
              <w:t>资料间</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kern w:val="0"/>
                <w:szCs w:val="21"/>
                <w:lang/>
              </w:rPr>
            </w:pPr>
          </w:p>
        </w:tc>
        <w:tc>
          <w:tcPr>
            <w:tcW w:w="7128" w:type="dxa"/>
            <w:gridSpan w:val="2"/>
            <w:vAlign w:val="center"/>
          </w:tcPr>
          <w:p>
            <w:pPr>
              <w:spacing w:line="276" w:lineRule="auto"/>
              <w:jc w:val="both"/>
              <w:rPr>
                <w:szCs w:val="21"/>
                <w:lang w:eastAsia="zh-CN"/>
              </w:rPr>
            </w:pPr>
            <w:r>
              <w:rPr>
                <w:rFonts w:hint="eastAsia" w:ascii="宋体" w:hAnsi="宋体"/>
                <w:szCs w:val="21"/>
                <w:lang w:eastAsia="zh-CN"/>
              </w:rPr>
              <w:t>真空泵、真空罐位于空调机房内；</w:t>
            </w:r>
          </w:p>
        </w:tc>
        <w:tc>
          <w:tcPr>
            <w:tcW w:w="2125" w:type="dxa"/>
            <w:vAlign w:val="center"/>
          </w:tcPr>
          <w:p>
            <w:pPr>
              <w:jc w:val="center"/>
              <w:rPr>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kern w:val="0"/>
                <w:szCs w:val="21"/>
                <w:lang/>
              </w:rPr>
            </w:pPr>
          </w:p>
        </w:tc>
        <w:tc>
          <w:tcPr>
            <w:tcW w:w="7128" w:type="dxa"/>
            <w:gridSpan w:val="2"/>
            <w:vAlign w:val="center"/>
          </w:tcPr>
          <w:p>
            <w:pPr>
              <w:spacing w:line="276" w:lineRule="auto"/>
              <w:jc w:val="both"/>
              <w:rPr>
                <w:rFonts w:ascii="宋体" w:hAnsi="宋体"/>
                <w:szCs w:val="21"/>
                <w:lang w:eastAsia="zh-CN"/>
              </w:rPr>
            </w:pPr>
            <w:r>
              <w:rPr>
                <w:rFonts w:hint="eastAsia" w:ascii="宋体" w:hAnsi="宋体"/>
                <w:szCs w:val="21"/>
                <w:lang w:eastAsia="zh-CN"/>
              </w:rPr>
              <w:t>主控电脑和电柜安装在监控室内</w:t>
            </w:r>
          </w:p>
        </w:tc>
        <w:tc>
          <w:tcPr>
            <w:tcW w:w="2125" w:type="dxa"/>
            <w:vAlign w:val="center"/>
          </w:tcPr>
          <w:p>
            <w:pPr>
              <w:jc w:val="center"/>
              <w:rPr>
                <w:iCs/>
                <w:szCs w:val="21"/>
                <w:lang w:eastAsia="zh-CN"/>
              </w:rPr>
            </w:pPr>
            <w:r>
              <w:rPr>
                <w:rFonts w:hint="eastAsia"/>
                <w:iCs/>
                <w:szCs w:val="21"/>
                <w:lang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gridSpan w:val="2"/>
            <w:vAlign w:val="center"/>
          </w:tcPr>
          <w:p>
            <w:pPr>
              <w:spacing w:line="276" w:lineRule="auto"/>
              <w:jc w:val="both"/>
              <w:rPr>
                <w:i/>
                <w:szCs w:val="21"/>
                <w:lang w:eastAsia="zh-CN"/>
              </w:rPr>
            </w:pPr>
            <w:r>
              <w:rPr>
                <w:rFonts w:hint="eastAsia" w:ascii="宋体" w:hAnsi="宋体"/>
                <w:bCs/>
                <w:szCs w:val="30"/>
                <w:lang w:eastAsia="zh-CN"/>
              </w:rPr>
              <w:t>设备布局和连接轨道应在需方提供的房间内部合理布局。</w:t>
            </w:r>
          </w:p>
        </w:tc>
        <w:tc>
          <w:tcPr>
            <w:tcW w:w="2125" w:type="dxa"/>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gridSpan w:val="2"/>
            <w:vAlign w:val="center"/>
          </w:tcPr>
          <w:p>
            <w:pPr>
              <w:spacing w:line="276" w:lineRule="auto"/>
              <w:jc w:val="both"/>
              <w:rPr>
                <w:color w:val="0070C0"/>
                <w:szCs w:val="21"/>
                <w:lang w:val="en-US" w:eastAsia="zh-CN"/>
              </w:rPr>
            </w:pPr>
            <w:r>
              <w:rPr>
                <w:rFonts w:hint="eastAsia"/>
                <w:szCs w:val="21"/>
                <w:lang w:eastAsia="zh-CN"/>
              </w:rPr>
              <w:t>设备的形式尺寸应符合制造商说明书及技术文件规定的要求。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0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color w:val="0070C0"/>
                <w:szCs w:val="21"/>
                <w:lang w:eastAsia="zh-CN"/>
              </w:rPr>
            </w:pPr>
            <w:r>
              <w:rPr>
                <w:rFonts w:hint="eastAsia"/>
                <w:szCs w:val="21"/>
                <w:lang w:eastAsia="zh-CN"/>
              </w:rPr>
              <w:t>供应商必须给出设备选型方案及相应附件选型方案，并交给我公司使用部门及工程类部门审核。</w:t>
            </w:r>
          </w:p>
        </w:tc>
        <w:tc>
          <w:tcPr>
            <w:tcW w:w="2125" w:type="dxa"/>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ermStart w:id="12" w:edGrp="everyone"/>
          </w:p>
        </w:tc>
        <w:tc>
          <w:tcPr>
            <w:tcW w:w="9253" w:type="dxa"/>
            <w:gridSpan w:val="3"/>
            <w:vAlign w:val="center"/>
          </w:tcPr>
          <w:p>
            <w:pPr>
              <w:jc w:val="both"/>
              <w:rPr>
                <w:szCs w:val="21"/>
                <w:lang w:eastAsia="zh-CN"/>
              </w:rPr>
            </w:pPr>
            <w:r>
              <w:rPr>
                <w:szCs w:val="21"/>
                <w:lang w:val="en-US" w:eastAsia="zh-CN"/>
              </w:rPr>
              <w:t>N/A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tcBorders>
              <w:bottom w:val="single" w:color="auto" w:sz="4" w:space="0"/>
            </w:tcBorders>
            <w:shd w:val="clear" w:color="auto" w:fill="D9D9D9"/>
            <w:vAlign w:val="center"/>
          </w:tcPr>
          <w:p>
            <w:pPr>
              <w:jc w:val="both"/>
              <w:rPr>
                <w:szCs w:val="21"/>
                <w:lang w:eastAsia="zh-CN"/>
              </w:rPr>
            </w:pPr>
            <w:r>
              <w:rPr>
                <w:rFonts w:hint="eastAsia"/>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3" w:edGrp="everyone"/>
          </w:p>
        </w:tc>
        <w:tc>
          <w:tcPr>
            <w:tcW w:w="7110" w:type="dxa"/>
            <w:tcBorders>
              <w:bottom w:val="single" w:color="auto" w:sz="4" w:space="0"/>
            </w:tcBorders>
            <w:vAlign w:val="center"/>
          </w:tcPr>
          <w:p>
            <w:pPr>
              <w:jc w:val="both"/>
              <w:rPr>
                <w:szCs w:val="21"/>
                <w:lang w:val="en-US" w:eastAsia="zh-CN"/>
              </w:rPr>
            </w:pPr>
            <w:r>
              <w:rPr>
                <w:rFonts w:hint="eastAsia" w:ascii="宋体" w:hAnsi="宋体"/>
                <w:lang w:eastAsia="zh-CN"/>
              </w:rPr>
              <w:t>真空系统：随机自带外置式真空系统，真空泵将随同设备控制柜放在空调机房内。</w:t>
            </w:r>
          </w:p>
        </w:tc>
        <w:tc>
          <w:tcPr>
            <w:tcW w:w="2143" w:type="dxa"/>
            <w:gridSpan w:val="2"/>
            <w:tcBorders>
              <w:bottom w:val="single" w:color="auto" w:sz="4" w:space="0"/>
            </w:tcBorders>
            <w:vAlign w:val="center"/>
          </w:tcPr>
          <w:p>
            <w:pPr>
              <w:jc w:val="center"/>
              <w:rPr>
                <w:szCs w:val="21"/>
                <w:lang w:val="en-US" w:eastAsia="zh-CN"/>
              </w:rPr>
            </w:pPr>
            <w:r>
              <w:rPr>
                <w:rFonts w:hint="eastAsia"/>
                <w:szCs w:val="21"/>
                <w:lang w:eastAsia="zh-CN"/>
              </w:rPr>
              <w:t>关键</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ermStart w:id="14" w:edGrp="everyone"/>
            <w:permEnd w:id="14"/>
          </w:p>
        </w:tc>
        <w:tc>
          <w:tcPr>
            <w:tcW w:w="9253" w:type="dxa"/>
            <w:gridSpan w:val="3"/>
            <w:tcBorders>
              <w:top w:val="single" w:color="auto" w:sz="4" w:space="0"/>
            </w:tcBorders>
            <w:shd w:val="clear" w:color="auto" w:fill="D9D9D9"/>
            <w:vAlign w:val="center"/>
          </w:tcPr>
          <w:p>
            <w:pPr>
              <w:jc w:val="both"/>
              <w:rPr>
                <w:szCs w:val="21"/>
                <w:lang w:eastAsia="zh-CN"/>
              </w:rPr>
            </w:pPr>
            <w:r>
              <w:rPr>
                <w:rFonts w:hint="eastAsia"/>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gridSpan w:val="2"/>
            <w:vAlign w:val="center"/>
          </w:tcPr>
          <w:p>
            <w:pPr>
              <w:spacing w:line="276" w:lineRule="auto"/>
              <w:jc w:val="both"/>
              <w:rPr>
                <w:szCs w:val="21"/>
                <w:lang w:eastAsia="zh-CN"/>
              </w:rPr>
            </w:pPr>
            <w:r>
              <w:rPr>
                <w:rFonts w:hint="eastAsia"/>
                <w:szCs w:val="22"/>
                <w:lang w:eastAsia="zh-CN"/>
              </w:rPr>
              <w:t>适用于本公司工作</w:t>
            </w:r>
            <w:r>
              <w:rPr>
                <w:rFonts w:hint="eastAsia"/>
                <w:color w:val="000000"/>
                <w:szCs w:val="22"/>
                <w:lang w:eastAsia="zh-CN"/>
              </w:rPr>
              <w:t>环境温度：能适应</w:t>
            </w:r>
            <w:r>
              <w:rPr>
                <w:color w:val="000000"/>
                <w:szCs w:val="22"/>
                <w:lang w:eastAsia="zh-CN"/>
              </w:rPr>
              <w:t>10</w:t>
            </w:r>
            <w:r>
              <w:rPr>
                <w:rFonts w:hint="eastAsia"/>
                <w:color w:val="000000"/>
                <w:szCs w:val="22"/>
                <w:lang w:eastAsia="zh-CN"/>
              </w:rPr>
              <w:t>℃～</w:t>
            </w:r>
            <w:r>
              <w:rPr>
                <w:color w:val="000000"/>
                <w:szCs w:val="22"/>
                <w:lang w:eastAsia="zh-CN"/>
              </w:rPr>
              <w:t>3</w:t>
            </w:r>
            <w:r>
              <w:rPr>
                <w:color w:val="000000"/>
                <w:szCs w:val="22"/>
                <w:lang w:val="en-US" w:eastAsia="zh-CN"/>
              </w:rPr>
              <w:t>5</w:t>
            </w:r>
            <w:r>
              <w:rPr>
                <w:rFonts w:hint="eastAsia"/>
                <w:color w:val="000000"/>
                <w:szCs w:val="22"/>
                <w:lang w:eastAsia="zh-CN"/>
              </w:rPr>
              <w:t>℃环境</w:t>
            </w:r>
            <w:r>
              <w:rPr>
                <w:color w:val="000000"/>
                <w:szCs w:val="22"/>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gridSpan w:val="2"/>
            <w:vAlign w:val="center"/>
          </w:tcPr>
          <w:p>
            <w:pPr>
              <w:spacing w:line="276" w:lineRule="auto"/>
              <w:jc w:val="both"/>
              <w:rPr>
                <w:szCs w:val="21"/>
                <w:lang w:eastAsia="zh-CN"/>
              </w:rPr>
            </w:pPr>
            <w:r>
              <w:rPr>
                <w:rFonts w:hint="eastAsia"/>
                <w:szCs w:val="22"/>
                <w:lang w:eastAsia="zh-CN"/>
              </w:rPr>
              <w:t>适用于本公司</w:t>
            </w:r>
            <w:r>
              <w:rPr>
                <w:rFonts w:hint="eastAsia"/>
                <w:lang w:eastAsia="zh-CN"/>
              </w:rPr>
              <w:t>工</w:t>
            </w:r>
            <w:r>
              <w:rPr>
                <w:rFonts w:hint="eastAsia"/>
                <w:color w:val="000000"/>
                <w:lang w:eastAsia="zh-CN"/>
              </w:rPr>
              <w:t>作环境湿度：至少包括</w:t>
            </w:r>
            <w:r>
              <w:rPr>
                <w:color w:val="000000"/>
                <w:lang w:val="en-US" w:eastAsia="zh-CN"/>
              </w:rPr>
              <w:t>20</w:t>
            </w:r>
            <w:r>
              <w:rPr>
                <w:color w:val="000000"/>
                <w:lang w:eastAsia="zh-CN"/>
              </w:rPr>
              <w:t>%</w:t>
            </w:r>
            <w:r>
              <w:rPr>
                <w:rFonts w:hint="eastAsia"/>
                <w:color w:val="000000"/>
                <w:lang w:eastAsia="zh-CN"/>
              </w:rPr>
              <w:t>～</w:t>
            </w:r>
            <w:r>
              <w:rPr>
                <w:color w:val="000000"/>
                <w:lang w:val="en-US" w:eastAsia="zh-CN"/>
              </w:rPr>
              <w:t>75</w:t>
            </w:r>
            <w:r>
              <w:rPr>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2198"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gridSpan w:val="2"/>
            <w:vAlign w:val="center"/>
          </w:tcPr>
          <w:p>
            <w:pPr>
              <w:spacing w:line="276" w:lineRule="auto"/>
              <w:jc w:val="both"/>
              <w:rPr>
                <w:color w:val="000000"/>
                <w:szCs w:val="22"/>
                <w:lang w:eastAsia="zh-CN"/>
              </w:rPr>
            </w:pPr>
            <w:r>
              <w:rPr>
                <w:rFonts w:hint="eastAsia"/>
                <w:szCs w:val="22"/>
                <w:lang w:eastAsia="zh-CN"/>
              </w:rPr>
              <w:t>适用于本公司</w:t>
            </w:r>
            <w:r>
              <w:rPr>
                <w:rFonts w:hint="eastAsia"/>
                <w:lang w:eastAsia="zh-CN"/>
              </w:rPr>
              <w:t>工作</w:t>
            </w:r>
            <w:r>
              <w:rPr>
                <w:rFonts w:hint="eastAsia"/>
                <w:color w:val="000000"/>
                <w:lang w:eastAsia="zh-CN"/>
              </w:rPr>
              <w:t>环境洁净级别：</w:t>
            </w:r>
            <w:r>
              <w:rPr>
                <w:color w:val="000000"/>
                <w:szCs w:val="22"/>
                <w:lang w:eastAsia="zh-CN"/>
              </w:rPr>
              <w:t xml:space="preserve"> </w:t>
            </w:r>
          </w:p>
          <w:tbl>
            <w:tblPr>
              <w:tblStyle w:val="23"/>
              <w:tblW w:w="6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41"/>
              <w:gridCol w:w="2919"/>
              <w:gridCol w:w="2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8" w:hRule="atLeast"/>
              </w:trPr>
              <w:tc>
                <w:tcPr>
                  <w:tcW w:w="841" w:type="dxa"/>
                  <w:shd w:val="clear" w:color="auto" w:fill="D9D9D9"/>
                  <w:vAlign w:val="center"/>
                </w:tcPr>
                <w:p>
                  <w:pPr>
                    <w:pStyle w:val="8"/>
                    <w:spacing w:after="0"/>
                    <w:jc w:val="center"/>
                    <w:rPr>
                      <w:rFonts w:ascii="宋体"/>
                      <w:b/>
                      <w:sz w:val="21"/>
                      <w:szCs w:val="21"/>
                    </w:rPr>
                  </w:pPr>
                  <w:r>
                    <w:rPr>
                      <w:rFonts w:hint="eastAsia" w:ascii="宋体" w:hAnsi="宋体"/>
                      <w:b/>
                      <w:sz w:val="21"/>
                      <w:szCs w:val="21"/>
                    </w:rPr>
                    <w:t>序号</w:t>
                  </w:r>
                </w:p>
              </w:tc>
              <w:tc>
                <w:tcPr>
                  <w:tcW w:w="2919" w:type="dxa"/>
                  <w:shd w:val="clear" w:color="auto" w:fill="D9D9D9"/>
                  <w:vAlign w:val="center"/>
                </w:tcPr>
                <w:p>
                  <w:pPr>
                    <w:pStyle w:val="8"/>
                    <w:spacing w:after="0"/>
                    <w:jc w:val="center"/>
                    <w:rPr>
                      <w:rFonts w:ascii="宋体"/>
                      <w:b/>
                      <w:sz w:val="21"/>
                      <w:szCs w:val="21"/>
                    </w:rPr>
                  </w:pPr>
                  <w:r>
                    <w:rPr>
                      <w:rFonts w:hint="eastAsia" w:ascii="宋体" w:hAnsi="宋体"/>
                      <w:b/>
                      <w:sz w:val="21"/>
                      <w:szCs w:val="21"/>
                    </w:rPr>
                    <w:t>部件名称</w:t>
                  </w:r>
                </w:p>
              </w:tc>
              <w:tc>
                <w:tcPr>
                  <w:tcW w:w="2480" w:type="dxa"/>
                  <w:shd w:val="clear" w:color="auto" w:fill="D9D9D9"/>
                  <w:vAlign w:val="center"/>
                </w:tcPr>
                <w:p>
                  <w:pPr>
                    <w:pStyle w:val="8"/>
                    <w:spacing w:after="0"/>
                    <w:jc w:val="center"/>
                    <w:rPr>
                      <w:rFonts w:ascii="宋体"/>
                      <w:b/>
                      <w:sz w:val="21"/>
                      <w:szCs w:val="21"/>
                    </w:rPr>
                  </w:pPr>
                  <w:r>
                    <w:rPr>
                      <w:rFonts w:hint="eastAsia" w:ascii="宋体" w:hAnsi="宋体"/>
                      <w:b/>
                      <w:sz w:val="21"/>
                      <w:szCs w:val="21"/>
                    </w:rPr>
                    <w:t>环境洁净级别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8" w:hRule="atLeast"/>
              </w:trPr>
              <w:tc>
                <w:tcPr>
                  <w:tcW w:w="841" w:type="dxa"/>
                  <w:vAlign w:val="center"/>
                </w:tcPr>
                <w:p>
                  <w:pPr>
                    <w:pStyle w:val="8"/>
                    <w:spacing w:after="0"/>
                    <w:jc w:val="center"/>
                    <w:rPr>
                      <w:rFonts w:ascii="宋体" w:hAnsi="宋体"/>
                      <w:sz w:val="21"/>
                      <w:szCs w:val="21"/>
                    </w:rPr>
                  </w:pPr>
                  <w:r>
                    <w:rPr>
                      <w:rFonts w:ascii="宋体" w:hAnsi="宋体"/>
                      <w:sz w:val="21"/>
                      <w:szCs w:val="21"/>
                    </w:rPr>
                    <w:t>1</w:t>
                  </w:r>
                </w:p>
              </w:tc>
              <w:tc>
                <w:tcPr>
                  <w:tcW w:w="2919" w:type="dxa"/>
                  <w:vAlign w:val="center"/>
                </w:tcPr>
                <w:p>
                  <w:pPr>
                    <w:pStyle w:val="8"/>
                    <w:spacing w:after="0"/>
                    <w:jc w:val="center"/>
                    <w:rPr>
                      <w:rFonts w:ascii="宋体"/>
                      <w:sz w:val="21"/>
                      <w:szCs w:val="21"/>
                      <w:lang w:eastAsia="zh-CN"/>
                    </w:rPr>
                  </w:pPr>
                  <w:r>
                    <w:rPr>
                      <w:rFonts w:hint="eastAsia" w:ascii="宋体" w:hAnsi="宋体"/>
                      <w:sz w:val="21"/>
                      <w:szCs w:val="21"/>
                      <w:lang w:eastAsia="zh-CN"/>
                    </w:rPr>
                    <w:t>粒子计数器、浮游菌采样器</w:t>
                  </w:r>
                </w:p>
              </w:tc>
              <w:tc>
                <w:tcPr>
                  <w:tcW w:w="2480" w:type="dxa"/>
                  <w:vAlign w:val="center"/>
                </w:tcPr>
                <w:p>
                  <w:pPr>
                    <w:pStyle w:val="8"/>
                    <w:spacing w:after="0"/>
                    <w:jc w:val="center"/>
                    <w:rPr>
                      <w:rFonts w:ascii="宋体" w:hAnsi="宋体"/>
                      <w:sz w:val="21"/>
                      <w:szCs w:val="21"/>
                    </w:rPr>
                  </w:pPr>
                  <w:r>
                    <w:rPr>
                      <w:rFonts w:ascii="宋体" w:hAnsi="宋体"/>
                      <w:sz w:val="21"/>
                      <w:szCs w:val="21"/>
                    </w:rPr>
                    <w:t>A</w:t>
                  </w:r>
                  <w:r>
                    <w:rPr>
                      <w:rFonts w:hint="eastAsia" w:ascii="宋体" w:hAnsi="宋体"/>
                      <w:sz w:val="21"/>
                      <w:szCs w:val="21"/>
                    </w:rPr>
                    <w:t>、</w:t>
                  </w:r>
                  <w:r>
                    <w:rPr>
                      <w:rFonts w:ascii="宋体" w:hAnsi="宋体"/>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01" w:hRule="atLeast"/>
              </w:trPr>
              <w:tc>
                <w:tcPr>
                  <w:tcW w:w="841" w:type="dxa"/>
                  <w:vAlign w:val="center"/>
                </w:tcPr>
                <w:p>
                  <w:pPr>
                    <w:pStyle w:val="8"/>
                    <w:spacing w:after="0"/>
                    <w:jc w:val="center"/>
                    <w:rPr>
                      <w:rFonts w:ascii="宋体" w:hAnsi="宋体"/>
                      <w:sz w:val="21"/>
                      <w:szCs w:val="21"/>
                    </w:rPr>
                  </w:pPr>
                  <w:r>
                    <w:rPr>
                      <w:rFonts w:ascii="宋体" w:hAnsi="宋体"/>
                      <w:sz w:val="21"/>
                      <w:szCs w:val="21"/>
                    </w:rPr>
                    <w:t>2</w:t>
                  </w:r>
                </w:p>
              </w:tc>
              <w:tc>
                <w:tcPr>
                  <w:tcW w:w="2919" w:type="dxa"/>
                  <w:vAlign w:val="center"/>
                </w:tcPr>
                <w:p>
                  <w:pPr>
                    <w:pStyle w:val="8"/>
                    <w:spacing w:after="0"/>
                    <w:jc w:val="center"/>
                    <w:rPr>
                      <w:rFonts w:ascii="宋体"/>
                      <w:sz w:val="21"/>
                      <w:szCs w:val="21"/>
                    </w:rPr>
                  </w:pPr>
                  <w:r>
                    <w:rPr>
                      <w:rFonts w:hint="eastAsia" w:ascii="宋体" w:hAnsi="宋体"/>
                      <w:sz w:val="21"/>
                      <w:szCs w:val="21"/>
                      <w:lang w:eastAsia="zh-CN"/>
                    </w:rPr>
                    <w:t>触摸屏</w:t>
                  </w:r>
                </w:p>
              </w:tc>
              <w:tc>
                <w:tcPr>
                  <w:tcW w:w="2480" w:type="dxa"/>
                  <w:vAlign w:val="center"/>
                </w:tcPr>
                <w:p>
                  <w:pPr>
                    <w:pStyle w:val="8"/>
                    <w:spacing w:after="0"/>
                    <w:jc w:val="center"/>
                    <w:rPr>
                      <w:rFonts w:ascii="宋体" w:hAnsi="宋体"/>
                      <w:sz w:val="21"/>
                      <w:szCs w:val="21"/>
                    </w:rPr>
                  </w:pPr>
                  <w:r>
                    <w:rPr>
                      <w:rFonts w:ascii="宋体" w:hAnsi="宋体"/>
                      <w:sz w:val="21"/>
                      <w:szCs w:val="21"/>
                    </w:rPr>
                    <w:t>A</w:t>
                  </w:r>
                  <w:r>
                    <w:rPr>
                      <w:rFonts w:hint="eastAsia" w:ascii="宋体" w:hAnsi="宋体"/>
                      <w:sz w:val="21"/>
                      <w:szCs w:val="21"/>
                    </w:rPr>
                    <w:t>、</w:t>
                  </w:r>
                  <w:r>
                    <w:rPr>
                      <w:rFonts w:ascii="宋体" w:hAnsi="宋体"/>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8" w:hRule="atLeast"/>
              </w:trPr>
              <w:tc>
                <w:tcPr>
                  <w:tcW w:w="841" w:type="dxa"/>
                  <w:vAlign w:val="center"/>
                </w:tcPr>
                <w:p>
                  <w:pPr>
                    <w:pStyle w:val="8"/>
                    <w:spacing w:after="0"/>
                    <w:jc w:val="center"/>
                    <w:rPr>
                      <w:rFonts w:ascii="宋体" w:hAnsi="宋体"/>
                      <w:sz w:val="21"/>
                      <w:szCs w:val="21"/>
                    </w:rPr>
                  </w:pPr>
                  <w:r>
                    <w:rPr>
                      <w:rFonts w:ascii="宋体" w:hAnsi="宋体"/>
                      <w:sz w:val="21"/>
                      <w:szCs w:val="21"/>
                    </w:rPr>
                    <w:t>3</w:t>
                  </w:r>
                </w:p>
              </w:tc>
              <w:tc>
                <w:tcPr>
                  <w:tcW w:w="2919" w:type="dxa"/>
                  <w:vAlign w:val="center"/>
                </w:tcPr>
                <w:p>
                  <w:pPr>
                    <w:pStyle w:val="8"/>
                    <w:spacing w:after="0"/>
                    <w:jc w:val="center"/>
                    <w:rPr>
                      <w:rFonts w:ascii="宋体"/>
                      <w:sz w:val="21"/>
                      <w:szCs w:val="21"/>
                    </w:rPr>
                  </w:pPr>
                  <w:r>
                    <w:rPr>
                      <w:rFonts w:hint="eastAsia" w:ascii="宋体" w:hAnsi="宋体"/>
                      <w:bCs/>
                      <w:sz w:val="21"/>
                      <w:szCs w:val="21"/>
                    </w:rPr>
                    <w:t>主控</w:t>
                  </w:r>
                  <w:r>
                    <w:rPr>
                      <w:rFonts w:hint="eastAsia" w:ascii="宋体" w:hAnsi="宋体"/>
                      <w:sz w:val="21"/>
                      <w:szCs w:val="21"/>
                    </w:rPr>
                    <w:t>电脑</w:t>
                  </w:r>
                </w:p>
              </w:tc>
              <w:tc>
                <w:tcPr>
                  <w:tcW w:w="2480" w:type="dxa"/>
                  <w:vAlign w:val="center"/>
                </w:tcPr>
                <w:p>
                  <w:pPr>
                    <w:pStyle w:val="8"/>
                    <w:spacing w:after="0"/>
                    <w:jc w:val="center"/>
                    <w:rPr>
                      <w:rFonts w:ascii="宋体"/>
                      <w:sz w:val="21"/>
                      <w:szCs w:val="21"/>
                    </w:rPr>
                  </w:pPr>
                  <w:r>
                    <w:rPr>
                      <w:rFonts w:ascii="宋体" w:hAnsi="宋体"/>
                      <w:sz w:val="21"/>
                      <w:szCs w:val="21"/>
                    </w:rPr>
                    <w:t>CNC</w:t>
                  </w:r>
                  <w:r>
                    <w:rPr>
                      <w:rFonts w:hint="eastAsia" w:ascii="宋体" w:hAnsi="宋体"/>
                      <w:sz w:val="21"/>
                      <w:szCs w:val="21"/>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318" w:hRule="atLeast"/>
              </w:trPr>
              <w:tc>
                <w:tcPr>
                  <w:tcW w:w="841" w:type="dxa"/>
                  <w:vAlign w:val="center"/>
                </w:tcPr>
                <w:p>
                  <w:pPr>
                    <w:pStyle w:val="8"/>
                    <w:spacing w:after="0"/>
                    <w:jc w:val="center"/>
                    <w:rPr>
                      <w:rFonts w:ascii="宋体" w:hAnsi="宋体"/>
                      <w:sz w:val="21"/>
                      <w:szCs w:val="21"/>
                    </w:rPr>
                  </w:pPr>
                  <w:r>
                    <w:rPr>
                      <w:rFonts w:ascii="宋体" w:hAnsi="宋体"/>
                      <w:sz w:val="21"/>
                      <w:szCs w:val="21"/>
                    </w:rPr>
                    <w:t>4</w:t>
                  </w:r>
                </w:p>
              </w:tc>
              <w:tc>
                <w:tcPr>
                  <w:tcW w:w="2919" w:type="dxa"/>
                  <w:vAlign w:val="center"/>
                </w:tcPr>
                <w:p>
                  <w:pPr>
                    <w:pStyle w:val="8"/>
                    <w:spacing w:after="0"/>
                    <w:jc w:val="center"/>
                    <w:rPr>
                      <w:rFonts w:ascii="宋体"/>
                      <w:sz w:val="21"/>
                      <w:szCs w:val="21"/>
                    </w:rPr>
                  </w:pPr>
                  <w:r>
                    <w:rPr>
                      <w:rFonts w:hint="eastAsia" w:ascii="宋体" w:hAnsi="宋体"/>
                      <w:sz w:val="21"/>
                      <w:szCs w:val="21"/>
                    </w:rPr>
                    <w:t>真空泵</w:t>
                  </w:r>
                </w:p>
              </w:tc>
              <w:tc>
                <w:tcPr>
                  <w:tcW w:w="2480" w:type="dxa"/>
                  <w:vAlign w:val="center"/>
                </w:tcPr>
                <w:p>
                  <w:pPr>
                    <w:pStyle w:val="8"/>
                    <w:spacing w:after="0"/>
                    <w:jc w:val="center"/>
                    <w:rPr>
                      <w:rFonts w:ascii="宋体"/>
                      <w:sz w:val="21"/>
                      <w:szCs w:val="21"/>
                    </w:rPr>
                  </w:pPr>
                  <w:r>
                    <w:rPr>
                      <w:rFonts w:ascii="宋体" w:hAnsi="宋体"/>
                      <w:sz w:val="21"/>
                      <w:szCs w:val="21"/>
                    </w:rPr>
                    <w:t>CNC</w:t>
                  </w:r>
                  <w:r>
                    <w:rPr>
                      <w:rFonts w:hint="eastAsia" w:ascii="宋体" w:hAnsi="宋体"/>
                      <w:sz w:val="21"/>
                      <w:szCs w:val="21"/>
                    </w:rPr>
                    <w:t>区</w:t>
                  </w:r>
                </w:p>
              </w:tc>
            </w:tr>
          </w:tbl>
          <w:p>
            <w:pPr>
              <w:spacing w:line="276" w:lineRule="auto"/>
              <w:jc w:val="both"/>
              <w:rPr>
                <w:color w:val="000000"/>
                <w:lang w:eastAsia="zh-CN"/>
              </w:rPr>
            </w:pP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gridSpan w:val="2"/>
            <w:vAlign w:val="center"/>
          </w:tcPr>
          <w:p>
            <w:pPr>
              <w:spacing w:line="276" w:lineRule="auto"/>
              <w:jc w:val="both"/>
              <w:rPr>
                <w:color w:val="000000"/>
                <w:lang w:eastAsia="zh-CN"/>
              </w:rPr>
            </w:pPr>
            <w:r>
              <w:rPr>
                <w:rFonts w:hint="eastAsia"/>
                <w:szCs w:val="22"/>
                <w:lang w:eastAsia="zh-CN"/>
              </w:rPr>
              <w:t>适用于本公司</w:t>
            </w:r>
            <w:r>
              <w:rPr>
                <w:rFonts w:hint="eastAsia"/>
                <w:lang w:eastAsia="zh-CN"/>
              </w:rPr>
              <w:t>交</w:t>
            </w:r>
            <w:r>
              <w:rPr>
                <w:rFonts w:hint="eastAsia"/>
                <w:color w:val="000000"/>
                <w:lang w:eastAsia="zh-CN"/>
              </w:rPr>
              <w:t>流电电源：</w:t>
            </w:r>
            <w:r>
              <w:rPr>
                <w:rFonts w:hint="eastAsia" w:ascii="宋体" w:hAnsi="宋体"/>
                <w:lang w:eastAsia="zh-CN"/>
              </w:rPr>
              <w:t>三相交流电电源，</w:t>
            </w:r>
            <w:r>
              <w:rPr>
                <w:rFonts w:ascii="宋体" w:hAnsi="宋体"/>
                <w:lang w:eastAsia="zh-CN"/>
              </w:rPr>
              <w:t xml:space="preserve"> 380V/220V</w:t>
            </w:r>
            <w:r>
              <w:rPr>
                <w:rFonts w:hint="eastAsia" w:ascii="宋体" w:hAnsi="宋体"/>
                <w:lang w:eastAsia="zh-CN"/>
              </w:rPr>
              <w:t>±</w:t>
            </w:r>
            <w:r>
              <w:rPr>
                <w:rFonts w:ascii="宋体" w:hAnsi="宋体"/>
                <w:lang w:eastAsia="zh-CN"/>
              </w:rPr>
              <w:t>5%</w:t>
            </w:r>
            <w:r>
              <w:rPr>
                <w:rFonts w:hint="eastAsia" w:ascii="宋体" w:hAnsi="宋体"/>
                <w:lang w:eastAsia="zh-CN"/>
              </w:rPr>
              <w:t>，</w:t>
            </w:r>
            <w:r>
              <w:rPr>
                <w:rFonts w:ascii="宋体" w:hAnsi="宋体"/>
                <w:lang w:eastAsia="zh-CN"/>
              </w:rPr>
              <w:t>50HZ</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spacing w:line="276" w:lineRule="auto"/>
              <w:jc w:val="both"/>
              <w:rPr>
                <w:szCs w:val="22"/>
                <w:lang w:eastAsia="zh-CN"/>
              </w:rPr>
            </w:pPr>
            <w:r>
              <w:rPr>
                <w:rFonts w:hint="eastAsia"/>
                <w:szCs w:val="22"/>
                <w:lang w:eastAsia="zh-CN"/>
              </w:rPr>
              <w:t>U</w:t>
            </w:r>
            <w:r>
              <w:rPr>
                <w:szCs w:val="22"/>
                <w:lang w:eastAsia="zh-CN"/>
              </w:rPr>
              <w:t>PS</w:t>
            </w:r>
            <w:r>
              <w:rPr>
                <w:rFonts w:hint="eastAsia"/>
                <w:szCs w:val="22"/>
                <w:lang w:eastAsia="zh-CN"/>
              </w:rPr>
              <w:t>电源支持主控电脑正常开关机，选用</w:t>
            </w:r>
            <w:r>
              <w:rPr>
                <w:color w:val="111111"/>
                <w:lang w:eastAsia="zh-CN"/>
              </w:rPr>
              <w:t>零延迟的UPS</w:t>
            </w:r>
            <w:r>
              <w:rPr>
                <w:rFonts w:hint="eastAsia"/>
                <w:color w:val="111111"/>
                <w:lang w:eastAsia="zh-CN"/>
              </w:rPr>
              <w:t>电源</w:t>
            </w:r>
            <w:r>
              <w:rPr>
                <w:szCs w:val="22"/>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3"/>
            <w:shd w:val="clear" w:color="auto" w:fill="D9D9D9"/>
            <w:vAlign w:val="center"/>
          </w:tcPr>
          <w:p>
            <w:pPr>
              <w:jc w:val="both"/>
              <w:rPr>
                <w:szCs w:val="21"/>
                <w:lang w:eastAsia="zh-CN"/>
              </w:rPr>
            </w:pPr>
            <w:r>
              <w:rPr>
                <w:rFonts w:hint="eastAsia"/>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9" w:edGrp="everyone"/>
          </w:p>
        </w:tc>
        <w:tc>
          <w:tcPr>
            <w:tcW w:w="7128" w:type="dxa"/>
            <w:gridSpan w:val="2"/>
            <w:vAlign w:val="center"/>
          </w:tcPr>
          <w:p>
            <w:pPr>
              <w:jc w:val="both"/>
              <w:rPr>
                <w:i/>
                <w:color w:val="000000"/>
                <w:lang w:val="en-US" w:eastAsia="zh-CN"/>
              </w:rPr>
            </w:pPr>
            <w:r>
              <w:rPr>
                <w:rFonts w:hint="eastAsia"/>
                <w:iCs/>
                <w:color w:val="000000"/>
                <w:lang w:val="en-US" w:eastAsia="zh-CN"/>
              </w:rPr>
              <w:t>设备表面：表面平整光洁，无明显的划痕、异常凹陷、脱落、裂纹、锈蚀以及其它肉眼可见的外观缺陷。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hint="eastAsia"/>
                <w:iCs/>
                <w:color w:val="000000"/>
                <w:lang w:val="en-US" w:eastAsia="zh-CN"/>
              </w:rPr>
              <w:t>标记：产品铭牌、标识、标贴等标牌类零件的安装或粘连位置应正确、端正，标牌表面的文字、符号、图案等应正确、清晰。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hint="eastAsia"/>
                <w:iCs/>
                <w:color w:val="000000"/>
                <w:lang w:val="en-US" w:eastAsia="zh-CN"/>
              </w:rPr>
              <w:t>配件：零部件安装位置应正确、端正，品牌规格符合设计文件要求。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hint="eastAsia" w:ascii="宋体" w:hAnsi="宋体"/>
                <w:lang w:eastAsia="zh-CN"/>
              </w:rPr>
              <w:t>所有需要检查维修的部件或内部区域必须能被接触到，以供相应的维修检查和日常清洗操作，不得有盲区或者无法轻易触及的部位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iCs/>
                <w:color w:val="000000"/>
                <w:lang w:val="en-US" w:eastAsia="zh-CN"/>
              </w:rPr>
            </w:pPr>
            <w:r>
              <w:rPr>
                <w:rFonts w:ascii="Arial" w:hAnsi="Arial" w:cs="Arial"/>
                <w:szCs w:val="21"/>
                <w:lang w:eastAsia="zh-CN"/>
              </w:rPr>
              <w:t>粒子计数器外表</w:t>
            </w:r>
            <w:r>
              <w:rPr>
                <w:rFonts w:hint="eastAsia" w:ascii="Arial" w:hAnsi="Arial" w:cs="Arial"/>
                <w:szCs w:val="21"/>
                <w:lang w:eastAsia="zh-CN"/>
              </w:rPr>
              <w:t>材质为不锈钢，</w:t>
            </w:r>
            <w:r>
              <w:rPr>
                <w:rFonts w:ascii="Arial" w:hAnsi="Arial" w:cs="Arial"/>
                <w:szCs w:val="21"/>
                <w:lang w:eastAsia="zh-CN"/>
              </w:rPr>
              <w:t>应该易于清洁和消毒</w:t>
            </w:r>
            <w:r>
              <w:rPr>
                <w:rFonts w:hint="eastAsia" w:ascii="Arial" w:hAnsi="Arial" w:cs="Arial"/>
                <w:szCs w:val="21"/>
                <w:lang w:eastAsia="zh-CN"/>
              </w:rPr>
              <w:t>，没有擦拭盲区</w:t>
            </w:r>
            <w:r>
              <w:rPr>
                <w:rFonts w:ascii="Arial" w:hAnsi="Arial" w:cs="Arial"/>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rFonts w:ascii="Arial" w:hAnsi="Arial" w:cs="Arial"/>
                <w:szCs w:val="21"/>
                <w:lang w:eastAsia="zh-CN"/>
              </w:rPr>
            </w:pPr>
            <w:r>
              <w:rPr>
                <w:rFonts w:ascii="Arial" w:hAnsi="Arial" w:cs="Arial"/>
                <w:szCs w:val="21"/>
                <w:lang w:val="da-DK" w:eastAsia="zh-CN"/>
              </w:rPr>
              <w:t>粒子计数器应该考虑到防尘、防水, 并具有相应防护措施。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rFonts w:ascii="宋体" w:hAnsi="宋体" w:eastAsia="宋体"/>
                <w:iCs/>
                <w:color w:val="000000"/>
                <w:szCs w:val="21"/>
                <w:lang w:val="en-US" w:eastAsia="zh-CN"/>
              </w:rPr>
            </w:pPr>
            <w:r>
              <w:rPr>
                <w:rFonts w:hint="eastAsia" w:ascii="宋体" w:hAnsi="宋体" w:eastAsia="宋体"/>
                <w:iCs/>
                <w:color w:val="000000"/>
                <w:szCs w:val="21"/>
                <w:lang w:val="en-US" w:eastAsia="zh-CN"/>
              </w:rPr>
              <w:t>设备本身的材料应不会释放出导致危害健康及环境的有毒物质。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rFonts w:ascii="宋体" w:hAnsi="宋体" w:eastAsia="宋体" w:cs="Arial"/>
                <w:szCs w:val="21"/>
                <w:lang w:val="da-DK" w:eastAsia="zh-CN"/>
              </w:rPr>
            </w:pPr>
            <w:r>
              <w:rPr>
                <w:rFonts w:ascii="宋体" w:hAnsi="宋体" w:eastAsia="宋体" w:cs="Arial"/>
                <w:szCs w:val="21"/>
                <w:lang w:val="da-DK" w:eastAsia="zh-CN"/>
              </w:rPr>
              <w:t>触摸屏必须有相应的防护措</w:t>
            </w:r>
            <w:r>
              <w:rPr>
                <w:rFonts w:hint="eastAsia" w:ascii="宋体" w:hAnsi="宋体" w:eastAsia="宋体" w:cs="Arial"/>
                <w:szCs w:val="21"/>
                <w:lang w:val="da-DK" w:eastAsia="zh-CN"/>
              </w:rPr>
              <w:t>以</w:t>
            </w:r>
            <w:r>
              <w:rPr>
                <w:rFonts w:ascii="宋体" w:hAnsi="宋体" w:eastAsia="宋体" w:cs="Arial"/>
                <w:szCs w:val="21"/>
                <w:lang w:val="da-DK" w:eastAsia="zh-CN"/>
              </w:rPr>
              <w:t>施</w:t>
            </w:r>
            <w:r>
              <w:rPr>
                <w:rFonts w:hint="eastAsia" w:ascii="宋体" w:hAnsi="宋体" w:eastAsia="宋体" w:cs="Arial"/>
                <w:szCs w:val="21"/>
                <w:lang w:val="da-DK" w:eastAsia="zh-CN"/>
              </w:rPr>
              <w:t>避免过氧化氢空气灭菌时被腐蚀。</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rFonts w:ascii="宋体" w:hAnsi="宋体" w:eastAsia="宋体" w:cs="Arial"/>
                <w:szCs w:val="21"/>
                <w:lang w:val="da-DK" w:eastAsia="zh-CN"/>
              </w:rPr>
            </w:pPr>
            <w:r>
              <w:rPr>
                <w:rFonts w:hint="eastAsia" w:ascii="宋体" w:hAnsi="宋体" w:eastAsia="宋体"/>
                <w:szCs w:val="21"/>
                <w:lang w:eastAsia="zh-CN"/>
              </w:rPr>
              <w:t>所有粒子采样头、浮游菌采样器的表面都应不会被清洁剂如乙醇、苯扎溴铵甲醛、</w:t>
            </w:r>
            <w:r>
              <w:rPr>
                <w:rFonts w:ascii="宋体" w:hAnsi="宋体" w:eastAsia="宋体"/>
                <w:szCs w:val="21"/>
                <w:lang w:eastAsia="zh-CN"/>
              </w:rPr>
              <w:t>84</w:t>
            </w:r>
            <w:r>
              <w:rPr>
                <w:rFonts w:hint="eastAsia" w:ascii="宋体" w:hAnsi="宋体" w:eastAsia="宋体"/>
                <w:szCs w:val="21"/>
                <w:lang w:eastAsia="zh-CN"/>
              </w:rPr>
              <w:t>消毒液等腐蚀</w:t>
            </w:r>
            <w:r>
              <w:rPr>
                <w:rFonts w:hint="eastAsia" w:ascii="宋体" w:hAnsi="宋体" w:eastAsia="宋体" w:cs="Arial"/>
                <w:szCs w:val="21"/>
                <w:lang w:val="da-DK" w:eastAsia="zh-CN"/>
              </w:rPr>
              <w:t xml:space="preserve"> </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rFonts w:ascii="宋体" w:hAnsi="宋体" w:eastAsia="宋体"/>
                <w:szCs w:val="21"/>
                <w:lang w:eastAsia="zh-CN"/>
              </w:rPr>
            </w:pPr>
            <w:r>
              <w:rPr>
                <w:rFonts w:hint="eastAsia" w:ascii="宋体" w:hAnsi="宋体" w:eastAsia="宋体"/>
                <w:szCs w:val="21"/>
                <w:lang w:eastAsia="zh-CN"/>
              </w:rPr>
              <w:t>洁净室内的所有电子部件和管道应能够适应通常的清洁剂和消毒剂，不得因房间进行甲醛、过氧化氢的熏蒸而对设备本身造成影响</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rFonts w:ascii="宋体" w:hAnsi="宋体" w:eastAsia="宋体"/>
                <w:iCs/>
                <w:szCs w:val="21"/>
                <w:lang w:val="en-US" w:eastAsia="zh-CN"/>
              </w:rPr>
            </w:pPr>
            <w:r>
              <w:rPr>
                <w:rFonts w:hint="eastAsia" w:ascii="宋体" w:hAnsi="宋体" w:eastAsia="宋体"/>
                <w:iCs/>
                <w:szCs w:val="21"/>
                <w:lang w:val="en-US" w:eastAsia="zh-CN"/>
              </w:rPr>
              <w:t>不锈钢采样头为A</w:t>
            </w:r>
            <w:r>
              <w:rPr>
                <w:rFonts w:ascii="宋体" w:hAnsi="宋体" w:eastAsia="宋体"/>
                <w:iCs/>
                <w:szCs w:val="21"/>
                <w:lang w:val="en-US" w:eastAsia="zh-CN"/>
              </w:rPr>
              <w:t>ISI</w:t>
            </w:r>
            <w:r>
              <w:rPr>
                <w:rFonts w:hint="eastAsia" w:ascii="宋体" w:hAnsi="宋体" w:eastAsia="宋体"/>
                <w:iCs/>
                <w:szCs w:val="21"/>
                <w:lang w:val="en-US" w:eastAsia="zh-CN"/>
              </w:rPr>
              <w:t>（或</w:t>
            </w:r>
            <w:r>
              <w:rPr>
                <w:rFonts w:ascii="宋体" w:hAnsi="宋体" w:eastAsia="宋体"/>
                <w:iCs/>
                <w:szCs w:val="21"/>
                <w:lang w:val="en-US" w:eastAsia="zh-CN"/>
              </w:rPr>
              <w:t>SUS</w:t>
            </w:r>
            <w:r>
              <w:rPr>
                <w:rFonts w:hint="eastAsia" w:ascii="宋体" w:hAnsi="宋体" w:eastAsia="宋体"/>
                <w:iCs/>
                <w:szCs w:val="21"/>
                <w:lang w:val="en-US" w:eastAsia="zh-CN"/>
              </w:rPr>
              <w:t>）316L材料</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eastAsia="宋体"/>
                <w:iCs/>
                <w:color w:val="FF0000"/>
                <w:szCs w:val="21"/>
                <w:lang w:val="en-US" w:eastAsia="zh-CN"/>
              </w:rPr>
            </w:pPr>
            <w:r>
              <w:rPr>
                <w:rFonts w:ascii="宋体" w:hAnsi="宋体" w:eastAsia="宋体" w:cs="Arial"/>
                <w:szCs w:val="21"/>
                <w:lang w:val="da-DK" w:eastAsia="zh-CN"/>
              </w:rPr>
              <w:t>粒子计数器</w:t>
            </w:r>
            <w:r>
              <w:rPr>
                <w:rFonts w:hint="eastAsia" w:ascii="宋体" w:hAnsi="宋体" w:eastAsia="宋体" w:cs="Arial"/>
                <w:szCs w:val="21"/>
                <w:lang w:val="da-DK" w:eastAsia="zh-CN"/>
              </w:rPr>
              <w:t>应有</w:t>
            </w:r>
            <w:r>
              <w:rPr>
                <w:rFonts w:ascii="宋体" w:hAnsi="宋体" w:eastAsia="宋体" w:cs="Arial"/>
                <w:szCs w:val="21"/>
                <w:lang w:val="da-DK" w:eastAsia="zh-CN"/>
              </w:rPr>
              <w:t>专</w:t>
            </w:r>
            <w:r>
              <w:rPr>
                <w:rFonts w:hint="eastAsia" w:ascii="宋体" w:hAnsi="宋体" w:eastAsia="宋体" w:cs="Arial"/>
                <w:szCs w:val="21"/>
                <w:lang w:val="da-DK" w:eastAsia="zh-CN"/>
              </w:rPr>
              <w:t>用3</w:t>
            </w:r>
            <w:r>
              <w:rPr>
                <w:rFonts w:ascii="宋体" w:hAnsi="宋体" w:eastAsia="宋体" w:cs="Arial"/>
                <w:szCs w:val="21"/>
                <w:lang w:val="da-DK" w:eastAsia="zh-CN"/>
              </w:rPr>
              <w:t>04</w:t>
            </w:r>
            <w:r>
              <w:rPr>
                <w:rFonts w:hint="eastAsia" w:ascii="宋体" w:hAnsi="宋体" w:eastAsia="宋体" w:cs="Arial"/>
                <w:szCs w:val="21"/>
                <w:lang w:val="da-DK" w:eastAsia="zh-CN"/>
              </w:rPr>
              <w:t>不锈钢盒子保护</w:t>
            </w:r>
            <w:r>
              <w:rPr>
                <w:rFonts w:ascii="宋体" w:hAnsi="宋体" w:eastAsia="宋体" w:cs="Arial"/>
                <w:szCs w:val="21"/>
                <w:lang w:val="da-DK" w:eastAsia="zh-CN"/>
              </w:rPr>
              <w:t>。</w:t>
            </w:r>
          </w:p>
        </w:tc>
        <w:tc>
          <w:tcPr>
            <w:tcW w:w="2125" w:type="dxa"/>
            <w:vAlign w:val="center"/>
          </w:tcPr>
          <w:p>
            <w:pPr>
              <w:jc w:val="center"/>
              <w:rPr>
                <w:color w:val="FF0000"/>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eastAsia="宋体" w:cs="Arial"/>
                <w:szCs w:val="21"/>
                <w:lang w:val="da-DK" w:eastAsia="zh-CN"/>
              </w:rPr>
            </w:pPr>
            <w:r>
              <w:rPr>
                <w:rFonts w:hint="eastAsia" w:ascii="宋体" w:hAnsi="宋体" w:eastAsia="宋体" w:cs="Arial"/>
                <w:szCs w:val="21"/>
                <w:lang w:eastAsia="zh-CN"/>
              </w:rPr>
              <w:t>需要使用大功率进口石墨旋片真空泵或性能更优的真空泵，应使用干式泵。</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eastAsia="宋体" w:cs="Arial"/>
                <w:szCs w:val="21"/>
                <w:lang w:eastAsia="zh-CN"/>
              </w:rPr>
            </w:pPr>
            <w:r>
              <w:rPr>
                <w:rFonts w:hint="eastAsia" w:ascii="宋体" w:hAnsi="宋体" w:eastAsia="宋体" w:cs="Arial"/>
                <w:szCs w:val="21"/>
                <w:lang w:eastAsia="zh-CN"/>
              </w:rPr>
              <w:t>粒子采样管与采样口材质光滑，无缝隙，设计应易于清洁，不得吸附或脱落微粒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eastAsia="宋体" w:cs="Arial"/>
                <w:szCs w:val="21"/>
                <w:lang w:eastAsia="zh-CN"/>
              </w:rPr>
            </w:pPr>
            <w:r>
              <w:rPr>
                <w:rFonts w:hint="eastAsia" w:ascii="宋体" w:hAnsi="宋体" w:eastAsia="宋体" w:cs="Arial"/>
                <w:szCs w:val="21"/>
                <w:lang w:eastAsia="zh-CN"/>
              </w:rPr>
              <w:t>应在不影响生产的位置安装粒子监测探头并排线布管，不会对洁净环境造成污染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gridSpan w:val="2"/>
            <w:vAlign w:val="center"/>
          </w:tcPr>
          <w:p>
            <w:pPr>
              <w:jc w:val="both"/>
              <w:rPr>
                <w:rFonts w:ascii="宋体" w:hAnsi="宋体" w:eastAsia="宋体" w:cs="Arial"/>
                <w:szCs w:val="21"/>
                <w:lang w:eastAsia="zh-CN"/>
              </w:rPr>
            </w:pPr>
            <w:r>
              <w:rPr>
                <w:rFonts w:hint="eastAsia" w:ascii="宋体" w:hAnsi="宋体" w:eastAsia="宋体" w:cs="Arial"/>
                <w:szCs w:val="21"/>
                <w:lang w:eastAsia="zh-CN"/>
              </w:rPr>
              <w:t>夹层内真空管道应标明名称，便于维修识别，且管道上应预装少量阀门便于后期加装点位改造。</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gridSpan w:val="2"/>
            <w:vAlign w:val="center"/>
          </w:tcPr>
          <w:p>
            <w:pPr>
              <w:jc w:val="both"/>
              <w:rPr>
                <w:rFonts w:ascii="宋体" w:hAnsi="宋体" w:eastAsia="宋体"/>
                <w:color w:val="000000"/>
                <w:szCs w:val="21"/>
                <w:lang w:eastAsia="zh-CN"/>
              </w:rPr>
            </w:pPr>
            <w:r>
              <w:rPr>
                <w:rFonts w:hint="eastAsia" w:ascii="宋体" w:hAnsi="宋体" w:eastAsia="宋体"/>
                <w:color w:val="000000"/>
                <w:szCs w:val="21"/>
                <w:lang w:eastAsia="zh-CN"/>
              </w:rPr>
              <w:t>配电柜上至少应有以下永久贴牢和清楚易认的标识：制造单位、产品注册号、型号、生产日期和编号、安全标识等。</w:t>
            </w:r>
          </w:p>
        </w:tc>
        <w:tc>
          <w:tcPr>
            <w:tcW w:w="2125" w:type="dxa"/>
            <w:vAlign w:val="center"/>
          </w:tcPr>
          <w:p>
            <w:pPr>
              <w:jc w:val="center"/>
              <w:rPr>
                <w:szCs w:val="21"/>
                <w:lang w:eastAsia="zh-CN"/>
              </w:rPr>
            </w:pPr>
            <w:r>
              <w:rPr>
                <w:rFonts w:hint="eastAsia"/>
                <w:szCs w:val="21"/>
                <w:lang w:eastAsia="zh-CN"/>
              </w:rPr>
              <w:t>关键</w:t>
            </w:r>
          </w:p>
        </w:tc>
      </w:tr>
      <w:bookmarkEnd w:id="25"/>
      <w:bookmarkEnd w:id="26"/>
      <w:permEnd w:id="19"/>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7" w:name="_Toc522716121"/>
      <w:bookmarkStart w:id="28" w:name="_Toc522107740"/>
      <w:r>
        <w:rPr>
          <w:rFonts w:hint="eastAsia" w:ascii="Times New Roman" w:hAnsi="Times New Roman"/>
          <w:b/>
        </w:rPr>
        <w:t>运行要求</w:t>
      </w:r>
      <w:bookmarkEnd w:id="27"/>
      <w:bookmarkEnd w:id="28"/>
    </w:p>
    <w:p>
      <w:pPr>
        <w:pStyle w:val="34"/>
        <w:spacing w:before="0" w:line="360" w:lineRule="auto"/>
        <w:ind w:left="357"/>
        <w:jc w:val="left"/>
        <w:rPr>
          <w:bCs/>
          <w:i/>
          <w:color w:val="4472C4"/>
          <w:kern w:val="44"/>
          <w:szCs w:val="21"/>
          <w:lang w:eastAsia="zh-CN"/>
        </w:rPr>
      </w:pPr>
      <w:permStart w:id="2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20"/>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ermStart w:id="21" w:edGrp="everyone"/>
          </w:p>
        </w:tc>
        <w:tc>
          <w:tcPr>
            <w:tcW w:w="9253" w:type="dxa"/>
            <w:gridSpan w:val="2"/>
            <w:vAlign w:val="center"/>
          </w:tcPr>
          <w:p>
            <w:pPr>
              <w:jc w:val="both"/>
              <w:rPr>
                <w:szCs w:val="21"/>
                <w:lang w:eastAsia="zh-CN"/>
              </w:rPr>
            </w:pPr>
            <w:r>
              <w:rPr>
                <w:szCs w:val="21"/>
                <w:lang w:val="en-US"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ermStart w:id="22" w:edGrp="everyone"/>
          </w:p>
        </w:tc>
        <w:tc>
          <w:tcPr>
            <w:tcW w:w="9253" w:type="dxa"/>
            <w:gridSpan w:val="2"/>
            <w:vAlign w:val="center"/>
          </w:tcPr>
          <w:p>
            <w:pPr>
              <w:jc w:val="both"/>
              <w:rPr>
                <w:rFonts w:ascii="宋体" w:hAnsi="宋体"/>
                <w:szCs w:val="21"/>
                <w:lang w:eastAsia="zh-CN"/>
              </w:rPr>
            </w:pPr>
            <w:r>
              <w:rPr>
                <w:rFonts w:ascii="宋体" w:hAnsi="宋体"/>
                <w:szCs w:val="21"/>
                <w:lang w:val="en-US" w:eastAsia="zh-CN"/>
              </w:rPr>
              <w:t>N/A</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ermStart w:id="23" w:edGrp="everyone"/>
          </w:p>
        </w:tc>
        <w:tc>
          <w:tcPr>
            <w:tcW w:w="7128" w:type="dxa"/>
            <w:vAlign w:val="center"/>
          </w:tcPr>
          <w:p>
            <w:pPr>
              <w:jc w:val="both"/>
              <w:rPr>
                <w:rFonts w:ascii="宋体" w:hAnsi="宋体" w:eastAsia="宋体"/>
                <w:szCs w:val="21"/>
                <w:lang w:val="en-US" w:eastAsia="zh-CN"/>
              </w:rPr>
            </w:pPr>
            <w:r>
              <w:rPr>
                <w:rFonts w:hint="eastAsia" w:ascii="宋体" w:hAnsi="宋体" w:eastAsia="宋体"/>
                <w:iCs/>
                <w:szCs w:val="21"/>
                <w:lang w:val="en-US" w:eastAsia="zh-CN"/>
              </w:rPr>
              <w:t>粒子计数器和浮游菌采样器的采样流量为</w:t>
            </w:r>
            <w:r>
              <w:rPr>
                <w:rFonts w:ascii="宋体" w:hAnsi="宋体" w:cs="Arial"/>
                <w:szCs w:val="21"/>
                <w:lang w:eastAsia="zh-CN"/>
              </w:rPr>
              <w:t>1.0CFM</w:t>
            </w:r>
          </w:p>
        </w:tc>
        <w:tc>
          <w:tcPr>
            <w:tcW w:w="2125" w:type="dxa"/>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jc w:val="both"/>
              <w:rPr>
                <w:rFonts w:ascii="宋体" w:hAnsi="宋体" w:eastAsia="宋体"/>
                <w:iCs/>
                <w:szCs w:val="21"/>
                <w:lang w:val="en-US" w:eastAsia="zh-CN"/>
              </w:rPr>
            </w:pPr>
            <w:r>
              <w:rPr>
                <w:rFonts w:hint="eastAsia" w:ascii="宋体" w:hAnsi="宋体" w:eastAsia="宋体"/>
                <w:iCs/>
                <w:szCs w:val="21"/>
                <w:lang w:val="en-US" w:eastAsia="zh-CN"/>
              </w:rPr>
              <w:t>粒子计数器和浮游菌采样器</w:t>
            </w:r>
            <w:r>
              <w:rPr>
                <w:rFonts w:hint="eastAsia" w:ascii="宋体" w:hAnsi="宋体" w:eastAsia="宋体" w:cs="Arial"/>
                <w:szCs w:val="21"/>
                <w:lang w:eastAsia="zh-CN"/>
              </w:rPr>
              <w:t>应内置流量计，以确保采样器正常运行，</w:t>
            </w:r>
            <w:r>
              <w:rPr>
                <w:rFonts w:hint="eastAsia" w:ascii="宋体" w:hAnsi="宋体" w:eastAsia="宋体" w:cs="Arial"/>
                <w:szCs w:val="21"/>
                <w:lang w:val="da-DK" w:eastAsia="zh-CN"/>
              </w:rPr>
              <w:t>误差不超过5%</w:t>
            </w:r>
            <w:r>
              <w:rPr>
                <w:rFonts w:ascii="宋体" w:hAnsi="宋体" w:eastAsia="宋体" w:cs="Arial"/>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jc w:val="both"/>
              <w:rPr>
                <w:rFonts w:ascii="Arial" w:hAnsi="Arial" w:cs="Arial"/>
                <w:szCs w:val="21"/>
                <w:lang w:eastAsia="zh-CN"/>
              </w:rPr>
            </w:pPr>
            <w:r>
              <w:rPr>
                <w:rFonts w:hint="eastAsia" w:ascii="宋体" w:hAnsi="宋体" w:cs="Arial"/>
                <w:szCs w:val="21"/>
                <w:lang w:eastAsia="zh-CN"/>
              </w:rPr>
              <w:t>通讯方式：以太网或</w:t>
            </w:r>
            <w:r>
              <w:rPr>
                <w:rFonts w:ascii="宋体" w:hAnsi="宋体" w:cs="Arial"/>
                <w:szCs w:val="21"/>
                <w:lang w:eastAsia="zh-CN"/>
              </w:rPr>
              <w:t>RS-485</w:t>
            </w:r>
          </w:p>
        </w:tc>
        <w:tc>
          <w:tcPr>
            <w:tcW w:w="2125" w:type="dxa"/>
            <w:vAlign w:val="center"/>
          </w:tcPr>
          <w:p>
            <w:pPr>
              <w:jc w:val="center"/>
              <w:rPr>
                <w:color w:val="FF0000"/>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jc w:val="both"/>
              <w:rPr>
                <w:rFonts w:ascii="宋体" w:hAnsi="宋体" w:cs="Arial"/>
                <w:szCs w:val="21"/>
                <w:lang w:eastAsia="zh-CN"/>
              </w:rPr>
            </w:pPr>
            <w:r>
              <w:rPr>
                <w:rFonts w:hint="eastAsia" w:ascii="宋体" w:hAnsi="宋体" w:cs="Arial"/>
                <w:szCs w:val="21"/>
                <w:lang w:eastAsia="zh-CN"/>
              </w:rPr>
              <w:t>当通讯中断时，粒子计数器应至少自动缓存1000笔数据（在生产时），同时记录对应时间，保证其数据完整性，通讯恢复后能将数据上传。</w:t>
            </w:r>
          </w:p>
        </w:tc>
        <w:tc>
          <w:tcPr>
            <w:tcW w:w="2125" w:type="dxa"/>
            <w:vAlign w:val="center"/>
          </w:tcPr>
          <w:p>
            <w:pPr>
              <w:jc w:val="center"/>
              <w:rPr>
                <w:color w:val="FF0000"/>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4" w:edGrp="everyone"/>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cs="Arial"/>
                <w:szCs w:val="21"/>
                <w:lang w:eastAsia="zh-CN"/>
              </w:rPr>
              <w:t>激光光源使用寿命至少在5年以上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cs="Arial"/>
                <w:szCs w:val="21"/>
              </w:rPr>
              <w:t>粒径分辨率：0.5μm偏差＜15%，（符合iso21501-4）</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计数效率：0.5</w:t>
            </w:r>
            <w:r>
              <w:rPr>
                <w:rFonts w:hint="eastAsia" w:ascii="宋体" w:hAnsi="宋体" w:eastAsia="宋体" w:cs="Arial"/>
                <w:szCs w:val="21"/>
              </w:rPr>
              <w:t>μ</w:t>
            </w:r>
            <w:r>
              <w:rPr>
                <w:rFonts w:hint="eastAsia" w:ascii="宋体" w:hAnsi="宋体" w:eastAsia="宋体" w:cs="Arial"/>
                <w:szCs w:val="21"/>
                <w:lang w:eastAsia="zh-CN"/>
              </w:rPr>
              <w:t>m计数效率应达到50%， 0.75</w:t>
            </w:r>
            <w:r>
              <w:rPr>
                <w:rFonts w:hint="eastAsia" w:ascii="宋体" w:hAnsi="宋体" w:eastAsia="宋体" w:cs="Arial"/>
                <w:szCs w:val="21"/>
              </w:rPr>
              <w:t>μ</w:t>
            </w:r>
            <w:r>
              <w:rPr>
                <w:rFonts w:hint="eastAsia" w:ascii="宋体" w:hAnsi="宋体" w:eastAsia="宋体" w:cs="Arial"/>
                <w:szCs w:val="21"/>
                <w:lang w:eastAsia="zh-CN"/>
              </w:rPr>
              <w:t>m及以上应达到100%</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粒径通道：</w:t>
            </w:r>
            <w:r>
              <w:rPr>
                <w:rFonts w:hint="eastAsia" w:ascii="宋体" w:hAnsi="宋体" w:cs="Arial"/>
                <w:szCs w:val="21"/>
                <w:lang w:eastAsia="zh-CN"/>
              </w:rPr>
              <w:t>至少能够检测≥</w:t>
            </w:r>
            <w:r>
              <w:rPr>
                <w:rFonts w:ascii="宋体" w:hAnsi="宋体" w:cs="Arial"/>
                <w:szCs w:val="21"/>
                <w:lang w:eastAsia="zh-CN"/>
              </w:rPr>
              <w:t xml:space="preserve"> 0.5</w:t>
            </w:r>
            <w:r>
              <w:rPr>
                <w:rFonts w:hint="eastAsia" w:ascii="宋体" w:hAnsi="宋体" w:cs="Arial Unicode MS"/>
                <w:szCs w:val="21"/>
              </w:rPr>
              <w:t>μ</w:t>
            </w:r>
            <w:r>
              <w:rPr>
                <w:rFonts w:ascii="宋体" w:hAnsi="宋体" w:cs="Arial"/>
                <w:szCs w:val="21"/>
                <w:lang w:eastAsia="zh-CN"/>
              </w:rPr>
              <w:t>m</w:t>
            </w:r>
            <w:r>
              <w:rPr>
                <w:rFonts w:hint="eastAsia" w:ascii="宋体" w:hAnsi="宋体" w:cs="Arial"/>
                <w:szCs w:val="21"/>
                <w:lang w:eastAsia="zh-CN"/>
              </w:rPr>
              <w:t>和≥</w:t>
            </w:r>
            <w:r>
              <w:rPr>
                <w:rFonts w:ascii="宋体" w:hAnsi="宋体" w:cs="Arial"/>
                <w:szCs w:val="21"/>
                <w:lang w:eastAsia="zh-CN"/>
              </w:rPr>
              <w:t xml:space="preserve"> 5</w:t>
            </w:r>
            <w:r>
              <w:rPr>
                <w:rFonts w:hint="eastAsia" w:ascii="宋体" w:hAnsi="宋体" w:cs="Arial Unicode MS"/>
                <w:szCs w:val="21"/>
              </w:rPr>
              <w:t>μ</w:t>
            </w:r>
            <w:r>
              <w:rPr>
                <w:rFonts w:ascii="宋体" w:hAnsi="宋体" w:cs="Arial Unicode MS"/>
                <w:szCs w:val="21"/>
                <w:lang w:eastAsia="zh-CN"/>
              </w:rPr>
              <w:t>m</w:t>
            </w:r>
            <w:r>
              <w:rPr>
                <w:rFonts w:hint="eastAsia" w:ascii="宋体" w:hAnsi="宋体" w:cs="Arial"/>
                <w:szCs w:val="21"/>
                <w:lang w:eastAsia="zh-CN"/>
              </w:rPr>
              <w:t>的粒子</w:t>
            </w:r>
          </w:p>
        </w:tc>
        <w:tc>
          <w:tcPr>
            <w:tcW w:w="2125" w:type="dxa"/>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采样时间：</w:t>
            </w:r>
            <w:r>
              <w:rPr>
                <w:rFonts w:ascii="宋体" w:hAnsi="宋体" w:eastAsia="宋体"/>
                <w:szCs w:val="21"/>
                <w:lang w:val="en-US" w:eastAsia="zh-CN"/>
              </w:rPr>
              <w:t xml:space="preserve">  </w:t>
            </w:r>
            <w:r>
              <w:rPr>
                <w:rFonts w:hint="eastAsia" w:ascii="宋体" w:hAnsi="宋体" w:eastAsia="宋体"/>
                <w:szCs w:val="21"/>
                <w:lang w:val="en-US" w:eastAsia="zh-CN"/>
              </w:rPr>
              <w:t>粒子为连续在线采样；浮游菌采样可单独设置</w:t>
            </w:r>
          </w:p>
        </w:tc>
        <w:tc>
          <w:tcPr>
            <w:tcW w:w="2125" w:type="dxa"/>
            <w:vAlign w:val="center"/>
          </w:tcPr>
          <w:p>
            <w:pPr>
              <w:jc w:val="center"/>
              <w:rPr>
                <w:szCs w:val="21"/>
                <w:lang w:eastAsia="zh-CN"/>
              </w:rPr>
            </w:pPr>
            <w:r>
              <w:rPr>
                <w:rFonts w:hint="eastAsia"/>
                <w:szCs w:val="21"/>
                <w:lang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cs="Arial"/>
                <w:szCs w:val="21"/>
                <w:lang w:eastAsia="zh-CN"/>
              </w:rPr>
              <w:t>粒子采样头到计数器的采样管长度不得超过</w:t>
            </w:r>
            <w:r>
              <w:rPr>
                <w:rFonts w:ascii="宋体" w:hAnsi="宋体" w:cs="Arial"/>
                <w:szCs w:val="21"/>
                <w:lang w:eastAsia="zh-CN"/>
              </w:rPr>
              <w:t>1.5m</w:t>
            </w:r>
            <w:r>
              <w:rPr>
                <w:rFonts w:ascii="宋体" w:hAnsi="宋体" w:eastAsia="宋体"/>
                <w:szCs w:val="21"/>
                <w:lang w:val="en-US" w:eastAsia="zh-CN"/>
              </w:rPr>
              <w:t xml:space="preserve"> </w:t>
            </w:r>
          </w:p>
        </w:tc>
        <w:tc>
          <w:tcPr>
            <w:tcW w:w="2125" w:type="dxa"/>
            <w:vAlign w:val="center"/>
          </w:tcPr>
          <w:p>
            <w:pPr>
              <w:jc w:val="center"/>
              <w:rPr>
                <w:szCs w:val="21"/>
                <w:lang w:eastAsia="zh-CN"/>
              </w:rPr>
            </w:pPr>
            <w:r>
              <w:rPr>
                <w:rFonts w:hint="eastAsia"/>
                <w:szCs w:val="21"/>
                <w:lang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7" w:edGrp="everyone"/>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eastAsia="zh-CN"/>
              </w:rPr>
              <w:t>粒子计数器有吹扫自净功能，</w:t>
            </w:r>
            <w:r>
              <w:rPr>
                <w:rFonts w:hint="eastAsia" w:ascii="宋体" w:hAnsi="宋体" w:eastAsia="宋体"/>
                <w:szCs w:val="21"/>
                <w:lang w:val="en-US" w:eastAsia="zh-CN"/>
              </w:rPr>
              <w:t>自净时间：</w:t>
            </w:r>
            <w:r>
              <w:rPr>
                <w:rFonts w:ascii="宋体" w:hAnsi="宋体" w:eastAsia="宋体"/>
                <w:szCs w:val="21"/>
                <w:lang w:val="en-US" w:eastAsia="zh-CN"/>
              </w:rPr>
              <w:t xml:space="preserve">  </w:t>
            </w:r>
            <w:r>
              <w:rPr>
                <w:rFonts w:hint="eastAsia" w:ascii="宋体" w:hAnsi="宋体" w:eastAsia="宋体"/>
                <w:szCs w:val="21"/>
                <w:lang w:val="en-US" w:eastAsia="zh-CN"/>
              </w:rPr>
              <w:t>≤</w:t>
            </w:r>
            <w:r>
              <w:rPr>
                <w:rFonts w:ascii="宋体" w:hAnsi="宋体" w:eastAsia="宋体"/>
                <w:szCs w:val="21"/>
                <w:lang w:val="en-US" w:eastAsia="zh-CN"/>
              </w:rPr>
              <w:t>10min</w:t>
            </w:r>
          </w:p>
        </w:tc>
        <w:tc>
          <w:tcPr>
            <w:tcW w:w="2125" w:type="dxa"/>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cs="Arial"/>
                <w:szCs w:val="21"/>
                <w:lang w:val="da-DK" w:eastAsia="zh-CN"/>
              </w:rPr>
              <w:t>粒子计数器</w:t>
            </w:r>
            <w:r>
              <w:rPr>
                <w:rFonts w:ascii="宋体" w:hAnsi="宋体" w:eastAsia="宋体" w:cs="Arial"/>
                <w:szCs w:val="21"/>
                <w:lang w:val="da-DK" w:eastAsia="zh-CN"/>
              </w:rPr>
              <w:t>零点计数</w:t>
            </w:r>
            <w:r>
              <w:rPr>
                <w:rFonts w:hint="eastAsia" w:ascii="宋体" w:hAnsi="宋体" w:eastAsia="宋体" w:cs="Arial"/>
                <w:szCs w:val="21"/>
                <w:lang w:val="da-DK" w:eastAsia="zh-CN"/>
              </w:rPr>
              <w:t>标准：</w:t>
            </w:r>
            <w:r>
              <w:rPr>
                <w:rFonts w:ascii="宋体" w:hAnsi="宋体" w:eastAsia="宋体" w:cs="Arial"/>
                <w:szCs w:val="21"/>
                <w:lang w:val="da-DK" w:eastAsia="zh-CN"/>
              </w:rPr>
              <w:t>每5分钟</w:t>
            </w:r>
            <w:r>
              <w:rPr>
                <w:rFonts w:hint="eastAsia" w:ascii="宋体" w:hAnsi="宋体" w:eastAsia="宋体" w:cs="Arial"/>
                <w:szCs w:val="21"/>
                <w:lang w:val="da-DK" w:eastAsia="zh-CN"/>
              </w:rPr>
              <w:t>粒子计数小于</w:t>
            </w:r>
            <w:r>
              <w:rPr>
                <w:rFonts w:ascii="宋体" w:hAnsi="宋体" w:eastAsia="宋体" w:cs="Arial"/>
                <w:szCs w:val="21"/>
                <w:lang w:val="da-DK" w:eastAsia="zh-CN"/>
              </w:rPr>
              <w:t>1</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val="da-DK" w:eastAsia="zh-CN"/>
              </w:rPr>
            </w:pPr>
            <w:r>
              <w:rPr>
                <w:rFonts w:hint="eastAsia" w:ascii="宋体" w:hAnsi="宋体" w:eastAsia="宋体" w:cs="Arial"/>
                <w:szCs w:val="21"/>
                <w:lang w:val="da-DK" w:eastAsia="zh-CN"/>
              </w:rPr>
              <w:t>软件可扩展性强，后期可支持对接至少15个点位。</w:t>
            </w:r>
          </w:p>
        </w:tc>
        <w:tc>
          <w:tcPr>
            <w:tcW w:w="2125" w:type="dxa"/>
            <w:vAlign w:val="center"/>
          </w:tcPr>
          <w:p>
            <w:pPr>
              <w:jc w:val="center"/>
              <w:rPr>
                <w:szCs w:val="21"/>
                <w:lang w:val="da-DK" w:eastAsia="zh-CN"/>
              </w:rPr>
            </w:pPr>
            <w:r>
              <w:rPr>
                <w:rFonts w:hint="eastAsia"/>
                <w:szCs w:val="21"/>
                <w:lang w:val="da-DK"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ermStart w:id="28" w:edGrp="everyone"/>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val="en-US" w:eastAsia="zh-CN"/>
              </w:rPr>
              <w:t>粒子和浮游菌监测点都使用等动力采样头</w:t>
            </w:r>
          </w:p>
        </w:tc>
        <w:tc>
          <w:tcPr>
            <w:tcW w:w="2125" w:type="dxa"/>
            <w:vAlign w:val="center"/>
          </w:tcPr>
          <w:p>
            <w:pPr>
              <w:jc w:val="center"/>
              <w:rPr>
                <w:color w:val="FF0000"/>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5"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浮游菌采样头安装培养皿的规格为φ</w:t>
            </w:r>
            <w:r>
              <w:rPr>
                <w:rFonts w:ascii="宋体" w:hAnsi="宋体" w:cs="Arial"/>
                <w:szCs w:val="21"/>
                <w:lang w:eastAsia="zh-CN"/>
              </w:rPr>
              <w:t>90mm</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5"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cs="Arial"/>
                <w:szCs w:val="21"/>
                <w:lang w:eastAsia="zh-CN"/>
              </w:rPr>
              <w:t>各计数监测点连接方式：并联；每个粒子计数器和浮游菌采样器可单独控制开关</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95"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粒子计数器激光源自动控制：传感器监测到无气流通过时，可自动关闭激光源，以延长激光光源使用寿命</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cs="Arial"/>
                <w:szCs w:val="21"/>
                <w:lang w:eastAsia="zh-CN"/>
              </w:rPr>
              <w:t>浮游菌采样器不得产生尾气造成被监测区域污染。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cs="Arial"/>
                <w:szCs w:val="21"/>
                <w:lang w:eastAsia="zh-CN"/>
              </w:rPr>
              <w:t>各采样点按照位置应覆盖关键生产区域，但不得干扰正常生产操作</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浮游菌采样头的设计能有效的避免假阳性的数据</w:t>
            </w:r>
          </w:p>
        </w:tc>
        <w:tc>
          <w:tcPr>
            <w:tcW w:w="2125"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ascii="宋体" w:hAnsi="宋体" w:eastAsia="宋体" w:cs="Arial"/>
                <w:szCs w:val="21"/>
                <w:lang w:eastAsia="zh-CN"/>
              </w:rPr>
              <w:t>A</w:t>
            </w:r>
            <w:r>
              <w:rPr>
                <w:rFonts w:hint="eastAsia" w:ascii="宋体" w:hAnsi="宋体" w:eastAsia="宋体" w:cs="Arial"/>
                <w:szCs w:val="21"/>
                <w:lang w:eastAsia="zh-CN"/>
              </w:rPr>
              <w:t>级区用的浮游菌采样头应该具有良好的物理和生物采样效率，采样效率有验证报告可证明大于</w:t>
            </w:r>
            <w:r>
              <w:rPr>
                <w:rFonts w:ascii="宋体" w:hAnsi="宋体" w:eastAsia="宋体" w:cs="Arial"/>
                <w:szCs w:val="21"/>
                <w:lang w:eastAsia="zh-CN"/>
              </w:rPr>
              <w:t>80%</w:t>
            </w:r>
          </w:p>
        </w:tc>
        <w:tc>
          <w:tcPr>
            <w:tcW w:w="2125"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采样器布置的位置和数量应符合</w:t>
            </w:r>
            <w:r>
              <w:rPr>
                <w:rFonts w:ascii="宋体" w:hAnsi="宋体" w:eastAsia="宋体"/>
                <w:szCs w:val="21"/>
                <w:lang w:eastAsia="zh-CN"/>
              </w:rPr>
              <w:t>ISO14698</w:t>
            </w:r>
            <w:r>
              <w:rPr>
                <w:rFonts w:hint="eastAsia" w:ascii="宋体" w:hAnsi="宋体" w:eastAsia="宋体" w:cs="Arial"/>
                <w:szCs w:val="21"/>
                <w:lang w:eastAsia="zh-CN"/>
              </w:rPr>
              <w:t>相关要求，供应商应详细明确说明其布点数量及位置的依据</w:t>
            </w:r>
          </w:p>
        </w:tc>
        <w:tc>
          <w:tcPr>
            <w:tcW w:w="2125" w:type="dxa"/>
            <w:vAlign w:val="center"/>
          </w:tcPr>
          <w:p>
            <w:pPr>
              <w:jc w:val="center"/>
              <w:rPr>
                <w:szCs w:val="21"/>
                <w:lang w:val="en-US"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应配备2台真空泵自动切换运行，每台真空泵都能单独供应其支持的系统，可维持15个点位的真空流量。</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真空管路的材质以及设计必须可以抵抗臭氧熏蒸、</w:t>
            </w:r>
            <w:r>
              <w:rPr>
                <w:rFonts w:ascii="宋体" w:hAnsi="宋体" w:eastAsia="宋体" w:cs="Arial"/>
                <w:szCs w:val="21"/>
                <w:lang w:eastAsia="zh-CN"/>
              </w:rPr>
              <w:t>VHP</w:t>
            </w:r>
            <w:r>
              <w:rPr>
                <w:rFonts w:hint="eastAsia" w:ascii="宋体" w:hAnsi="宋体" w:eastAsia="宋体" w:cs="Arial"/>
                <w:szCs w:val="21"/>
                <w:lang w:eastAsia="zh-CN"/>
              </w:rPr>
              <w:t>灭菌。</w:t>
            </w:r>
          </w:p>
        </w:tc>
        <w:tc>
          <w:tcPr>
            <w:tcW w:w="2125" w:type="dxa"/>
            <w:vAlign w:val="center"/>
          </w:tcPr>
          <w:p>
            <w:pPr>
              <w:jc w:val="center"/>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cs="Arial"/>
                <w:szCs w:val="21"/>
                <w:lang w:eastAsia="zh-CN"/>
              </w:rPr>
              <w:t>可在软件上远程启动</w:t>
            </w:r>
            <w:r>
              <w:rPr>
                <w:rFonts w:ascii="宋体" w:hAnsi="宋体" w:cs="Arial"/>
                <w:szCs w:val="21"/>
                <w:lang w:eastAsia="zh-CN"/>
              </w:rPr>
              <w:t>/</w:t>
            </w:r>
            <w:r>
              <w:rPr>
                <w:rFonts w:hint="eastAsia" w:ascii="宋体" w:hAnsi="宋体" w:cs="Arial"/>
                <w:szCs w:val="21"/>
                <w:lang w:eastAsia="zh-CN"/>
              </w:rPr>
              <w:t>停止真空泵工作</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应在不影响生产的位置安装粒子监测探头并排线布管，不会对洁净环境造成污染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粒子采样管与采样口材质光滑，无缝隙，设计应易于清洁，不得吸附或脱落微粒</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Cs w:val="21"/>
                <w:lang w:eastAsia="zh-CN"/>
              </w:rPr>
            </w:pPr>
            <w:r>
              <w:rPr>
                <w:rFonts w:hint="eastAsia" w:ascii="宋体" w:hAnsi="宋体" w:cs="Arial"/>
                <w:szCs w:val="21"/>
                <w:lang w:eastAsia="zh-CN"/>
              </w:rPr>
              <w:t>连接等动力采样头和计数器的采样管长度不得超过</w:t>
            </w:r>
            <w:r>
              <w:rPr>
                <w:rFonts w:ascii="宋体" w:hAnsi="宋体" w:cs="Arial"/>
                <w:szCs w:val="21"/>
                <w:lang w:eastAsia="zh-CN"/>
              </w:rPr>
              <w:t>1.5m</w:t>
            </w:r>
            <w:r>
              <w:rPr>
                <w:rFonts w:hint="eastAsia" w:ascii="宋体" w:hAnsi="宋体" w:cs="Arial"/>
                <w:szCs w:val="21"/>
                <w:lang w:eastAsia="zh-CN"/>
              </w:rPr>
              <w:t>，符合</w:t>
            </w:r>
            <w:r>
              <w:rPr>
                <w:rFonts w:ascii="宋体" w:hAnsi="宋体" w:cs="Arial"/>
                <w:szCs w:val="21"/>
                <w:lang w:eastAsia="zh-CN"/>
              </w:rPr>
              <w:t>GMP</w:t>
            </w:r>
            <w:r>
              <w:rPr>
                <w:rFonts w:hint="eastAsia" w:ascii="宋体" w:hAnsi="宋体" w:cs="Arial"/>
                <w:szCs w:val="21"/>
                <w:lang w:eastAsia="zh-CN"/>
              </w:rPr>
              <w:t>规范要求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sz w:val="24"/>
                <w:lang w:eastAsia="zh-CN"/>
              </w:rPr>
            </w:pPr>
            <w:r>
              <w:rPr>
                <w:rFonts w:hint="eastAsia" w:ascii="宋体" w:hAnsi="宋体"/>
                <w:lang w:eastAsia="zh-CN"/>
              </w:rPr>
              <w:t>离真空泵</w:t>
            </w:r>
            <w:r>
              <w:rPr>
                <w:rFonts w:ascii="宋体" w:hAnsi="宋体"/>
                <w:lang w:eastAsia="zh-CN"/>
              </w:rPr>
              <w:t>1m</w:t>
            </w:r>
            <w:r>
              <w:rPr>
                <w:rFonts w:hint="eastAsia" w:ascii="宋体" w:hAnsi="宋体"/>
                <w:lang w:eastAsia="zh-CN"/>
              </w:rPr>
              <w:t>处的噪声水平应小于</w:t>
            </w:r>
            <w:r>
              <w:rPr>
                <w:rFonts w:ascii="宋体" w:hAnsi="宋体"/>
                <w:lang w:eastAsia="zh-CN"/>
              </w:rPr>
              <w:t>75 dB</w:t>
            </w:r>
            <w:r>
              <w:rPr>
                <w:rFonts w:hint="eastAsia" w:ascii="宋体" w:hAnsi="宋体"/>
                <w:lang w:eastAsia="zh-CN"/>
              </w:rPr>
              <w:t>，</w:t>
            </w:r>
            <w:r>
              <w:rPr>
                <w:rFonts w:hint="eastAsia" w:ascii="宋体" w:hAnsi="宋体" w:cs="Arial"/>
                <w:lang w:eastAsia="zh-CN"/>
              </w:rPr>
              <w:t>噪音控制符合中国相关法规要求</w:t>
            </w:r>
          </w:p>
        </w:tc>
        <w:tc>
          <w:tcPr>
            <w:tcW w:w="2125" w:type="dxa"/>
            <w:vAlign w:val="center"/>
          </w:tcPr>
          <w:p>
            <w:pPr>
              <w:jc w:val="center"/>
              <w:rPr>
                <w:szCs w:val="21"/>
                <w:lang w:eastAsia="zh-CN"/>
              </w:rPr>
            </w:pPr>
            <w:r>
              <w:rPr>
                <w:rFonts w:hint="eastAsia"/>
                <w:szCs w:val="21"/>
                <w:lang w:eastAsia="zh-CN"/>
              </w:rPr>
              <w:t>关键</w:t>
            </w:r>
          </w:p>
        </w:tc>
      </w:tr>
      <w:permEnd w:id="28"/>
    </w:tbl>
    <w:p>
      <w:pPr>
        <w:pStyle w:val="30"/>
        <w:numPr>
          <w:ilvl w:val="0"/>
          <w:numId w:val="3"/>
        </w:numPr>
        <w:spacing w:after="158" w:afterLines="50"/>
        <w:ind w:left="426" w:hanging="426" w:hangingChars="202"/>
        <w:outlineLvl w:val="0"/>
        <w:rPr>
          <w:rFonts w:ascii="Times New Roman" w:hAnsi="Times New Roman"/>
          <w:b/>
        </w:rPr>
      </w:pPr>
      <w:bookmarkStart w:id="29" w:name="_Toc522716122"/>
      <w:bookmarkStart w:id="30" w:name="_Toc522107742"/>
      <w:bookmarkStart w:id="31" w:name="_Toc483400317"/>
      <w:bookmarkStart w:id="32" w:name="_Toc483227237"/>
      <w:bookmarkStart w:id="33" w:name="_Toc482717202"/>
      <w:bookmarkStart w:id="34" w:name="_Toc481702480"/>
      <w:bookmarkStart w:id="35" w:name="_Toc482625289"/>
      <w:bookmarkStart w:id="36" w:name="_Toc482359946"/>
      <w:bookmarkStart w:id="37" w:name="_Toc482369815"/>
      <w:bookmarkStart w:id="38" w:name="_Toc482370071"/>
      <w:bookmarkStart w:id="39" w:name="_Toc482370151"/>
      <w:bookmarkStart w:id="40" w:name="_Toc482370359"/>
      <w:bookmarkStart w:id="41" w:name="_Toc482360291"/>
      <w:bookmarkStart w:id="42" w:name="_Toc482370767"/>
      <w:r>
        <w:rPr>
          <w:rFonts w:hint="eastAsia" w:ascii="Times New Roman" w:hAnsi="Times New Roman"/>
          <w:b/>
        </w:rPr>
        <w:t>电气、自动控制要求</w:t>
      </w:r>
      <w:bookmarkEnd w:id="29"/>
    </w:p>
    <w:p>
      <w:pPr>
        <w:pStyle w:val="34"/>
        <w:spacing w:before="0" w:line="360" w:lineRule="auto"/>
        <w:ind w:left="425"/>
        <w:jc w:val="left"/>
        <w:rPr>
          <w:i/>
          <w:color w:val="4472C4"/>
          <w:szCs w:val="21"/>
          <w:lang w:eastAsia="zh-CN"/>
        </w:rPr>
      </w:pPr>
      <w:permStart w:id="2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29"/>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ermStart w:id="30" w:edGrp="everyone"/>
          </w:p>
        </w:tc>
        <w:tc>
          <w:tcPr>
            <w:tcW w:w="7128" w:type="dxa"/>
            <w:vAlign w:val="center"/>
          </w:tcPr>
          <w:p>
            <w:pPr>
              <w:spacing w:line="276" w:lineRule="auto"/>
              <w:jc w:val="both"/>
              <w:rPr>
                <w:szCs w:val="21"/>
                <w:lang w:val="en-US" w:eastAsia="zh-CN"/>
              </w:rPr>
            </w:pPr>
            <w:r>
              <w:rPr>
                <w:rFonts w:hint="eastAsia" w:ascii="宋体" w:hAnsi="宋体" w:cs="Arial"/>
                <w:lang w:eastAsia="zh-CN"/>
              </w:rPr>
              <w:t>应在灌装间配1台平板电脑，安装相应的监控软件，可直观了解并处理具体点位的报警信息</w:t>
            </w:r>
            <w:r>
              <w:rPr>
                <w:szCs w:val="21"/>
                <w:lang w:val="en-US"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应能在现场和远程软件处理报警信息。</w:t>
            </w:r>
          </w:p>
          <w:p>
            <w:pPr>
              <w:spacing w:line="276" w:lineRule="auto"/>
              <w:jc w:val="both"/>
              <w:rPr>
                <w:rFonts w:ascii="宋体" w:hAnsi="宋体" w:cs="Arial"/>
                <w:color w:val="FF0000"/>
                <w:lang w:eastAsia="zh-CN"/>
              </w:rPr>
            </w:pPr>
            <w:r>
              <w:rPr>
                <w:rFonts w:hint="eastAsia" w:ascii="宋体" w:hAnsi="宋体" w:cs="Arial"/>
                <w:lang w:eastAsia="zh-CN"/>
              </w:rPr>
              <w:t>装在平板电脑和和PC机上的监控系统软件应该是一样：功能一样且互不干扰。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color w:val="FF0000"/>
                <w:lang w:eastAsia="zh-CN"/>
              </w:rPr>
            </w:pPr>
            <w:r>
              <w:rPr>
                <w:rFonts w:hint="eastAsia" w:ascii="宋体" w:hAnsi="宋体" w:cs="Arial"/>
                <w:lang w:eastAsia="zh-CN"/>
              </w:rPr>
              <w:t>监控软件用于综合管理粒子、环境、生成的监测参数，能够采集、显示、分析、查询、存储和报告来自粒子监测和微生物采样的数据。</w:t>
            </w:r>
          </w:p>
        </w:tc>
        <w:tc>
          <w:tcPr>
            <w:tcW w:w="2125" w:type="dxa"/>
            <w:vAlign w:val="center"/>
          </w:tcPr>
          <w:p>
            <w:pPr>
              <w:jc w:val="center"/>
              <w:rPr>
                <w:szCs w:val="21"/>
                <w:lang w:eastAsia="zh-CN"/>
              </w:rPr>
            </w:pPr>
            <w:r>
              <w:rPr>
                <w:rFonts w:hint="eastAsia"/>
                <w:szCs w:val="21"/>
                <w:lang w:eastAsia="zh-CN"/>
              </w:rPr>
              <w:t>关键</w:t>
            </w: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color w:val="FF0000"/>
                <w:lang w:eastAsia="zh-CN"/>
              </w:rPr>
            </w:pPr>
            <w:r>
              <w:rPr>
                <w:rFonts w:hint="eastAsia" w:ascii="宋体" w:hAnsi="宋体" w:cs="Arial"/>
                <w:lang w:eastAsia="zh-CN"/>
              </w:rPr>
              <w:t>操作和显示界面应为中文</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宋体"/>
                <w:szCs w:val="21"/>
                <w:lang w:eastAsia="zh-CN"/>
              </w:rPr>
              <w:t>软件能</w:t>
            </w:r>
            <w:r>
              <w:rPr>
                <w:rFonts w:hint="eastAsia" w:ascii="Arial" w:hAnsi="Arial" w:cs="Arial"/>
                <w:szCs w:val="21"/>
                <w:lang w:val="da-DK" w:eastAsia="zh-CN"/>
              </w:rPr>
              <w:t>实时显示</w:t>
            </w:r>
            <w:r>
              <w:rPr>
                <w:rFonts w:hint="eastAsia"/>
                <w:szCs w:val="21"/>
                <w:lang w:val="en-US" w:eastAsia="zh-CN"/>
              </w:rPr>
              <w:t>日期，时间，及当前的检测值。</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Arial" w:hAnsi="Arial" w:cs="Arial"/>
                <w:szCs w:val="21"/>
                <w:lang w:val="da-DK" w:eastAsia="zh-CN"/>
              </w:rPr>
            </w:pPr>
            <w:r>
              <w:rPr>
                <w:rFonts w:hint="eastAsia"/>
                <w:szCs w:val="21"/>
                <w:lang w:val="en-US" w:eastAsia="zh-CN"/>
              </w:rPr>
              <w:t>粒子监测数据的</w:t>
            </w:r>
            <w:r>
              <w:rPr>
                <w:rFonts w:hint="eastAsia" w:ascii="宋体" w:hAnsi="宋体"/>
                <w:lang w:eastAsia="zh-CN"/>
              </w:rPr>
              <w:t>时间应以粒子计数器时间为准，且系统时间可定时自动同步。</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监控的数据（包括原始数据和相关元数据）应不可修改，可进行备份恢复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能够生成时间—粒子数曲线图</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可以按时间查询并生成报表，至少包括：设备识别号、设备位置信息；产品名称及批号；开始日期和时间；结束日期和时间；运行期间的监测数据、相关操作人员信息</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异常事件应可被显示和记录，</w:t>
            </w:r>
            <w:r>
              <w:rPr>
                <w:rFonts w:hint="eastAsia" w:ascii="宋体" w:hAnsi="宋体"/>
                <w:lang w:eastAsia="zh-CN"/>
              </w:rPr>
              <w:t>报警时应能够在监控界面上用不同颜色显示状态，如：正常时监控界面探头显示绿色、警告时显示黄色、报警时显示红色。</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应安装声光报警器，光报警为三色或以上，可分别显示正常运行、警戒报警、超标报警、流量报警等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91" w:hRule="atLeast"/>
          <w:jc w:val="center"/>
        </w:trPr>
        <w:tc>
          <w:tcPr>
            <w:tcW w:w="1310" w:type="dxa"/>
            <w:vAlign w:val="center"/>
          </w:tcPr>
          <w:p>
            <w:pPr>
              <w:pStyle w:val="30"/>
              <w:numPr>
                <w:ilvl w:val="0"/>
                <w:numId w:val="7"/>
              </w:numPr>
              <w:ind w:left="470" w:hanging="120" w:firstLineChars="0"/>
              <w:jc w:val="center"/>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cs="Arial"/>
                <w:lang w:eastAsia="zh-CN"/>
              </w:rPr>
              <w:t>当系统元件出现故障时，监控系统、现场应有声光报警，并提示故障信息</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5"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cs="Arial"/>
                <w:lang w:eastAsia="zh-CN"/>
              </w:rPr>
              <w:t>当测试结果超过警戒限和行动限时，监控系统、现场有应声光报警，软件显示报警点位信息</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5"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cs="Arial"/>
                <w:lang w:eastAsia="zh-CN"/>
              </w:rPr>
            </w:pPr>
            <w:r>
              <w:rPr>
                <w:rFonts w:hint="eastAsia" w:ascii="宋体" w:hAnsi="宋体" w:cs="Arial"/>
                <w:lang w:eastAsia="zh-CN"/>
              </w:rPr>
              <w:t>当真空流量不足时监控系统、现场有应声光报警，软件显示报警点位信息</w:t>
            </w:r>
          </w:p>
        </w:tc>
        <w:tc>
          <w:tcPr>
            <w:tcW w:w="2125" w:type="dxa"/>
            <w:vAlign w:val="center"/>
          </w:tcPr>
          <w:p>
            <w:pPr>
              <w:jc w:val="center"/>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8"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lang w:eastAsia="zh-CN"/>
              </w:rPr>
              <w:t>所有报警内容自动储存到相应的工控机硬盘或设备内存中，原始报警记录存储为不可修改</w:t>
            </w:r>
            <w:r>
              <w:rPr>
                <w:rFonts w:hint="eastAsia" w:ascii="宋体" w:hAnsi="宋体" w:cs="Arial"/>
                <w:lang w:eastAsia="zh-CN"/>
              </w:rPr>
              <w:t>格式</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8"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报警内容</w:t>
            </w:r>
            <w:r>
              <w:rPr>
                <w:rFonts w:hint="eastAsia" w:ascii="宋体" w:hAnsi="宋体" w:cs="Arial"/>
                <w:lang w:eastAsia="zh-CN"/>
              </w:rPr>
              <w:t>可查询、输出、备份恢复、打印。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28"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cs="Arial"/>
                <w:lang w:eastAsia="zh-CN"/>
              </w:rPr>
            </w:pPr>
            <w:r>
              <w:rPr>
                <w:rFonts w:hint="eastAsia" w:ascii="宋体" w:hAnsi="宋体"/>
                <w:lang w:eastAsia="zh-CN"/>
              </w:rPr>
              <w:t>报警内容</w:t>
            </w:r>
            <w:r>
              <w:rPr>
                <w:rFonts w:hint="eastAsia" w:ascii="宋体" w:hAnsi="宋体" w:cs="Arial"/>
                <w:lang w:eastAsia="zh-CN"/>
              </w:rPr>
              <w:t>可通过多种方式（如时间段、名称）查询，可输出P</w:t>
            </w:r>
            <w:r>
              <w:rPr>
                <w:rFonts w:ascii="宋体" w:hAnsi="宋体" w:cs="Arial"/>
                <w:lang w:eastAsia="zh-CN"/>
              </w:rPr>
              <w:t>DF</w:t>
            </w:r>
            <w:r>
              <w:rPr>
                <w:rFonts w:hint="eastAsia" w:ascii="宋体" w:hAnsi="宋体" w:cs="Arial"/>
                <w:lang w:eastAsia="zh-CN"/>
              </w:rPr>
              <w:t xml:space="preserve">格式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41"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color w:val="FF0000"/>
                <w:szCs w:val="21"/>
                <w:lang w:val="en-US" w:eastAsia="zh-CN"/>
              </w:rPr>
            </w:pPr>
            <w:r>
              <w:rPr>
                <w:rFonts w:hint="eastAsia" w:ascii="宋体" w:hAnsi="宋体"/>
                <w:lang w:eastAsia="zh-CN"/>
              </w:rPr>
              <w:t>报警记录内容至少包括序号、报警时间、报警原因</w:t>
            </w:r>
            <w:r>
              <w:rPr>
                <w:rFonts w:ascii="宋体" w:hAnsi="宋体"/>
                <w:lang w:eastAsia="zh-CN"/>
              </w:rPr>
              <w:t>/</w:t>
            </w:r>
            <w:r>
              <w:rPr>
                <w:rFonts w:hint="eastAsia" w:ascii="宋体" w:hAnsi="宋体"/>
                <w:lang w:eastAsia="zh-CN"/>
              </w:rPr>
              <w:t>事项、恢复时间、相关操作人员信息等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841" w:hRule="atLeast"/>
          <w:jc w:val="center"/>
        </w:trPr>
        <w:tc>
          <w:tcPr>
            <w:tcW w:w="1310" w:type="dxa"/>
            <w:vAlign w:val="center"/>
          </w:tcPr>
          <w:p>
            <w:pPr>
              <w:pStyle w:val="30"/>
              <w:numPr>
                <w:ilvl w:val="0"/>
                <w:numId w:val="7"/>
              </w:numPr>
              <w:ind w:left="470" w:hanging="120" w:firstLineChars="0"/>
              <w:rPr>
                <w:rFonts w:ascii="Times New Roman" w:hAnsi="Times New Roman"/>
                <w:color w:val="FF0000"/>
                <w:szCs w:val="21"/>
              </w:rPr>
            </w:pPr>
          </w:p>
        </w:tc>
        <w:tc>
          <w:tcPr>
            <w:tcW w:w="7128" w:type="dxa"/>
            <w:vAlign w:val="center"/>
          </w:tcPr>
          <w:p>
            <w:pPr>
              <w:spacing w:line="276" w:lineRule="auto"/>
              <w:jc w:val="both"/>
              <w:rPr>
                <w:rFonts w:ascii="宋体" w:hAnsi="宋体"/>
                <w:lang w:eastAsia="zh-CN"/>
              </w:rPr>
            </w:pPr>
            <w:r>
              <w:rPr>
                <w:rFonts w:hint="eastAsia" w:ascii="宋体" w:hAnsi="宋体" w:cs="Arial"/>
                <w:lang w:eastAsia="zh-CN"/>
              </w:rPr>
              <w:t>应能在现场和远程软件处理报警信息</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s="Arial"/>
                <w:sz w:val="21"/>
                <w:szCs w:val="20"/>
                <w:lang w:eastAsia="zh-CN"/>
              </w:rPr>
            </w:pPr>
            <w:r>
              <w:rPr>
                <w:rFonts w:hint="eastAsia" w:ascii="宋体" w:hAnsi="宋体" w:cs="Arial"/>
                <w:sz w:val="21"/>
                <w:szCs w:val="20"/>
                <w:lang w:eastAsia="zh-CN"/>
              </w:rPr>
              <w:t>可由管理员权限设置并锁定超标报警上下限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s="Arial"/>
                <w:sz w:val="21"/>
                <w:szCs w:val="21"/>
                <w:lang w:eastAsia="zh-CN"/>
              </w:rPr>
            </w:pPr>
            <w:r>
              <w:rPr>
                <w:rFonts w:hint="eastAsia" w:ascii="宋体" w:hAnsi="宋体"/>
                <w:sz w:val="21"/>
                <w:szCs w:val="21"/>
                <w:lang w:eastAsia="zh-CN"/>
              </w:rPr>
              <w:t>系统应有联机功能，可以输出干接点信号到灌装线</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cs="Arial"/>
                <w:sz w:val="21"/>
                <w:szCs w:val="21"/>
                <w:lang w:eastAsia="zh-CN"/>
              </w:rPr>
            </w:pPr>
            <w:r>
              <w:rPr>
                <w:rFonts w:hint="eastAsia" w:ascii="宋体" w:hAnsi="宋体"/>
                <w:sz w:val="21"/>
                <w:szCs w:val="21"/>
                <w:lang w:eastAsia="zh-CN"/>
              </w:rPr>
              <w:t>设备应提供接口，可对接M</w:t>
            </w:r>
            <w:r>
              <w:rPr>
                <w:rFonts w:ascii="宋体" w:hAnsi="宋体"/>
                <w:sz w:val="21"/>
                <w:szCs w:val="21"/>
                <w:lang w:eastAsia="zh-CN"/>
              </w:rPr>
              <w:t>ES</w:t>
            </w:r>
            <w:r>
              <w:rPr>
                <w:rFonts w:hint="eastAsia" w:ascii="宋体" w:hAnsi="宋体"/>
                <w:sz w:val="21"/>
                <w:szCs w:val="21"/>
                <w:lang w:eastAsia="zh-CN"/>
              </w:rPr>
              <w:t>系统，设备监测信息可被其他管理系统实时通讯、监控和记录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widowControl w:val="0"/>
              <w:adjustRightInd/>
              <w:spacing w:after="0" w:line="360" w:lineRule="auto"/>
              <w:jc w:val="both"/>
              <w:textAlignment w:val="auto"/>
              <w:rPr>
                <w:rFonts w:ascii="宋体" w:hAnsi="宋体"/>
                <w:sz w:val="21"/>
                <w:szCs w:val="21"/>
                <w:lang w:eastAsia="zh-CN"/>
              </w:rPr>
            </w:pPr>
            <w:r>
              <w:rPr>
                <w:rFonts w:ascii="宋体" w:hAnsi="宋体"/>
                <w:color w:val="111111"/>
                <w:sz w:val="21"/>
                <w:szCs w:val="21"/>
                <w:lang w:eastAsia="zh-CN"/>
              </w:rPr>
              <w:t>真空泵电路控制系统的要求</w:t>
            </w:r>
            <w:r>
              <w:rPr>
                <w:rFonts w:hint="eastAsia" w:ascii="宋体" w:hAnsi="宋体"/>
                <w:color w:val="111111"/>
                <w:sz w:val="21"/>
                <w:szCs w:val="21"/>
                <w:lang w:eastAsia="zh-CN"/>
              </w:rPr>
              <w:t>：</w:t>
            </w:r>
            <w:r>
              <w:rPr>
                <w:rFonts w:ascii="宋体" w:hAnsi="宋体"/>
                <w:color w:val="111111"/>
                <w:sz w:val="21"/>
                <w:szCs w:val="21"/>
                <w:lang w:eastAsia="zh-CN"/>
              </w:rPr>
              <w:t>真空泵由</w:t>
            </w:r>
            <w:r>
              <w:rPr>
                <w:rFonts w:hint="eastAsia" w:ascii="宋体" w:hAnsi="宋体"/>
                <w:color w:val="111111"/>
                <w:sz w:val="21"/>
                <w:szCs w:val="21"/>
                <w:lang w:eastAsia="zh-CN"/>
              </w:rPr>
              <w:t>PLC</w:t>
            </w:r>
            <w:r>
              <w:rPr>
                <w:rFonts w:ascii="宋体" w:hAnsi="宋体"/>
                <w:color w:val="111111"/>
                <w:sz w:val="21"/>
                <w:szCs w:val="21"/>
                <w:lang w:eastAsia="zh-CN"/>
              </w:rPr>
              <w:t>自动控制</w:t>
            </w:r>
            <w:r>
              <w:rPr>
                <w:rFonts w:hint="eastAsia" w:ascii="宋体" w:hAnsi="宋体"/>
                <w:color w:val="111111"/>
                <w:sz w:val="21"/>
                <w:szCs w:val="21"/>
                <w:lang w:eastAsia="zh-CN"/>
              </w:rPr>
              <w:t>；可</w:t>
            </w:r>
            <w:r>
              <w:rPr>
                <w:rFonts w:ascii="宋体" w:hAnsi="宋体"/>
                <w:color w:val="111111"/>
                <w:sz w:val="21"/>
                <w:szCs w:val="21"/>
                <w:lang w:eastAsia="zh-CN"/>
              </w:rPr>
              <w:t>实时查看真空泵运行状况且可设置相关参数</w:t>
            </w:r>
            <w:r>
              <w:rPr>
                <w:rFonts w:hint="eastAsia" w:ascii="宋体" w:hAnsi="宋体"/>
                <w:color w:val="111111"/>
                <w:sz w:val="21"/>
                <w:szCs w:val="21"/>
                <w:lang w:eastAsia="zh-CN"/>
              </w:rPr>
              <w:t>，必要时应为</w:t>
            </w:r>
            <w:r>
              <w:rPr>
                <w:rFonts w:ascii="宋体" w:hAnsi="宋体"/>
                <w:color w:val="111111"/>
                <w:sz w:val="21"/>
                <w:szCs w:val="21"/>
                <w:lang w:eastAsia="zh-CN"/>
              </w:rPr>
              <w:t>控制柜配备</w:t>
            </w:r>
            <w:r>
              <w:rPr>
                <w:rFonts w:hint="eastAsia" w:ascii="宋体" w:hAnsi="宋体"/>
                <w:color w:val="111111"/>
                <w:sz w:val="21"/>
                <w:szCs w:val="21"/>
                <w:lang w:eastAsia="zh-CN"/>
              </w:rPr>
              <w:t>单独的</w:t>
            </w:r>
            <w:r>
              <w:rPr>
                <w:rFonts w:ascii="宋体" w:hAnsi="宋体"/>
                <w:color w:val="111111"/>
                <w:sz w:val="21"/>
                <w:szCs w:val="21"/>
                <w:lang w:eastAsia="zh-CN"/>
              </w:rPr>
              <w:t>人机界面</w:t>
            </w:r>
            <w:r>
              <w:rPr>
                <w:rFonts w:hint="eastAsia" w:ascii="宋体" w:hAnsi="宋体"/>
                <w:color w:val="111111"/>
                <w:sz w:val="21"/>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ermStart w:id="31" w:edGrp="everyone"/>
            <w:permEnd w:id="31"/>
          </w:p>
        </w:tc>
        <w:tc>
          <w:tcPr>
            <w:tcW w:w="9253" w:type="dxa"/>
            <w:gridSpan w:val="2"/>
            <w:shd w:val="clear" w:color="auto" w:fill="D9D9D9"/>
            <w:vAlign w:val="center"/>
          </w:tcPr>
          <w:p>
            <w:pPr>
              <w:jc w:val="both"/>
              <w:rPr>
                <w:szCs w:val="21"/>
              </w:rPr>
            </w:pPr>
            <w:r>
              <w:rPr>
                <w:rFonts w:hint="eastAsia"/>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监控系统软件应具备满足法规要求和我公司要求的至少</w:t>
            </w:r>
            <w:r>
              <w:rPr>
                <w:rFonts w:ascii="宋体" w:hAnsi="宋体" w:eastAsia="宋体" w:cs="Arial"/>
                <w:szCs w:val="21"/>
                <w:lang w:eastAsia="zh-CN"/>
              </w:rPr>
              <w:t>3</w:t>
            </w:r>
            <w:r>
              <w:rPr>
                <w:rFonts w:hint="eastAsia" w:ascii="宋体" w:hAnsi="宋体" w:eastAsia="宋体"/>
                <w:szCs w:val="21"/>
                <w:lang w:eastAsia="zh-CN"/>
              </w:rPr>
              <w:t>级系统管理权限，各级应具备不同的管理权限。一级权限可进行账户相关的建立、修改和删除操作，系统端口地址、监控终端的硬件、权限管理等进行管理；二级权限可对系统监控的关键参数进行设定配置，如：警告限、报警限、报告模式、</w:t>
            </w:r>
            <w:r>
              <w:rPr>
                <w:rFonts w:hint="eastAsia" w:ascii="宋体" w:hAnsi="宋体" w:eastAsia="宋体" w:cs="Arial"/>
                <w:szCs w:val="21"/>
                <w:lang w:eastAsia="zh-CN"/>
              </w:rPr>
              <w:t>数据打印等权限；三级权限可进行监控查看、消警、数据打印等权限</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val="en-US" w:eastAsia="zh-CN"/>
              </w:rPr>
              <w:t>每级权</w:t>
            </w:r>
            <w:r>
              <w:rPr>
                <w:rFonts w:hint="eastAsia" w:ascii="宋体" w:hAnsi="宋体" w:eastAsia="宋体"/>
                <w:szCs w:val="21"/>
                <w:lang w:eastAsia="zh-CN"/>
              </w:rPr>
              <w:t>限应可以设置多个用户，账户数量不设上限，每个用户可设置独立密码保护</w:t>
            </w:r>
            <w:r>
              <w:rPr>
                <w:rFonts w:ascii="宋体" w:hAnsi="宋体" w:eastAsia="宋体"/>
                <w:szCs w:val="21"/>
                <w:lang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系统应可以为每个用户创建唯一的用户名和密码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系统应不允许两个或多个用户拥有相同的用户名</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szCs w:val="21"/>
                <w:lang w:eastAsia="zh-CN"/>
              </w:rPr>
              <w:t>关键参数修改、电子记录输出备份、系统时间更改应为管理员权限。</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屏幕显示的结果、存储的电子记录及打印纸质记录结果应是一致的。</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具备用户登录、登出及切换用户功能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用户在密码输入时，电脑显示器上应不显示实际密码（比如密码会以</w:t>
            </w:r>
            <w:r>
              <w:rPr>
                <w:rFonts w:ascii="宋体" w:hAnsi="宋体" w:eastAsia="宋体"/>
                <w:color w:val="000000"/>
                <w:szCs w:val="21"/>
                <w:lang w:eastAsia="zh-CN"/>
              </w:rPr>
              <w:t>*</w:t>
            </w:r>
            <w:r>
              <w:rPr>
                <w:rFonts w:hint="eastAsia" w:ascii="宋体" w:hAnsi="宋体" w:eastAsia="宋体"/>
                <w:color w:val="000000"/>
                <w:szCs w:val="21"/>
                <w:lang w:eastAsia="zh-CN"/>
              </w:rPr>
              <w:t>或其他符合显示）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系统管理员应可以重置密码</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设备应可以设置密码最小长度为</w:t>
            </w:r>
            <w:r>
              <w:rPr>
                <w:rFonts w:ascii="宋体" w:hAnsi="宋体" w:eastAsia="宋体"/>
                <w:color w:val="000000"/>
                <w:szCs w:val="21"/>
                <w:lang w:eastAsia="zh-CN"/>
              </w:rPr>
              <w:t>8</w:t>
            </w:r>
            <w:r>
              <w:rPr>
                <w:rFonts w:hint="eastAsia" w:ascii="宋体" w:hAnsi="宋体" w:eastAsia="宋体"/>
                <w:color w:val="000000"/>
                <w:szCs w:val="21"/>
                <w:lang w:eastAsia="zh-CN"/>
              </w:rPr>
              <w:t>位</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color w:val="000000"/>
                <w:szCs w:val="21"/>
                <w:lang w:eastAsia="zh-CN"/>
              </w:rPr>
              <w:t>系统管理员应可以激活锁住的账户</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napToGrid w:val="0"/>
              <w:spacing w:line="360" w:lineRule="auto"/>
              <w:rPr>
                <w:rFonts w:ascii="宋体" w:hAnsi="宋体" w:eastAsia="宋体"/>
                <w:color w:val="000000"/>
                <w:szCs w:val="21"/>
                <w:lang w:val="en-US" w:eastAsia="zh-CN"/>
              </w:rPr>
            </w:pPr>
            <w:r>
              <w:rPr>
                <w:rFonts w:hint="eastAsia" w:ascii="宋体" w:hAnsi="宋体" w:eastAsia="宋体" w:cs="Arial"/>
                <w:szCs w:val="21"/>
                <w:lang w:eastAsia="zh-CN"/>
              </w:rPr>
              <w:t>可由管理员设置系统登陆锁屏时间，锁屏后再次使用系统必须重新输入用户名密码</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设备应可以允许用户和管理员更改自己的密码，管理员可以修改其他账户密码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设备应可以通过管理员新增、修改和禁用账户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cs="Arial"/>
                <w:szCs w:val="21"/>
                <w:lang w:eastAsia="zh-CN"/>
              </w:rPr>
              <w:t>系统应具备数据电子记录功能，记录应包括实际监控最小间隔</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olor w:val="000000"/>
                <w:szCs w:val="21"/>
                <w:lang w:eastAsia="zh-CN"/>
              </w:rPr>
              <w:t>数据记录实时存储</w:t>
            </w:r>
            <w:r>
              <w:rPr>
                <w:rFonts w:hint="eastAsia" w:ascii="宋体" w:hAnsi="宋体" w:eastAsia="宋体"/>
                <w:szCs w:val="21"/>
                <w:lang w:eastAsia="zh-CN"/>
              </w:rPr>
              <w:t>，检测结果</w:t>
            </w:r>
            <w:r>
              <w:rPr>
                <w:rFonts w:hint="eastAsia" w:ascii="宋体" w:hAnsi="宋体" w:eastAsia="宋体"/>
                <w:color w:val="000000"/>
                <w:szCs w:val="21"/>
                <w:lang w:eastAsia="zh-CN"/>
              </w:rPr>
              <w:t>不能修改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olor w:val="000000"/>
                <w:szCs w:val="21"/>
                <w:lang w:eastAsia="zh-CN"/>
              </w:rPr>
            </w:pPr>
            <w:r>
              <w:rPr>
                <w:rFonts w:hint="eastAsia" w:ascii="宋体" w:hAnsi="宋体" w:eastAsia="宋体"/>
                <w:szCs w:val="21"/>
                <w:lang w:eastAsia="zh-CN"/>
              </w:rPr>
              <w:t>可以查询任意时段、批次、类型的历史数据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cs="Arial"/>
                <w:szCs w:val="21"/>
                <w:lang w:eastAsia="zh-CN"/>
              </w:rPr>
              <w:t>软件具备所有电子记录自动备份功能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cs="Arial"/>
                <w:szCs w:val="21"/>
                <w:lang w:eastAsia="zh-CN"/>
              </w:rPr>
              <w:t>软件可重新导入历史备份数据电子记录，包括数据记录、报警记录、审计追踪记录等应对数据灾害，权限为</w:t>
            </w:r>
            <w:r>
              <w:rPr>
                <w:rFonts w:hint="eastAsia" w:ascii="宋体" w:hAnsi="宋体" w:eastAsia="宋体"/>
                <w:szCs w:val="21"/>
                <w:lang w:eastAsia="zh-CN"/>
              </w:rPr>
              <w:t>管理员</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cs="Arial"/>
                <w:szCs w:val="21"/>
                <w:lang w:eastAsia="zh-CN"/>
              </w:rPr>
              <w:t>可按日</w:t>
            </w:r>
            <w:r>
              <w:rPr>
                <w:rFonts w:ascii="宋体" w:hAnsi="宋体" w:eastAsia="宋体" w:cs="Arial"/>
                <w:szCs w:val="21"/>
                <w:lang w:eastAsia="zh-CN"/>
              </w:rPr>
              <w:t>/</w:t>
            </w:r>
            <w:r>
              <w:rPr>
                <w:rFonts w:hint="eastAsia" w:ascii="宋体" w:hAnsi="宋体" w:eastAsia="宋体" w:cs="Arial"/>
                <w:szCs w:val="21"/>
                <w:lang w:eastAsia="zh-CN"/>
              </w:rPr>
              <w:t>月</w:t>
            </w:r>
            <w:r>
              <w:rPr>
                <w:rFonts w:ascii="宋体" w:hAnsi="宋体" w:eastAsia="宋体" w:cs="Arial"/>
                <w:szCs w:val="21"/>
                <w:lang w:eastAsia="zh-CN"/>
              </w:rPr>
              <w:t>/</w:t>
            </w:r>
            <w:r>
              <w:rPr>
                <w:rFonts w:hint="eastAsia" w:ascii="宋体" w:hAnsi="宋体" w:eastAsia="宋体" w:cs="Arial"/>
                <w:szCs w:val="21"/>
                <w:lang w:eastAsia="zh-CN"/>
              </w:rPr>
              <w:t>季度</w:t>
            </w:r>
            <w:r>
              <w:rPr>
                <w:rFonts w:ascii="宋体" w:hAnsi="宋体" w:eastAsia="宋体" w:cs="Arial"/>
                <w:szCs w:val="21"/>
                <w:lang w:eastAsia="zh-CN"/>
              </w:rPr>
              <w:t>/</w:t>
            </w:r>
            <w:r>
              <w:rPr>
                <w:rFonts w:hint="eastAsia" w:ascii="宋体" w:hAnsi="宋体" w:eastAsia="宋体" w:cs="Arial"/>
                <w:szCs w:val="21"/>
                <w:lang w:eastAsia="zh-CN"/>
              </w:rPr>
              <w:t>年自动生成各类监控图谱</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szCs w:val="21"/>
                <w:lang w:eastAsia="zh-CN"/>
              </w:rPr>
              <w:t>可以打印所有屏幕显示内容，包括原始记录、动态趋势图表报告，</w:t>
            </w:r>
            <w:r>
              <w:rPr>
                <w:rFonts w:ascii="宋体" w:hAnsi="宋体" w:eastAsia="宋体"/>
                <w:szCs w:val="21"/>
                <w:lang w:eastAsia="zh-CN"/>
              </w:rPr>
              <w:t>PDF</w:t>
            </w:r>
            <w:r>
              <w:rPr>
                <w:rFonts w:hint="eastAsia" w:ascii="宋体" w:hAnsi="宋体" w:eastAsia="宋体"/>
                <w:szCs w:val="21"/>
                <w:lang w:eastAsia="zh-CN"/>
              </w:rPr>
              <w:t>报告，图表等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2</w:t>
            </w: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szCs w:val="21"/>
                <w:lang w:eastAsia="zh-CN"/>
              </w:rPr>
              <w:t>各种数据报表应包括：监控点、时间、分装批次、粒子浓度、相关人员信息、必要的设置信息等相关信息，且可以查询任意时段、批次、类型的历史数据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cs="Arial"/>
                <w:szCs w:val="21"/>
                <w:lang w:eastAsia="zh-CN"/>
              </w:rPr>
            </w:pPr>
            <w:r>
              <w:rPr>
                <w:rFonts w:hint="eastAsia" w:ascii="宋体" w:hAnsi="宋体" w:eastAsia="宋体"/>
                <w:szCs w:val="21"/>
                <w:lang w:eastAsia="zh-CN"/>
              </w:rPr>
              <w:t>在操作过程，输出报表和存储记录时，将在操作界面，报表和记录上同时签注当前登陆用户帐号</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可设置报警参数，报警记录可自动存储、查询、输出备份、打印，不可修改。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系统应有审计追踪功能，可以记录关键操作、系统和安全的事件，比如登录登出、系统启停、确认报警、密码更改、方法参数更改、记录修改删除、权限配置、系统设置等，以及相应操作人员、操作日期时间、操作前状态、操作后结果、操作原因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lang w:eastAsia="zh-CN"/>
              </w:rPr>
              <w:t>审计追踪功能必须是自动的（即独立于用户）和由计算机生成的，并自动存储。</w:t>
            </w:r>
            <w:r>
              <w:rPr>
                <w:rFonts w:hint="eastAsia" w:ascii="宋体" w:hAnsi="宋体" w:eastAsia="宋体"/>
                <w:szCs w:val="21"/>
                <w:lang w:eastAsia="zh-CN"/>
              </w:rPr>
              <w:t>审计追踪记录应不可被删除或更改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审计追踪内容可存储、查询、输出备份、打印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lang w:eastAsia="zh-CN"/>
              </w:rPr>
              <w:t>测试和监控的所有电子记录（包括原始数据和相关元数据）应自动存储、不可修改，可进行查询、输出、备份恢复、打印等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ascii="宋体" w:hAnsi="宋体" w:eastAsia="宋体" w:cs="Arial"/>
                <w:szCs w:val="21"/>
                <w:lang w:val="da-DK" w:eastAsia="zh-CN"/>
              </w:rPr>
              <w:t>数据安全应符合21CFR11标准</w:t>
            </w:r>
            <w:r>
              <w:rPr>
                <w:rFonts w:hint="eastAsia" w:ascii="宋体" w:hAnsi="宋体" w:eastAsia="宋体" w:cs="Arial"/>
                <w:szCs w:val="21"/>
                <w:lang w:val="da-DK" w:eastAsia="zh-CN"/>
              </w:rPr>
              <w:t>，供应商应提供符合性证明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val="en-US" w:eastAsia="zh-CN"/>
              </w:rPr>
              <w:t>系统应有足够的容量存储至少4年（2</w:t>
            </w:r>
            <w:r>
              <w:rPr>
                <w:rFonts w:ascii="宋体" w:hAnsi="宋体" w:eastAsia="宋体"/>
                <w:szCs w:val="21"/>
                <w:lang w:val="en-US" w:eastAsia="zh-CN"/>
              </w:rPr>
              <w:t>4</w:t>
            </w:r>
            <w:r>
              <w:rPr>
                <w:rFonts w:hint="eastAsia" w:ascii="宋体" w:hAnsi="宋体" w:eastAsia="宋体"/>
                <w:szCs w:val="21"/>
                <w:lang w:val="en-US" w:eastAsia="zh-CN"/>
              </w:rPr>
              <w:t>小时/天）的原始电子记录（包括：</w:t>
            </w:r>
            <w:r>
              <w:rPr>
                <w:rFonts w:hint="eastAsia" w:ascii="宋体" w:hAnsi="宋体" w:eastAsia="宋体"/>
                <w:szCs w:val="21"/>
                <w:lang w:eastAsia="zh-CN"/>
              </w:rPr>
              <w:t>数据</w:t>
            </w:r>
            <w:r>
              <w:rPr>
                <w:rFonts w:ascii="宋体" w:hAnsi="宋体" w:eastAsia="宋体"/>
                <w:szCs w:val="21"/>
                <w:lang w:eastAsia="zh-CN"/>
              </w:rPr>
              <w:t>/</w:t>
            </w:r>
            <w:r>
              <w:rPr>
                <w:rFonts w:hint="eastAsia" w:ascii="宋体" w:hAnsi="宋体" w:eastAsia="宋体"/>
                <w:szCs w:val="21"/>
                <w:lang w:eastAsia="zh-CN"/>
              </w:rPr>
              <w:t>曲线记录、报警记录、审计追踪记录</w:t>
            </w:r>
            <w:r>
              <w:rPr>
                <w:rFonts w:hint="eastAsia" w:ascii="宋体" w:hAnsi="宋体" w:eastAsia="宋体"/>
                <w:szCs w:val="21"/>
                <w:lang w:val="en-US" w:eastAsia="zh-CN"/>
              </w:rPr>
              <w:t>），且不影响系统运行。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lang w:eastAsia="zh-CN"/>
              </w:rPr>
              <w:t>系统为北京时区时间，系统时间准确同步，一个月误差≤2</w:t>
            </w:r>
            <w:r>
              <w:rPr>
                <w:lang w:eastAsia="zh-CN"/>
              </w:rPr>
              <w:t>.5min</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val="en-US" w:eastAsia="zh-CN"/>
              </w:rPr>
            </w:pPr>
            <w:r>
              <w:rPr>
                <w:rFonts w:hint="eastAsia" w:ascii="宋体" w:hAnsi="宋体" w:eastAsia="宋体"/>
                <w:szCs w:val="21"/>
                <w:lang w:eastAsia="zh-CN"/>
              </w:rPr>
              <w:t>设备断电时可记录并存储停电时的运行状态信息；通电后可以继续在停电之前的状态下继续启动运行，并保持原有运行模式。</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断电恢复后应不影响数据完整性、参数设置和系统运行。</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val="en-US" w:eastAsia="zh-CN"/>
              </w:rPr>
              <w:t>打印的记录格式应包含以下内容：日期，时间，参数，检测级别，检测数据等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i/>
                <w:szCs w:val="21"/>
                <w:lang w:eastAsia="zh-CN"/>
              </w:rPr>
            </w:pPr>
            <w:r>
              <w:rPr>
                <w:rFonts w:hint="eastAsia" w:ascii="宋体" w:hAnsi="宋体" w:eastAsia="宋体"/>
                <w:szCs w:val="21"/>
                <w:lang w:eastAsia="zh-CN"/>
              </w:rPr>
              <w:t>系统和软件必须为正版。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操作系统必须使用正版专业版以上系统，且系统安全配置完善，例如：操作系统时间日志功能完善，可记录对系统的时间修改、安全操作等；操作系统的防恶意代码的安全配置完善；操作系统权限功能完善等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提供程序备份盘，确保能够满足灾难恢复需求，能恢复系统、软件及相关配置，灾难恢复后可正常使用。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ascii="宋体" w:hAnsi="宋体" w:eastAsia="宋体"/>
                <w:szCs w:val="21"/>
                <w:lang w:eastAsia="zh-CN"/>
              </w:rPr>
              <w:t>厂家需提供软件程序和数据的备份、恢复策略和方法。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eastAsia="宋体"/>
                <w:szCs w:val="21"/>
                <w:lang w:eastAsia="zh-CN"/>
              </w:rPr>
            </w:pPr>
            <w:r>
              <w:rPr>
                <w:rFonts w:hint="eastAsia"/>
                <w:szCs w:val="21"/>
                <w:lang w:eastAsia="zh-CN"/>
              </w:rPr>
              <w:t>厂家应提供备份电子记录读取策略及说明，以及备份恢复的电子记录备份与原始电子记录一致性对比策略。</w:t>
            </w:r>
          </w:p>
        </w:tc>
        <w:tc>
          <w:tcPr>
            <w:tcW w:w="2125" w:type="dxa"/>
            <w:vAlign w:val="center"/>
          </w:tcPr>
          <w:p>
            <w:pPr>
              <w:jc w:val="center"/>
              <w:rPr>
                <w:szCs w:val="21"/>
                <w:lang w:eastAsia="zh-CN"/>
              </w:rPr>
            </w:pPr>
            <w:r>
              <w:rPr>
                <w:rFonts w:hint="eastAsia"/>
                <w:szCs w:val="21"/>
                <w:lang w:eastAsia="zh-CN"/>
              </w:rPr>
              <w:t>关键</w:t>
            </w:r>
          </w:p>
        </w:tc>
      </w:tr>
      <w:permEnd w:id="32"/>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3"/>
      <w:r>
        <w:rPr>
          <w:rFonts w:hint="eastAsia" w:ascii="Times New Roman" w:hAnsi="Times New Roman"/>
          <w:b/>
        </w:rPr>
        <w:t>安全要求</w:t>
      </w:r>
      <w:bookmarkEnd w:id="30"/>
      <w:bookmarkEnd w:id="43"/>
    </w:p>
    <w:p>
      <w:pPr>
        <w:pStyle w:val="34"/>
        <w:spacing w:before="0" w:line="360" w:lineRule="auto"/>
        <w:ind w:left="357"/>
        <w:jc w:val="left"/>
        <w:rPr>
          <w:i/>
          <w:color w:val="4472C4"/>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33"/>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26" w:firstLine="0" w:firstLineChars="0"/>
              <w:rPr>
                <w:rFonts w:ascii="Times New Roman" w:hAnsi="Times New Roman"/>
                <w:szCs w:val="21"/>
              </w:rPr>
            </w:pPr>
            <w:permStart w:id="34" w:edGrp="everyone"/>
          </w:p>
        </w:tc>
        <w:tc>
          <w:tcPr>
            <w:tcW w:w="9253" w:type="dxa"/>
            <w:gridSpan w:val="2"/>
            <w:vAlign w:val="center"/>
          </w:tcPr>
          <w:p>
            <w:pPr>
              <w:jc w:val="both"/>
              <w:rPr>
                <w:szCs w:val="21"/>
                <w:lang w:eastAsia="zh-CN"/>
              </w:rPr>
            </w:pPr>
            <w:r>
              <w:rPr>
                <w:szCs w:val="21"/>
                <w:lang w:val="en-US" w:eastAsia="zh-CN"/>
              </w:rPr>
              <w:t>N/A</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ermStart w:id="35" w:edGrp="everyone"/>
            <w:permEnd w:id="35"/>
          </w:p>
        </w:tc>
        <w:tc>
          <w:tcPr>
            <w:tcW w:w="7128" w:type="dxa"/>
            <w:shd w:val="clear" w:color="auto" w:fill="D9D9D9"/>
            <w:vAlign w:val="center"/>
          </w:tcPr>
          <w:p>
            <w:pPr>
              <w:jc w:val="both"/>
              <w:rPr>
                <w:szCs w:val="21"/>
                <w:lang w:eastAsia="zh-CN"/>
              </w:rPr>
            </w:pPr>
            <w:r>
              <w:rPr>
                <w:rFonts w:hint="eastAsia"/>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jc w:val="both"/>
              <w:rPr>
                <w:szCs w:val="21"/>
                <w:lang w:eastAsia="zh-CN"/>
              </w:rPr>
            </w:pPr>
            <w:r>
              <w:rPr>
                <w:rFonts w:hint="eastAsia"/>
                <w:szCs w:val="21"/>
                <w:lang w:eastAsia="zh-CN"/>
              </w:rPr>
              <w:t>电气安全应符合</w:t>
            </w:r>
            <w:r>
              <w:rPr>
                <w:szCs w:val="21"/>
                <w:lang w:eastAsia="zh-CN"/>
              </w:rPr>
              <w:t>GB 4793.1-2007</w:t>
            </w:r>
            <w:r>
              <w:rPr>
                <w:rFonts w:hint="eastAsia"/>
                <w:szCs w:val="21"/>
                <w:lang w:eastAsia="zh-CN"/>
              </w:rPr>
              <w:t>测量、控制和实验室用电气设备的安全要求。</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jc w:val="both"/>
              <w:rPr>
                <w:szCs w:val="21"/>
                <w:lang w:eastAsia="zh-CN"/>
              </w:rPr>
            </w:pPr>
            <w:r>
              <w:rPr>
                <w:rFonts w:hint="eastAsia"/>
                <w:szCs w:val="21"/>
                <w:lang w:eastAsia="zh-CN"/>
              </w:rPr>
              <w:t>电磁兼容性应符合</w:t>
            </w:r>
            <w:r>
              <w:rPr>
                <w:szCs w:val="21"/>
                <w:lang w:eastAsia="zh-CN"/>
              </w:rPr>
              <w:t>GB/T18268—2000</w:t>
            </w:r>
            <w:r>
              <w:rPr>
                <w:rFonts w:hint="eastAsia"/>
                <w:szCs w:val="21"/>
                <w:lang w:eastAsia="zh-CN"/>
              </w:rPr>
              <w:t>的要求。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电池和电源适配器必须通过CE、</w:t>
            </w:r>
            <w:r>
              <w:rPr>
                <w:rFonts w:hint="eastAsia"/>
                <w:lang w:eastAsia="zh-CN"/>
              </w:rPr>
              <w:t>3C和CQC</w:t>
            </w:r>
            <w:r>
              <w:rPr>
                <w:rFonts w:hint="eastAsia"/>
                <w:szCs w:val="21"/>
                <w:lang w:eastAsia="zh-CN"/>
              </w:rPr>
              <w:t>认证。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r>
              <w:rPr>
                <w:rFonts w:hint="eastAsia" w:ascii="Times New Roman" w:hAnsi="Times New Roman"/>
                <w:szCs w:val="21"/>
              </w:rPr>
              <w:t>一</w:t>
            </w:r>
          </w:p>
        </w:tc>
        <w:tc>
          <w:tcPr>
            <w:tcW w:w="7128" w:type="dxa"/>
            <w:vAlign w:val="center"/>
          </w:tcPr>
          <w:p>
            <w:pPr>
              <w:jc w:val="both"/>
              <w:rPr>
                <w:szCs w:val="21"/>
                <w:lang w:eastAsia="zh-CN"/>
              </w:rPr>
            </w:pPr>
            <w:r>
              <w:rPr>
                <w:rFonts w:hint="eastAsia"/>
                <w:szCs w:val="21"/>
                <w:lang w:eastAsia="zh-CN"/>
              </w:rPr>
              <w:t>仪器外壳、电线槽等所有金属部分都必须良好接地。</w:t>
            </w:r>
          </w:p>
        </w:tc>
        <w:tc>
          <w:tcPr>
            <w:tcW w:w="2125" w:type="dxa"/>
            <w:vAlign w:val="center"/>
          </w:tcPr>
          <w:p>
            <w:pPr>
              <w:jc w:val="center"/>
              <w:rPr>
                <w:szCs w:val="21"/>
                <w:lang w:eastAsia="zh-CN"/>
              </w:rPr>
            </w:pPr>
            <w:r>
              <w:rPr>
                <w:rFonts w:hint="eastAsia"/>
                <w:szCs w:val="21"/>
                <w:lang w:eastAsia="zh-CN"/>
              </w:rPr>
              <w:t>关键</w:t>
            </w:r>
          </w:p>
        </w:tc>
      </w:tr>
      <w:permEnd w:id="37"/>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4" w:name="_Toc522716124"/>
      <w:bookmarkStart w:id="45" w:name="_Toc522107743"/>
      <w:r>
        <w:rPr>
          <w:rFonts w:hint="eastAsia" w:ascii="Times New Roman" w:hAnsi="Times New Roman"/>
          <w:b/>
        </w:rPr>
        <w:t>文件要求</w:t>
      </w:r>
      <w:bookmarkEnd w:id="44"/>
      <w:bookmarkEnd w:id="45"/>
    </w:p>
    <w:p>
      <w:pPr>
        <w:pStyle w:val="34"/>
        <w:spacing w:before="0" w:line="360" w:lineRule="auto"/>
        <w:ind w:left="357"/>
        <w:jc w:val="left"/>
        <w:rPr>
          <w:i/>
          <w:szCs w:val="21"/>
          <w:lang w:eastAsia="zh-CN"/>
        </w:rPr>
      </w:pPr>
      <w:permStart w:id="38"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38"/>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投标文件、合同及订单。</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jc w:val="both"/>
              <w:rPr>
                <w:szCs w:val="21"/>
                <w:lang w:eastAsia="zh-CN"/>
              </w:rPr>
            </w:pPr>
            <w:r>
              <w:rPr>
                <w:rFonts w:hint="eastAsia"/>
                <w:szCs w:val="21"/>
                <w:lang w:eastAsia="zh-CN"/>
              </w:rPr>
              <w:t>卖方发运清单及相关检验报告。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配置清单及说明，包含各组件名称、编号、型号、规格、品牌、材质等。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软件和硬件设计说明、功能说明、配置清单及说明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零部件清单、易损件清单、备件、消耗品清单：包括名称、编号、对应厂家名称、生产地、规格及必要说明。</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设备厂家文件：出厂测试合格证、相关检测报告、各种标示。</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设备操作手册（</w:t>
            </w:r>
            <w:r>
              <w:rPr>
                <w:szCs w:val="21"/>
                <w:lang w:eastAsia="zh-CN"/>
              </w:rPr>
              <w:t>SOP</w:t>
            </w:r>
            <w:r>
              <w:rPr>
                <w:rFonts w:hint="eastAsia"/>
                <w:szCs w:val="21"/>
                <w:lang w:eastAsia="zh-CN"/>
              </w:rPr>
              <w:t>）：语言为中文，应说明校准周期，并能提供校准服务。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必须提供校验报告及计量证书，</w:t>
            </w:r>
            <w:r>
              <w:rPr>
                <w:rFonts w:ascii="Arial" w:hAnsi="Arial" w:cs="Arial"/>
                <w:szCs w:val="21"/>
                <w:lang w:val="da-DK" w:eastAsia="zh-CN"/>
              </w:rPr>
              <w:t>校准后必须能够提供可追踪的校准材料，该材料要符合NIST（美国国家标准和技术研究所）</w:t>
            </w:r>
            <w:r>
              <w:rPr>
                <w:rFonts w:hint="eastAsia" w:ascii="Arial" w:hAnsi="Arial" w:cs="Arial"/>
                <w:szCs w:val="21"/>
                <w:lang w:val="da-DK" w:eastAsia="zh-CN"/>
              </w:rPr>
              <w:t>或</w:t>
            </w:r>
            <w:r>
              <w:rPr>
                <w:rFonts w:ascii="Arial" w:hAnsi="Arial" w:cs="Arial"/>
                <w:szCs w:val="21"/>
                <w:lang w:val="da-DK" w:eastAsia="zh-CN"/>
              </w:rPr>
              <w:t>JIS（日本技术研究所）标准。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ascii="宋体" w:hAnsi="宋体"/>
                <w:lang w:eastAsia="zh-CN"/>
              </w:rPr>
              <w:t>系统供应商应具有自己的独立校准实验室</w:t>
            </w:r>
            <w:r>
              <w:rPr>
                <w:rFonts w:ascii="宋体" w:hAnsi="宋体"/>
                <w:lang w:eastAsia="zh-CN"/>
              </w:rPr>
              <w:t xml:space="preserve">, </w:t>
            </w:r>
            <w:r>
              <w:rPr>
                <w:rFonts w:hint="eastAsia" w:ascii="宋体" w:hAnsi="宋体"/>
                <w:lang w:eastAsia="zh-CN"/>
              </w:rPr>
              <w:t>实验室必须正常运营</w:t>
            </w:r>
            <w:r>
              <w:rPr>
                <w:rFonts w:ascii="宋体" w:hAnsi="宋体"/>
                <w:lang w:eastAsia="zh-CN"/>
              </w:rPr>
              <w:t>3</w:t>
            </w:r>
            <w:r>
              <w:rPr>
                <w:rFonts w:hint="eastAsia" w:ascii="宋体" w:hAnsi="宋体"/>
                <w:lang w:eastAsia="zh-CN"/>
              </w:rPr>
              <w:t>年或以上，可以提供符合</w:t>
            </w:r>
            <w:r>
              <w:rPr>
                <w:rFonts w:ascii="宋体" w:hAnsi="宋体"/>
                <w:lang w:eastAsia="zh-CN"/>
              </w:rPr>
              <w:t>ISO 21501-4</w:t>
            </w:r>
            <w:r>
              <w:rPr>
                <w:rFonts w:hint="eastAsia" w:ascii="宋体" w:hAnsi="宋体"/>
                <w:lang w:eastAsia="zh-CN"/>
              </w:rPr>
              <w:t>标准的校准服务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安全</w:t>
            </w:r>
            <w:r>
              <w:rPr>
                <w:rFonts w:hint="eastAsia" w:ascii="宋体" w:hAnsi="宋体"/>
              </w:rPr>
              <w:t>测试</w:t>
            </w:r>
            <w:r>
              <w:rPr>
                <w:rFonts w:hint="eastAsia"/>
                <w:szCs w:val="21"/>
                <w:lang w:eastAsia="zh-CN"/>
              </w:rPr>
              <w:t>报告。</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调试文件：调试计划、调试方案、设备测试记录，检测清单，测试报告，调试总结报告、现场验收报告等。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验证文件：</w:t>
            </w:r>
          </w:p>
          <w:p>
            <w:pPr>
              <w:numPr>
                <w:ilvl w:val="0"/>
                <w:numId w:val="11"/>
              </w:numPr>
              <w:jc w:val="both"/>
              <w:rPr>
                <w:szCs w:val="21"/>
                <w:lang w:eastAsia="zh-CN"/>
              </w:rPr>
            </w:pPr>
            <w:r>
              <w:rPr>
                <w:rFonts w:hint="eastAsia"/>
                <w:szCs w:val="21"/>
                <w:lang w:eastAsia="zh-CN"/>
              </w:rPr>
              <w:t>满足</w:t>
            </w:r>
            <w:r>
              <w:rPr>
                <w:szCs w:val="21"/>
                <w:lang w:eastAsia="zh-CN"/>
              </w:rPr>
              <w:t>GMP</w:t>
            </w:r>
            <w:r>
              <w:rPr>
                <w:rFonts w:hint="eastAsia"/>
                <w:szCs w:val="21"/>
                <w:lang w:eastAsia="zh-CN"/>
              </w:rPr>
              <w:t>和</w:t>
            </w:r>
            <w:r>
              <w:rPr>
                <w:szCs w:val="21"/>
                <w:lang w:eastAsia="zh-CN"/>
              </w:rPr>
              <w:t>GAMP5</w:t>
            </w:r>
            <w:r>
              <w:rPr>
                <w:rFonts w:hint="eastAsia"/>
                <w:szCs w:val="21"/>
                <w:lang w:eastAsia="zh-CN"/>
              </w:rPr>
              <w:t>等相关法规的评估文件；</w:t>
            </w:r>
          </w:p>
          <w:p>
            <w:pPr>
              <w:numPr>
                <w:ilvl w:val="0"/>
                <w:numId w:val="11"/>
              </w:numPr>
              <w:jc w:val="both"/>
              <w:rPr>
                <w:szCs w:val="21"/>
                <w:lang w:eastAsia="zh-CN"/>
              </w:rPr>
            </w:pPr>
            <w:r>
              <w:rPr>
                <w:rFonts w:hint="eastAsia"/>
                <w:szCs w:val="21"/>
                <w:lang w:eastAsia="zh-CN"/>
              </w:rPr>
              <w:t>提供21CFR PART11的符合性文件；</w:t>
            </w:r>
          </w:p>
          <w:p>
            <w:pPr>
              <w:numPr>
                <w:ilvl w:val="0"/>
                <w:numId w:val="11"/>
              </w:numPr>
              <w:jc w:val="both"/>
              <w:rPr>
                <w:szCs w:val="21"/>
                <w:lang w:eastAsia="zh-CN"/>
              </w:rPr>
            </w:pPr>
            <w:r>
              <w:rPr>
                <w:rFonts w:hint="eastAsia"/>
                <w:szCs w:val="21"/>
                <w:lang w:eastAsia="zh-CN"/>
              </w:rPr>
              <w:t>设备供应商负责制定设备验证计划、</w:t>
            </w:r>
            <w:r>
              <w:rPr>
                <w:szCs w:val="21"/>
                <w:lang w:eastAsia="zh-CN"/>
              </w:rPr>
              <w:t>DQ/IQ/OQ</w:t>
            </w:r>
            <w:r>
              <w:rPr>
                <w:rFonts w:hint="eastAsia"/>
                <w:szCs w:val="21"/>
                <w:lang w:eastAsia="zh-CN"/>
              </w:rPr>
              <w:t>验证文件、并负责验证工作的实施，该验证文件作为设备必备文件。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color w:val="000000"/>
                <w:szCs w:val="21"/>
                <w:lang w:eastAsia="zh-CN"/>
              </w:rPr>
              <w:t>供应商应完成：追溯矩阵（</w:t>
            </w:r>
            <w:r>
              <w:rPr>
                <w:bCs/>
                <w:color w:val="000000"/>
                <w:szCs w:val="21"/>
                <w:lang w:eastAsia="zh-CN"/>
              </w:rPr>
              <w:t>RTM</w:t>
            </w:r>
            <w:r>
              <w:rPr>
                <w:rFonts w:hint="eastAsia"/>
                <w:bCs/>
                <w:color w:val="000000"/>
                <w:szCs w:val="21"/>
                <w:lang w:eastAsia="zh-CN"/>
              </w:rPr>
              <w:t>）</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color w:val="000000"/>
                <w:szCs w:val="21"/>
                <w:lang w:eastAsia="zh-CN"/>
              </w:rPr>
              <w:t>供应商应完成：验证总结报告（</w:t>
            </w:r>
            <w:r>
              <w:rPr>
                <w:bCs/>
                <w:color w:val="000000"/>
                <w:szCs w:val="21"/>
                <w:lang w:eastAsia="zh-CN"/>
              </w:rPr>
              <w:t>VSR</w:t>
            </w:r>
            <w:r>
              <w:rPr>
                <w:rFonts w:hint="eastAsia"/>
                <w:bCs/>
                <w:color w:val="000000"/>
                <w:szCs w:val="21"/>
                <w:lang w:eastAsia="zh-CN"/>
              </w:rPr>
              <w:t>）</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使用操作说明书及维护保养说明（即运行及维护手册）</w:t>
            </w:r>
            <w:r>
              <w:rPr>
                <w:szCs w:val="21"/>
                <w:lang w:eastAsia="zh-CN"/>
              </w:rPr>
              <w:t>3</w:t>
            </w:r>
            <w:r>
              <w:rPr>
                <w:rFonts w:hint="eastAsia"/>
                <w:szCs w:val="21"/>
                <w:lang w:eastAsia="zh-CN"/>
              </w:rPr>
              <w:t>份。</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提供设备及其零部件使用寿命清单。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系统相关方案中，应明确本系统的配置、规格，并且通过分析阐述每一个系统环节的必要性</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szCs w:val="21"/>
                <w:lang w:eastAsia="zh-CN"/>
              </w:rPr>
              <w:t>标书中应明确系统关键组件的品牌、材质、型号，并且注明保修期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color w:val="111111"/>
                <w:szCs w:val="21"/>
                <w:lang w:eastAsia="zh-CN"/>
              </w:rPr>
              <w:t>供应商应提供</w:t>
            </w:r>
            <w:r>
              <w:rPr>
                <w:color w:val="111111"/>
                <w:szCs w:val="21"/>
                <w:lang w:eastAsia="zh-CN"/>
              </w:rPr>
              <w:t>上述条款规定的文件</w:t>
            </w:r>
            <w:r>
              <w:rPr>
                <w:rFonts w:hint="eastAsia"/>
                <w:color w:val="111111"/>
                <w:szCs w:val="21"/>
                <w:lang w:eastAsia="zh-CN"/>
              </w:rPr>
              <w:t>的</w:t>
            </w:r>
            <w:r>
              <w:rPr>
                <w:color w:val="111111"/>
                <w:szCs w:val="21"/>
                <w:lang w:eastAsia="zh-CN"/>
              </w:rPr>
              <w:t>电子版</w:t>
            </w:r>
            <w:r>
              <w:rPr>
                <w:rFonts w:hint="eastAsia"/>
                <w:color w:val="111111"/>
                <w:szCs w:val="21"/>
                <w:lang w:eastAsia="zh-CN"/>
              </w:rPr>
              <w:t>；</w:t>
            </w:r>
            <w:r>
              <w:rPr>
                <w:color w:val="111111"/>
                <w:szCs w:val="21"/>
                <w:lang w:eastAsia="zh-CN"/>
              </w:rPr>
              <w:t>并</w:t>
            </w:r>
            <w:r>
              <w:rPr>
                <w:rFonts w:hint="eastAsia"/>
                <w:color w:val="111111"/>
                <w:szCs w:val="21"/>
                <w:lang w:eastAsia="zh-CN"/>
              </w:rPr>
              <w:t>将</w:t>
            </w:r>
            <w:r>
              <w:rPr>
                <w:color w:val="111111"/>
                <w:szCs w:val="21"/>
                <w:lang w:eastAsia="zh-CN"/>
              </w:rPr>
              <w:t>最终批准的电子版及纸质版全套资料交工程技术部存档</w:t>
            </w:r>
            <w:r>
              <w:rPr>
                <w:rFonts w:hint="eastAsia"/>
                <w:color w:val="111111"/>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4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6" w:name="_Toc522716125"/>
      <w:r>
        <w:rPr>
          <w:rFonts w:hint="eastAsia" w:ascii="Times New Roman" w:hAnsi="Times New Roman"/>
          <w:b/>
          <w:szCs w:val="21"/>
        </w:rPr>
        <w:t>服务要求</w:t>
      </w:r>
      <w:bookmarkEnd w:id="46"/>
    </w:p>
    <w:p>
      <w:pPr>
        <w:pStyle w:val="34"/>
        <w:spacing w:before="0" w:line="360" w:lineRule="auto"/>
        <w:ind w:left="357"/>
        <w:jc w:val="left"/>
        <w:rPr>
          <w:i/>
          <w:color w:val="4472C4"/>
          <w:szCs w:val="21"/>
          <w:lang w:eastAsia="zh-CN"/>
        </w:rPr>
      </w:pPr>
      <w:permStart w:id="41"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rFonts w:hint="eastAsia"/>
                <w:b/>
                <w:szCs w:val="21"/>
              </w:rPr>
              <w:t>编</w:t>
            </w:r>
            <w:permEnd w:id="41"/>
            <w:r>
              <w:rPr>
                <w:rFonts w:hint="eastAsia"/>
                <w:b/>
                <w:szCs w:val="21"/>
              </w:rPr>
              <w:t>号</w:t>
            </w:r>
          </w:p>
        </w:tc>
        <w:tc>
          <w:tcPr>
            <w:tcW w:w="7128" w:type="dxa"/>
            <w:shd w:val="clear" w:color="auto" w:fill="D9D9D9"/>
            <w:vAlign w:val="center"/>
          </w:tcPr>
          <w:p>
            <w:pPr>
              <w:jc w:val="center"/>
              <w:rPr>
                <w:b/>
                <w:szCs w:val="21"/>
                <w:lang w:eastAsia="zh-CN"/>
              </w:rPr>
            </w:pPr>
            <w:r>
              <w:rPr>
                <w:rFonts w:hint="eastAsia"/>
                <w:b/>
                <w:szCs w:val="21"/>
                <w:lang w:eastAsia="zh-CN"/>
              </w:rPr>
              <w:t>需求</w:t>
            </w:r>
          </w:p>
        </w:tc>
        <w:tc>
          <w:tcPr>
            <w:tcW w:w="2125" w:type="dxa"/>
            <w:shd w:val="clear" w:color="auto" w:fill="D9D9D9"/>
            <w:vAlign w:val="center"/>
          </w:tcPr>
          <w:p>
            <w:pPr>
              <w:jc w:val="center"/>
              <w:rPr>
                <w:b/>
                <w:szCs w:val="21"/>
                <w:lang w:eastAsia="zh-CN"/>
              </w:rPr>
            </w:pPr>
            <w:r>
              <w:rPr>
                <w:rFonts w:hint="eastAsia"/>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w:t>
            </w:r>
            <w:r>
              <w:rPr>
                <w:rFonts w:hint="eastAsia"/>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2" w:edGrp="everyone"/>
          </w:p>
        </w:tc>
        <w:tc>
          <w:tcPr>
            <w:tcW w:w="7128" w:type="dxa"/>
            <w:vAlign w:val="center"/>
          </w:tcPr>
          <w:p>
            <w:pPr>
              <w:spacing w:line="276" w:lineRule="auto"/>
              <w:jc w:val="both"/>
              <w:rPr>
                <w:color w:val="0070C0"/>
                <w:szCs w:val="21"/>
                <w:lang w:eastAsia="zh-CN"/>
              </w:rPr>
            </w:pPr>
            <w:r>
              <w:rPr>
                <w:rFonts w:hint="eastAsia"/>
                <w:color w:val="000000"/>
                <w:lang w:eastAsia="zh-CN"/>
              </w:rPr>
              <w:t>设备供应商应免费对设备使用方人员进行全面培训，包括对生产操作人员及设备维护、维修人员，并填写培训记录。</w:t>
            </w:r>
          </w:p>
        </w:tc>
        <w:tc>
          <w:tcPr>
            <w:tcW w:w="2125" w:type="dxa"/>
            <w:vAlign w:val="center"/>
          </w:tcPr>
          <w:p>
            <w:pPr>
              <w:jc w:val="center"/>
              <w:rPr>
                <w:szCs w:val="21"/>
                <w:lang w:eastAsia="zh-CN"/>
              </w:rPr>
            </w:pPr>
            <w:r>
              <w:rPr>
                <w:rFonts w:hint="eastAsia"/>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3" w:edGrp="everyone"/>
          </w:p>
        </w:tc>
        <w:tc>
          <w:tcPr>
            <w:tcW w:w="7128" w:type="dxa"/>
            <w:vAlign w:val="center"/>
          </w:tcPr>
          <w:p>
            <w:pPr>
              <w:spacing w:line="276" w:lineRule="auto"/>
              <w:jc w:val="both"/>
              <w:rPr>
                <w:color w:val="0070C0"/>
                <w:szCs w:val="21"/>
                <w:lang w:eastAsia="zh-CN"/>
              </w:rPr>
            </w:pPr>
            <w:r>
              <w:rPr>
                <w:rFonts w:hint="eastAsia"/>
                <w:color w:val="000000"/>
                <w:lang w:eastAsia="zh-CN"/>
              </w:rPr>
              <w:t>生产操作人员培训包括设备结构原理、性能、操作、清洗消毒、故障排除、设备安全使用、</w:t>
            </w:r>
            <w:r>
              <w:rPr>
                <w:rFonts w:hint="eastAsia"/>
                <w:lang w:eastAsia="zh-CN"/>
              </w:rPr>
              <w:t>应急处置措施相关内容</w:t>
            </w:r>
            <w:r>
              <w:rPr>
                <w:rFonts w:hint="eastAsia"/>
                <w:color w:val="000000"/>
                <w:lang w:eastAsia="zh-CN"/>
              </w:rPr>
              <w:t>等基本</w:t>
            </w:r>
            <w:r>
              <w:rPr>
                <w:rFonts w:hint="eastAsia"/>
                <w:color w:val="000000"/>
                <w:szCs w:val="21"/>
                <w:lang w:eastAsia="zh-CN"/>
              </w:rPr>
              <w:t>知识</w:t>
            </w:r>
            <w:r>
              <w:rPr>
                <w:rFonts w:hint="eastAsia"/>
                <w:color w:val="000000"/>
                <w:lang w:eastAsia="zh-CN"/>
              </w:rPr>
              <w:t>。合格标准为用户参加培训人员能够独立正确操作设备，会排除常见故障，。</w:t>
            </w:r>
          </w:p>
        </w:tc>
        <w:tc>
          <w:tcPr>
            <w:tcW w:w="2125" w:type="dxa"/>
            <w:vAlign w:val="center"/>
          </w:tcPr>
          <w:p>
            <w:pPr>
              <w:jc w:val="center"/>
              <w:rPr>
                <w:szCs w:val="21"/>
                <w:lang w:eastAsia="zh-CN"/>
              </w:rPr>
            </w:pPr>
            <w:r>
              <w:rPr>
                <w:rFonts w:hint="eastAsia"/>
                <w:szCs w:val="21"/>
                <w:lang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4" w:edGrp="everyone"/>
          </w:p>
        </w:tc>
        <w:tc>
          <w:tcPr>
            <w:tcW w:w="7128" w:type="dxa"/>
            <w:vAlign w:val="center"/>
          </w:tcPr>
          <w:p>
            <w:pPr>
              <w:spacing w:line="276" w:lineRule="auto"/>
              <w:jc w:val="both"/>
              <w:rPr>
                <w:color w:val="0070C0"/>
                <w:lang w:eastAsia="zh-CN"/>
              </w:rPr>
            </w:pPr>
            <w:r>
              <w:rPr>
                <w:rFonts w:hint="eastAsia"/>
                <w:color w:val="000000"/>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vAlign w:val="center"/>
          </w:tcPr>
          <w:p>
            <w:pPr>
              <w:jc w:val="center"/>
              <w:rPr>
                <w:szCs w:val="21"/>
                <w:lang w:eastAsia="zh-CN"/>
              </w:rPr>
            </w:pPr>
            <w:r>
              <w:rPr>
                <w:rFonts w:hint="eastAsia"/>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5" w:edGrp="everyone"/>
          </w:p>
        </w:tc>
        <w:tc>
          <w:tcPr>
            <w:tcW w:w="7128" w:type="dxa"/>
            <w:vAlign w:val="center"/>
          </w:tcPr>
          <w:p>
            <w:pPr>
              <w:spacing w:line="276" w:lineRule="auto"/>
              <w:jc w:val="both"/>
              <w:rPr>
                <w:szCs w:val="21"/>
                <w:lang w:eastAsia="zh-CN"/>
              </w:rPr>
            </w:pPr>
            <w:r>
              <w:rPr>
                <w:rFonts w:hint="eastAsia"/>
                <w:color w:val="000000"/>
                <w:lang w:eastAsia="zh-CN"/>
              </w:rPr>
              <w:t>设备运输在运输途中需做好防护措施，不得有任何损伤。</w:t>
            </w:r>
          </w:p>
        </w:tc>
        <w:tc>
          <w:tcPr>
            <w:tcW w:w="2125" w:type="dxa"/>
            <w:vAlign w:val="center"/>
          </w:tcPr>
          <w:p>
            <w:pPr>
              <w:jc w:val="center"/>
              <w:rPr>
                <w:szCs w:val="21"/>
                <w:lang w:eastAsia="zh-CN"/>
              </w:rPr>
            </w:pPr>
            <w:r>
              <w:rPr>
                <w:rFonts w:hint="eastAsia"/>
                <w:szCs w:val="21"/>
                <w:lang w:eastAsia="zh-CN"/>
              </w:rPr>
              <w:t>关键</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6" w:edGrp="everyone"/>
          </w:p>
        </w:tc>
        <w:tc>
          <w:tcPr>
            <w:tcW w:w="7128" w:type="dxa"/>
            <w:vAlign w:val="center"/>
          </w:tcPr>
          <w:p>
            <w:pPr>
              <w:jc w:val="both"/>
              <w:rPr>
                <w:i/>
                <w:szCs w:val="21"/>
                <w:lang w:eastAsia="zh-CN"/>
              </w:rPr>
            </w:pPr>
            <w:r>
              <w:rPr>
                <w:rFonts w:hint="eastAsia"/>
                <w:szCs w:val="21"/>
                <w:lang w:eastAsia="zh-CN"/>
              </w:rPr>
              <w:t>验证包括：</w:t>
            </w:r>
            <w:r>
              <w:rPr>
                <w:rFonts w:hint="eastAsia" w:ascii="宋体" w:hAnsi="宋体"/>
                <w:szCs w:val="21"/>
                <w:lang w:eastAsia="zh-CN"/>
              </w:rPr>
              <w:t>验证计划、系统评估、计算机化系统评估、风险评估、</w:t>
            </w:r>
            <w:r>
              <w:rPr>
                <w:rFonts w:ascii="宋体" w:hAnsi="宋体"/>
                <w:szCs w:val="21"/>
                <w:lang w:eastAsia="zh-CN"/>
              </w:rPr>
              <w:t>DQ</w:t>
            </w:r>
            <w:r>
              <w:rPr>
                <w:rFonts w:hint="eastAsia" w:ascii="宋体" w:hAnsi="宋体"/>
                <w:szCs w:val="21"/>
                <w:lang w:eastAsia="zh-CN"/>
              </w:rPr>
              <w:t>、</w:t>
            </w:r>
            <w:r>
              <w:rPr>
                <w:rFonts w:ascii="宋体" w:hAnsi="宋体"/>
                <w:szCs w:val="21"/>
                <w:lang w:eastAsia="zh-CN"/>
              </w:rPr>
              <w:t>IQ</w:t>
            </w:r>
            <w:r>
              <w:rPr>
                <w:rFonts w:hint="eastAsia" w:ascii="宋体" w:hAnsi="宋体"/>
                <w:szCs w:val="21"/>
                <w:lang w:eastAsia="zh-CN"/>
              </w:rPr>
              <w:t>、</w:t>
            </w:r>
            <w:r>
              <w:rPr>
                <w:rFonts w:ascii="宋体" w:hAnsi="宋体"/>
                <w:szCs w:val="21"/>
                <w:lang w:eastAsia="zh-CN"/>
              </w:rPr>
              <w:t>OQ</w:t>
            </w:r>
            <w:r>
              <w:rPr>
                <w:rFonts w:hint="eastAsia" w:ascii="宋体" w:hAnsi="宋体"/>
                <w:szCs w:val="21"/>
                <w:lang w:eastAsia="zh-CN"/>
              </w:rPr>
              <w:t>文件与服务，供应商必须派出具备该类系统验证经验，且熟悉验证相关文件编写及验证工作实施的验证工程师开展验证工作，并协助我公司完成P</w:t>
            </w:r>
            <w:r>
              <w:rPr>
                <w:rFonts w:ascii="宋体" w:hAnsi="宋体"/>
                <w:szCs w:val="21"/>
                <w:lang w:eastAsia="zh-CN"/>
              </w:rPr>
              <w:t>Q</w:t>
            </w:r>
            <w:r>
              <w:rPr>
                <w:rFonts w:hint="eastAsia" w:ascii="宋体" w:hAnsi="宋体"/>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color w:val="000000"/>
                <w:szCs w:val="21"/>
                <w:lang w:eastAsia="zh-CN"/>
              </w:rPr>
              <w:t>供应商应完成：追溯矩阵（</w:t>
            </w:r>
            <w:r>
              <w:rPr>
                <w:bCs/>
                <w:color w:val="000000"/>
                <w:szCs w:val="21"/>
                <w:lang w:eastAsia="zh-CN"/>
              </w:rPr>
              <w:t>RTM</w:t>
            </w:r>
            <w:r>
              <w:rPr>
                <w:rFonts w:hint="eastAsia"/>
                <w:bCs/>
                <w:color w:val="000000"/>
                <w:szCs w:val="21"/>
                <w:lang w:eastAsia="zh-CN"/>
              </w:rPr>
              <w:t>）</w:t>
            </w:r>
          </w:p>
        </w:tc>
        <w:tc>
          <w:tcPr>
            <w:tcW w:w="2125" w:type="dxa"/>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eastAsia="zh-CN"/>
              </w:rPr>
            </w:pPr>
            <w:r>
              <w:rPr>
                <w:rFonts w:hint="eastAsia"/>
                <w:bCs/>
                <w:color w:val="000000"/>
                <w:szCs w:val="21"/>
                <w:lang w:eastAsia="zh-CN"/>
              </w:rPr>
              <w:t>供应商应完成：验证总结报告（</w:t>
            </w:r>
            <w:r>
              <w:rPr>
                <w:bCs/>
                <w:color w:val="000000"/>
                <w:szCs w:val="21"/>
                <w:lang w:eastAsia="zh-CN"/>
              </w:rPr>
              <w:t>VSR</w:t>
            </w:r>
            <w:r>
              <w:rPr>
                <w:rFonts w:hint="eastAsia"/>
                <w:bCs/>
                <w:color w:val="000000"/>
                <w:szCs w:val="21"/>
                <w:lang w:eastAsia="zh-CN"/>
              </w:rPr>
              <w:t>）</w:t>
            </w:r>
          </w:p>
        </w:tc>
        <w:tc>
          <w:tcPr>
            <w:tcW w:w="2125" w:type="dxa"/>
            <w:vAlign w:val="center"/>
          </w:tcPr>
          <w:p>
            <w:pPr>
              <w:jc w:val="center"/>
              <w:rPr>
                <w:szCs w:val="21"/>
                <w:lang w:eastAsia="zh-CN"/>
              </w:rPr>
            </w:pPr>
            <w:r>
              <w:rPr>
                <w:rFonts w:hint="eastAsia"/>
                <w:szCs w:val="21"/>
                <w:lang w:eastAsia="zh-CN"/>
              </w:rPr>
              <w:t>期望</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7" w:edGrp="everyone"/>
          </w:p>
        </w:tc>
        <w:tc>
          <w:tcPr>
            <w:tcW w:w="7128" w:type="dxa"/>
            <w:vAlign w:val="center"/>
          </w:tcPr>
          <w:p>
            <w:pPr>
              <w:spacing w:line="276" w:lineRule="auto"/>
              <w:jc w:val="both"/>
              <w:rPr>
                <w:szCs w:val="21"/>
                <w:lang w:eastAsia="zh-CN"/>
              </w:rPr>
            </w:pPr>
            <w:r>
              <w:rPr>
                <w:rFonts w:hint="eastAsia"/>
                <w:szCs w:val="21"/>
                <w:lang w:eastAsia="zh-CN"/>
              </w:rPr>
              <w:t>投标方按</w:t>
            </w:r>
            <w:r>
              <w:rPr>
                <w:szCs w:val="21"/>
                <w:lang w:eastAsia="zh-CN"/>
              </w:rPr>
              <w:t>GMP</w:t>
            </w:r>
            <w:r>
              <w:rPr>
                <w:rFonts w:hint="eastAsia"/>
                <w:szCs w:val="21"/>
                <w:lang w:eastAsia="zh-CN"/>
              </w:rPr>
              <w:t>规范及</w:t>
            </w:r>
            <w:r>
              <w:rPr>
                <w:szCs w:val="21"/>
                <w:lang w:eastAsia="zh-CN"/>
              </w:rPr>
              <w:t>GAMP5</w:t>
            </w:r>
            <w:r>
              <w:rPr>
                <w:rFonts w:hint="eastAsia"/>
                <w:szCs w:val="21"/>
                <w:lang w:eastAsia="zh-CN"/>
              </w:rPr>
              <w:t>要求完成上述所有验证工作（包括设备及其计算机化系统验证），并提供相应文件（文件必须无条件符合我所</w:t>
            </w:r>
            <w:r>
              <w:rPr>
                <w:szCs w:val="21"/>
                <w:lang w:eastAsia="zh-CN"/>
              </w:rPr>
              <w:t>QA</w:t>
            </w:r>
            <w:r>
              <w:rPr>
                <w:rFonts w:hint="eastAsia"/>
                <w:szCs w:val="21"/>
                <w:lang w:eastAsia="zh-CN"/>
              </w:rPr>
              <w:t>要求）。各验证工作开始前验证方案需经过本公司相关部门审核，并经质量保证部批准。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8" w:edGrp="everyone"/>
          </w:p>
        </w:tc>
        <w:tc>
          <w:tcPr>
            <w:tcW w:w="7128" w:type="dxa"/>
            <w:vAlign w:val="center"/>
          </w:tcPr>
          <w:p>
            <w:pPr>
              <w:spacing w:line="276" w:lineRule="auto"/>
              <w:jc w:val="both"/>
              <w:rPr>
                <w:szCs w:val="21"/>
                <w:lang w:eastAsia="zh-CN"/>
              </w:rPr>
            </w:pPr>
            <w:r>
              <w:rPr>
                <w:rFonts w:hint="eastAsia"/>
                <w:szCs w:val="21"/>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permEnd w:id="4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9" w:edGrp="everyone"/>
          </w:p>
        </w:tc>
        <w:tc>
          <w:tcPr>
            <w:tcW w:w="7128" w:type="dxa"/>
            <w:vAlign w:val="center"/>
          </w:tcPr>
          <w:p>
            <w:pPr>
              <w:spacing w:line="276" w:lineRule="auto"/>
              <w:jc w:val="both"/>
              <w:rPr>
                <w:szCs w:val="21"/>
                <w:lang w:eastAsia="zh-CN"/>
              </w:rPr>
            </w:pPr>
            <w:r>
              <w:rPr>
                <w:rFonts w:hint="eastAsia"/>
                <w:szCs w:val="21"/>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permEnd w:id="4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0" w:edGrp="everyone"/>
          </w:p>
        </w:tc>
        <w:tc>
          <w:tcPr>
            <w:tcW w:w="7128" w:type="dxa"/>
            <w:vAlign w:val="center"/>
          </w:tcPr>
          <w:p>
            <w:pPr>
              <w:spacing w:line="276" w:lineRule="auto"/>
              <w:jc w:val="both"/>
              <w:rPr>
                <w:szCs w:val="21"/>
                <w:lang w:eastAsia="zh-CN"/>
              </w:rPr>
            </w:pPr>
            <w:r>
              <w:rPr>
                <w:rFonts w:hint="eastAsia"/>
                <w:szCs w:val="21"/>
                <w:lang w:eastAsia="zh-CN"/>
              </w:rPr>
              <w:t>验证方案和记录需经本公司相关部门审核，并经质量保证部批准。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permEnd w:id="5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1" w:edGrp="everyone"/>
          </w:p>
        </w:tc>
        <w:tc>
          <w:tcPr>
            <w:tcW w:w="7128" w:type="dxa"/>
            <w:vAlign w:val="center"/>
          </w:tcPr>
          <w:p>
            <w:pPr>
              <w:spacing w:line="276" w:lineRule="auto"/>
              <w:jc w:val="both"/>
              <w:rPr>
                <w:szCs w:val="21"/>
                <w:lang w:eastAsia="zh-CN"/>
              </w:rPr>
            </w:pPr>
            <w:r>
              <w:rPr>
                <w:rFonts w:hint="eastAsia"/>
                <w:szCs w:val="21"/>
                <w:lang w:eastAsia="zh-CN"/>
              </w:rPr>
              <w:t>设备保质期从确认验收的阶段就开始计算。</w:t>
            </w:r>
          </w:p>
        </w:tc>
        <w:tc>
          <w:tcPr>
            <w:tcW w:w="2125" w:type="dxa"/>
            <w:vAlign w:val="center"/>
          </w:tcPr>
          <w:p>
            <w:pPr>
              <w:jc w:val="center"/>
              <w:rPr>
                <w:szCs w:val="21"/>
                <w:lang w:eastAsia="zh-CN"/>
              </w:rPr>
            </w:pPr>
            <w:r>
              <w:rPr>
                <w:rFonts w:hint="eastAsia"/>
                <w:szCs w:val="21"/>
                <w:lang w:eastAsia="zh-CN"/>
              </w:rPr>
              <w:t>关键</w:t>
            </w:r>
          </w:p>
        </w:tc>
      </w:tr>
      <w:permEnd w:id="5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2" w:edGrp="everyone"/>
          </w:p>
        </w:tc>
        <w:tc>
          <w:tcPr>
            <w:tcW w:w="7128" w:type="dxa"/>
            <w:vAlign w:val="center"/>
          </w:tcPr>
          <w:p>
            <w:pPr>
              <w:spacing w:line="276" w:lineRule="auto"/>
              <w:jc w:val="both"/>
              <w:rPr>
                <w:szCs w:val="21"/>
                <w:lang w:eastAsia="zh-CN"/>
              </w:rPr>
            </w:pPr>
            <w:r>
              <w:rPr>
                <w:rFonts w:hint="eastAsia"/>
                <w:szCs w:val="21"/>
                <w:lang w:eastAsia="zh-CN"/>
              </w:rPr>
              <w:t>设备质保期为一年，一年内免费保修，一年后应提供良好的售后服务。</w:t>
            </w:r>
          </w:p>
        </w:tc>
        <w:tc>
          <w:tcPr>
            <w:tcW w:w="2125" w:type="dxa"/>
            <w:vAlign w:val="center"/>
          </w:tcPr>
          <w:p>
            <w:pPr>
              <w:jc w:val="center"/>
              <w:rPr>
                <w:szCs w:val="21"/>
                <w:lang w:eastAsia="zh-CN"/>
              </w:rPr>
            </w:pPr>
            <w:r>
              <w:rPr>
                <w:rFonts w:hint="eastAsia"/>
                <w:szCs w:val="21"/>
                <w:lang w:eastAsia="zh-CN"/>
              </w:rPr>
              <w:t>关键</w:t>
            </w:r>
          </w:p>
        </w:tc>
      </w:tr>
      <w:permEnd w:id="5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3" w:edGrp="everyone"/>
          </w:p>
        </w:tc>
        <w:tc>
          <w:tcPr>
            <w:tcW w:w="7128" w:type="dxa"/>
            <w:vAlign w:val="center"/>
          </w:tcPr>
          <w:p>
            <w:pPr>
              <w:spacing w:line="276" w:lineRule="auto"/>
              <w:jc w:val="both"/>
              <w:rPr>
                <w:szCs w:val="21"/>
                <w:lang w:eastAsia="zh-CN"/>
              </w:rPr>
            </w:pPr>
            <w:r>
              <w:rPr>
                <w:rFonts w:hint="eastAsia"/>
                <w:szCs w:val="21"/>
                <w:lang w:eastAsia="zh-CN"/>
              </w:rPr>
              <w:t>售后服务必须响应及时，要求设备出现须厂家维修的故障后，应在</w:t>
            </w:r>
            <w:r>
              <w:rPr>
                <w:szCs w:val="21"/>
                <w:lang w:eastAsia="zh-CN"/>
              </w:rPr>
              <w:t>4</w:t>
            </w:r>
            <w:r>
              <w:rPr>
                <w:rFonts w:hint="eastAsia"/>
                <w:szCs w:val="21"/>
                <w:lang w:eastAsia="zh-CN"/>
              </w:rPr>
              <w:t>小时内明确答复，当电话沟通无法解决时，须</w:t>
            </w:r>
            <w:r>
              <w:rPr>
                <w:szCs w:val="21"/>
                <w:lang w:eastAsia="zh-CN"/>
              </w:rPr>
              <w:t>24</w:t>
            </w:r>
            <w:r>
              <w:rPr>
                <w:rFonts w:hint="eastAsia"/>
                <w:szCs w:val="21"/>
                <w:lang w:eastAsia="zh-CN"/>
              </w:rPr>
              <w:t>小时内派人至现场解决。</w:t>
            </w:r>
          </w:p>
        </w:tc>
        <w:tc>
          <w:tcPr>
            <w:tcW w:w="2125" w:type="dxa"/>
            <w:vAlign w:val="center"/>
          </w:tcPr>
          <w:p>
            <w:pPr>
              <w:jc w:val="center"/>
              <w:rPr>
                <w:szCs w:val="21"/>
                <w:lang w:eastAsia="zh-CN"/>
              </w:rPr>
            </w:pPr>
            <w:r>
              <w:rPr>
                <w:rFonts w:hint="eastAsia"/>
                <w:szCs w:val="21"/>
                <w:lang w:eastAsia="zh-CN"/>
              </w:rPr>
              <w:t>关键</w:t>
            </w:r>
          </w:p>
        </w:tc>
      </w:tr>
      <w:permEnd w:id="5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4" w:edGrp="everyone"/>
          </w:p>
        </w:tc>
        <w:tc>
          <w:tcPr>
            <w:tcW w:w="7128" w:type="dxa"/>
            <w:vAlign w:val="center"/>
          </w:tcPr>
          <w:p>
            <w:pPr>
              <w:spacing w:line="276" w:lineRule="auto"/>
              <w:jc w:val="both"/>
              <w:rPr>
                <w:szCs w:val="21"/>
                <w:lang w:eastAsia="zh-CN"/>
              </w:rPr>
            </w:pPr>
            <w:r>
              <w:rPr>
                <w:rFonts w:hint="eastAsia"/>
                <w:szCs w:val="21"/>
                <w:lang w:eastAsia="zh-CN"/>
              </w:rPr>
              <w:t>一年免费保修期后，厂家应终生提供及时的维修、维护，厂家应定期回访，解决设备运行当中可能出现的疑问，排除潜在故障，使设备保持良好工作状态。</w:t>
            </w:r>
          </w:p>
        </w:tc>
        <w:tc>
          <w:tcPr>
            <w:tcW w:w="2125" w:type="dxa"/>
            <w:vAlign w:val="center"/>
          </w:tcPr>
          <w:p>
            <w:pPr>
              <w:jc w:val="center"/>
              <w:rPr>
                <w:szCs w:val="21"/>
                <w:lang w:eastAsia="zh-CN"/>
              </w:rPr>
            </w:pPr>
            <w:r>
              <w:rPr>
                <w:rFonts w:hint="eastAsia"/>
                <w:szCs w:val="21"/>
                <w:lang w:eastAsia="zh-CN"/>
              </w:rPr>
              <w:t>关键</w:t>
            </w:r>
          </w:p>
        </w:tc>
      </w:tr>
      <w:permEnd w:id="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5" w:edGrp="everyone"/>
          </w:p>
        </w:tc>
        <w:tc>
          <w:tcPr>
            <w:tcW w:w="7128" w:type="dxa"/>
            <w:vAlign w:val="center"/>
          </w:tcPr>
          <w:p>
            <w:pPr>
              <w:spacing w:line="276" w:lineRule="auto"/>
              <w:jc w:val="both"/>
              <w:rPr>
                <w:szCs w:val="21"/>
                <w:lang w:eastAsia="zh-CN"/>
              </w:rPr>
            </w:pPr>
            <w:r>
              <w:rPr>
                <w:rFonts w:hint="eastAsia" w:ascii="宋体" w:hAnsi="宋体"/>
                <w:lang w:eastAsia="zh-CN"/>
              </w:rPr>
              <w:t>供应商应额外提供</w:t>
            </w:r>
            <w:r>
              <w:rPr>
                <w:rFonts w:ascii="宋体" w:hAnsi="宋体"/>
                <w:lang w:eastAsia="zh-CN"/>
              </w:rPr>
              <w:t>2</w:t>
            </w:r>
            <w:r>
              <w:rPr>
                <w:rFonts w:hint="eastAsia" w:ascii="宋体" w:hAnsi="宋体"/>
                <w:lang w:eastAsia="zh-CN"/>
              </w:rPr>
              <w:t>年的设备易损件和维修工具作为设备使用方的备件，清单应列在合同内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供应商可做到基本配件随时可发货，特殊配件</w:t>
            </w:r>
            <w:r>
              <w:rPr>
                <w:rFonts w:ascii="宋体" w:hAnsi="宋体"/>
                <w:lang w:eastAsia="zh-CN"/>
              </w:rPr>
              <w:t>2</w:t>
            </w:r>
            <w:r>
              <w:rPr>
                <w:rFonts w:hint="eastAsia" w:ascii="宋体" w:hAnsi="宋体"/>
                <w:lang w:eastAsia="zh-CN"/>
              </w:rPr>
              <w:t>周内到货</w:t>
            </w:r>
          </w:p>
        </w:tc>
        <w:tc>
          <w:tcPr>
            <w:tcW w:w="2125" w:type="dxa"/>
            <w:vAlign w:val="center"/>
          </w:tcPr>
          <w:p>
            <w:pPr>
              <w:jc w:val="center"/>
              <w:rPr>
                <w:szCs w:val="21"/>
                <w:lang w:eastAsia="zh-CN"/>
              </w:rPr>
            </w:pPr>
            <w:r>
              <w:rPr>
                <w:rFonts w:hint="eastAsia"/>
                <w:szCs w:val="21"/>
                <w:lang w:eastAsia="zh-CN"/>
              </w:rPr>
              <w:t>关键</w:t>
            </w:r>
          </w:p>
        </w:tc>
      </w:tr>
      <w:permEnd w:id="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2"/>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rFonts w:hint="eastAsia"/>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6" w:edGrp="everyone"/>
          </w:p>
        </w:tc>
        <w:tc>
          <w:tcPr>
            <w:tcW w:w="7128" w:type="dxa"/>
            <w:vAlign w:val="center"/>
          </w:tcPr>
          <w:p>
            <w:pPr>
              <w:spacing w:line="276" w:lineRule="auto"/>
              <w:jc w:val="both"/>
              <w:rPr>
                <w:szCs w:val="21"/>
                <w:lang w:eastAsia="zh-CN"/>
              </w:rPr>
            </w:pPr>
            <w:r>
              <w:rPr>
                <w:rFonts w:hint="eastAsia"/>
                <w:szCs w:val="21"/>
                <w:lang w:eastAsia="zh-CN"/>
              </w:rPr>
              <w:t>验收前，调试和验证工作已成功完成，验证最终报告已经本公司相关部门审核，并经质量保证部批准。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eastAsia="zh-CN"/>
              </w:rPr>
            </w:pPr>
            <w:r>
              <w:rPr>
                <w:rFonts w:hint="eastAsia" w:ascii="宋体" w:hAnsi="宋体"/>
                <w:lang w:eastAsia="zh-CN"/>
              </w:rPr>
              <w:t>验收时，必须完成调试文件，相应的调试和测试项目必须首先完成</w:t>
            </w:r>
          </w:p>
        </w:tc>
        <w:tc>
          <w:tcPr>
            <w:tcW w:w="2125" w:type="dxa"/>
            <w:vAlign w:val="center"/>
          </w:tcPr>
          <w:p>
            <w:pPr>
              <w:jc w:val="center"/>
              <w:rPr>
                <w:szCs w:val="21"/>
                <w:lang w:eastAsia="zh-CN"/>
              </w:rPr>
            </w:pPr>
            <w:r>
              <w:rPr>
                <w:rFonts w:hint="eastAsia"/>
                <w:szCs w:val="21"/>
                <w:lang w:eastAsia="zh-CN"/>
              </w:rPr>
              <w:t>关键</w:t>
            </w:r>
          </w:p>
        </w:tc>
      </w:tr>
      <w:permEnd w:id="5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57" w:edGrp="everyone"/>
          </w:p>
        </w:tc>
        <w:tc>
          <w:tcPr>
            <w:tcW w:w="7128" w:type="dxa"/>
            <w:vAlign w:val="center"/>
          </w:tcPr>
          <w:p>
            <w:pPr>
              <w:spacing w:line="276" w:lineRule="auto"/>
              <w:jc w:val="both"/>
              <w:rPr>
                <w:szCs w:val="21"/>
                <w:lang w:eastAsia="zh-CN"/>
              </w:rPr>
            </w:pPr>
            <w:r>
              <w:rPr>
                <w:rFonts w:hint="eastAsia" w:ascii="宋体" w:hAnsi="宋体"/>
                <w:lang w:eastAsia="zh-CN"/>
              </w:rPr>
              <w:t>验收时，</w:t>
            </w:r>
            <w:r>
              <w:rPr>
                <w:rFonts w:hint="eastAsia" w:ascii="宋体" w:hAnsi="宋体"/>
                <w:szCs w:val="21"/>
                <w:lang w:eastAsia="zh-CN"/>
              </w:rPr>
              <w:t>所有设备安装、调试、验证、试用已完成，并经过用户使用部门及工程部等确认。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lang w:eastAsia="zh-CN"/>
              </w:rPr>
            </w:pPr>
            <w:r>
              <w:rPr>
                <w:rFonts w:hint="eastAsia" w:ascii="宋体" w:hAnsi="宋体"/>
                <w:lang w:eastAsia="zh-CN"/>
              </w:rPr>
              <w:t>设备验收时如发现供应商对</w:t>
            </w:r>
            <w:r>
              <w:rPr>
                <w:rFonts w:ascii="宋体" w:hAnsi="宋体"/>
                <w:lang w:eastAsia="zh-CN"/>
              </w:rPr>
              <w:t>URS</w:t>
            </w:r>
            <w:r>
              <w:rPr>
                <w:rFonts w:hint="eastAsia" w:ascii="宋体" w:hAnsi="宋体"/>
                <w:lang w:eastAsia="zh-CN"/>
              </w:rPr>
              <w:t>的响应不完全，甲方有权索赔并拒绝验收</w:t>
            </w:r>
          </w:p>
        </w:tc>
        <w:tc>
          <w:tcPr>
            <w:tcW w:w="2125" w:type="dxa"/>
            <w:vAlign w:val="center"/>
          </w:tcPr>
          <w:p>
            <w:pPr>
              <w:jc w:val="center"/>
              <w:rPr>
                <w:szCs w:val="21"/>
                <w:lang w:eastAsia="zh-CN"/>
              </w:rPr>
            </w:pPr>
            <w:r>
              <w:rPr>
                <w:rFonts w:hint="eastAsia"/>
                <w:szCs w:val="21"/>
                <w:lang w:eastAsia="zh-CN"/>
              </w:rPr>
              <w:t>关键</w:t>
            </w:r>
          </w:p>
        </w:tc>
      </w:tr>
      <w:permEnd w:id="57"/>
    </w:tbl>
    <w:p>
      <w:pPr>
        <w:pStyle w:val="30"/>
        <w:numPr>
          <w:ilvl w:val="0"/>
          <w:numId w:val="3"/>
        </w:numPr>
        <w:spacing w:after="158" w:afterLines="50"/>
        <w:ind w:left="426" w:hanging="426" w:hangingChars="202"/>
        <w:outlineLvl w:val="0"/>
        <w:rPr>
          <w:rFonts w:ascii="Times New Roman" w:hAnsi="Times New Roman"/>
          <w:b/>
        </w:rPr>
      </w:pPr>
      <w:bookmarkStart w:id="47" w:name="_Toc522716126"/>
      <w:bookmarkStart w:id="48" w:name="_Toc522107746"/>
      <w:r>
        <w:rPr>
          <w:rFonts w:hint="eastAsia" w:ascii="Times New Roman" w:hAnsi="Times New Roman"/>
          <w:b/>
        </w:rPr>
        <w:t>附件</w:t>
      </w:r>
      <w:bookmarkEnd w:id="31"/>
      <w:bookmarkEnd w:id="32"/>
      <w:bookmarkEnd w:id="33"/>
      <w:bookmarkEnd w:id="34"/>
      <w:bookmarkEnd w:id="35"/>
      <w:bookmarkEnd w:id="36"/>
      <w:bookmarkEnd w:id="37"/>
      <w:bookmarkEnd w:id="38"/>
      <w:bookmarkEnd w:id="39"/>
      <w:bookmarkEnd w:id="40"/>
      <w:bookmarkEnd w:id="41"/>
      <w:bookmarkEnd w:id="42"/>
      <w:bookmarkEnd w:id="47"/>
      <w:bookmarkEnd w:id="48"/>
    </w:p>
    <w:tbl>
      <w:tblPr>
        <w:tblStyle w:val="23"/>
        <w:tblW w:w="105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20"/>
        <w:gridCol w:w="6892"/>
        <w:gridCol w:w="2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920" w:type="dxa"/>
            <w:tcBorders>
              <w:top w:val="single" w:color="auto" w:sz="4" w:space="0"/>
              <w:left w:val="single" w:color="auto" w:sz="4" w:space="0"/>
              <w:bottom w:val="single" w:color="auto" w:sz="4" w:space="0"/>
              <w:right w:val="single" w:color="auto" w:sz="4" w:space="0"/>
            </w:tcBorders>
            <w:shd w:val="clear" w:color="000000" w:fill="D9D9D9"/>
            <w:vAlign w:val="center"/>
          </w:tcPr>
          <w:p>
            <w:pPr>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序号</w:t>
            </w:r>
          </w:p>
        </w:tc>
        <w:tc>
          <w:tcPr>
            <w:tcW w:w="6892" w:type="dxa"/>
            <w:tcBorders>
              <w:top w:val="single" w:color="auto" w:sz="4" w:space="0"/>
              <w:left w:val="nil"/>
              <w:bottom w:val="single" w:color="auto" w:sz="4" w:space="0"/>
              <w:right w:val="single" w:color="auto" w:sz="4" w:space="0"/>
            </w:tcBorders>
            <w:shd w:val="clear" w:color="000000" w:fill="D9D9D9"/>
            <w:vAlign w:val="center"/>
          </w:tcPr>
          <w:p>
            <w:pPr>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文件项目</w:t>
            </w:r>
          </w:p>
        </w:tc>
        <w:tc>
          <w:tcPr>
            <w:tcW w:w="2693" w:type="dxa"/>
            <w:tcBorders>
              <w:top w:val="single" w:color="auto" w:sz="4" w:space="0"/>
              <w:left w:val="nil"/>
              <w:bottom w:val="single" w:color="auto" w:sz="4" w:space="0"/>
              <w:right w:val="single" w:color="auto" w:sz="4" w:space="0"/>
            </w:tcBorders>
            <w:shd w:val="clear" w:color="000000" w:fill="D9D9D9"/>
            <w:vAlign w:val="center"/>
          </w:tcPr>
          <w:p>
            <w:pPr>
              <w:adjustRightInd/>
              <w:jc w:val="center"/>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提交阶段及时限要求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00" w:hRule="atLeast"/>
        </w:trPr>
        <w:tc>
          <w:tcPr>
            <w:tcW w:w="10505" w:type="dxa"/>
            <w:gridSpan w:val="3"/>
            <w:tcBorders>
              <w:top w:val="single" w:color="auto" w:sz="4" w:space="0"/>
              <w:left w:val="single" w:color="auto" w:sz="4" w:space="0"/>
              <w:bottom w:val="single" w:color="auto" w:sz="4" w:space="0"/>
              <w:right w:val="single" w:color="000000" w:sz="4" w:space="0"/>
            </w:tcBorders>
            <w:vAlign w:val="center"/>
          </w:tcPr>
          <w:p>
            <w:pPr>
              <w:adjustRightInd/>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一、工程文件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设备交付计划表。</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DQ开始前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权限清单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OQ开始前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报警清单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OQ开始前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投标文件、合同及订单。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5</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卖方发运清单及相关检验报告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6</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系统功能配置清单及说明，包含各组件名称、编号、型号、规格、品牌、材质等。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7</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系统选型文件，包括设备标准技术文件、功能说明、设计说明、软硬件配置清单与说明。</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DQ开始前完成审批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44"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8</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图纸：实物图；各种确认、维修等活动所需的电子版及打印版图纸（P&amp;ID图、尺寸图、安装图、必要的细节图、控制原理图、设备装配图、设备工作原理图、气动原理图、电气原理图、控制盘面仪表、开关配置图等线图、PLC相关图纸、计算机化系统相关图纸等）；注释参考等；图纸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9</w:t>
            </w: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配件清单、易损件清单、备件、消耗品、仪表清单：包括名称、编号、对应厂家名称、生产地、规格及必要说明。</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10</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设备厂家文件：出厂测试合格证、各关键组件说明书、相关检测报告、各种标示。</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11</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设备安装文件：焊接证书、各种安装处理记录及报告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12</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设备操作手册（SOP）：语言为中文，应说明校准周期，并能提供校准服务（此项服务可付费）。</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13</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第三方校验报告及计量证书。</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14</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安全报告。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15</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各种必要的合格证，包括部件合格证、环路校验合格报告、材质证书等。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16</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调试文件：调试计划、调试方案、设备测试记录，检测清单，测试报告，调试总结报告、现场验收报告等。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17</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使用操作说明书及维护保养说明（即运行及维护手册）3份。</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18</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提供设备及其零部件使用寿命清单。</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19</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应有针对每一部件所作序号的简明图册，以便于维修人员查找和辩识。</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81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20</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上述条款规定的文件需提供电子版，并在设备开箱验收时将最终批准的电子版及纸质版全套资料交工程技术部存档；开箱时无法提供的文件可在设备验收前提交给工程部。</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设备开箱验收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10505" w:type="dxa"/>
            <w:gridSpan w:val="3"/>
            <w:tcBorders>
              <w:top w:val="single" w:color="auto" w:sz="4" w:space="0"/>
              <w:left w:val="single" w:color="auto" w:sz="4" w:space="0"/>
              <w:bottom w:val="single" w:color="auto" w:sz="4" w:space="0"/>
              <w:right w:val="single" w:color="000000" w:sz="4" w:space="0"/>
            </w:tcBorders>
            <w:vAlign w:val="center"/>
          </w:tcPr>
          <w:p>
            <w:pPr>
              <w:adjustRightInd/>
              <w:textAlignment w:val="auto"/>
              <w:rPr>
                <w:rFonts w:ascii="宋体" w:hAnsi="宋体" w:cs="宋体"/>
                <w:b/>
                <w:bCs/>
                <w:color w:val="000000"/>
                <w:sz w:val="22"/>
                <w:szCs w:val="22"/>
                <w:lang w:val="en-US" w:eastAsia="zh-CN"/>
              </w:rPr>
            </w:pPr>
            <w:r>
              <w:rPr>
                <w:rFonts w:hint="eastAsia" w:ascii="宋体" w:hAnsi="宋体" w:cs="宋体"/>
                <w:b/>
                <w:bCs/>
                <w:color w:val="000000"/>
                <w:sz w:val="22"/>
                <w:szCs w:val="22"/>
                <w:lang w:val="en-US" w:eastAsia="zh-CN"/>
              </w:rPr>
              <w:t>二、验证文件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155"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工厂验收测试（FAT）和现场验收测试（SAT）报告。</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FAT应在设备制造完成后出厂发货前完成审批并提交；SAT在设备安装调试后IQ开始前完成审批并提交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满足GEP要求的项目文件交付包</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90" w:hRule="atLeast"/>
        </w:trPr>
        <w:tc>
          <w:tcPr>
            <w:tcW w:w="920" w:type="dxa"/>
            <w:tcBorders>
              <w:top w:val="nil"/>
              <w:left w:val="single" w:color="auto" w:sz="4" w:space="0"/>
              <w:bottom w:val="single" w:color="auto"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调试文件：调试计划、调试方案、设备测试记录，检测清单，测试报告，调试总结报告、现场验收报告等。</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不晚于IQ开始前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restart"/>
            <w:tcBorders>
              <w:top w:val="nil"/>
              <w:left w:val="single" w:color="auto" w:sz="4" w:space="0"/>
              <w:bottom w:val="single" w:color="000000" w:sz="4" w:space="0"/>
              <w:right w:val="single" w:color="auto" w:sz="4" w:space="0"/>
            </w:tcBorders>
            <w:vAlign w:val="center"/>
          </w:tcPr>
          <w:p>
            <w:pPr>
              <w:adjustRightInd/>
              <w:jc w:val="center"/>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验证文件：</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（1）验证计划</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设计阶段，设计确认开始前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（2）满足GMP和GAMP5等相关法规的评估文件</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系统影响性评估、计算机化系统影响性评估在DQ开始前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（3）设计确认及文件（DQ）</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设计完成后，制造及安装开始前完成审批并提交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（4）安装确认及文件（IQ）</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SAT批准后开始执行，OQ开始前完成审批并提交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（5）运行确认及文件（OQ）</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IQ批准后开始执行，PQ开始前完成审批并提交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93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jc w:val="both"/>
              <w:textAlignment w:val="auto"/>
              <w:rPr>
                <w:rFonts w:ascii="宋体" w:hAnsi="宋体" w:cs="宋体"/>
                <w:color w:val="000000"/>
                <w:szCs w:val="21"/>
                <w:lang w:val="en-US" w:eastAsia="zh-CN"/>
              </w:rPr>
            </w:pPr>
            <w:r>
              <w:rPr>
                <w:rFonts w:hint="eastAsia" w:ascii="宋体" w:hAnsi="宋体" w:cs="宋体"/>
                <w:color w:val="000000"/>
                <w:szCs w:val="21"/>
                <w:lang w:val="en-US" w:eastAsia="zh-CN"/>
              </w:rPr>
              <w:t>（6）追溯矩阵（RTM）</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PQ完成后开始起草，最终验收前提交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600" w:hRule="atLeast"/>
        </w:trPr>
        <w:tc>
          <w:tcPr>
            <w:tcW w:w="920" w:type="dxa"/>
            <w:vMerge w:val="continue"/>
            <w:tcBorders>
              <w:top w:val="nil"/>
              <w:left w:val="single" w:color="auto" w:sz="4" w:space="0"/>
              <w:bottom w:val="single" w:color="000000" w:sz="4" w:space="0"/>
              <w:right w:val="single" w:color="auto" w:sz="4" w:space="0"/>
            </w:tcBorders>
            <w:vAlign w:val="center"/>
          </w:tcPr>
          <w:p>
            <w:pPr>
              <w:adjustRightInd/>
              <w:textAlignment w:val="auto"/>
              <w:rPr>
                <w:rFonts w:ascii="宋体" w:hAnsi="宋体" w:cs="宋体"/>
                <w:color w:val="000000"/>
                <w:sz w:val="22"/>
                <w:szCs w:val="22"/>
                <w:lang w:val="en-US" w:eastAsia="zh-CN"/>
              </w:rPr>
            </w:pPr>
          </w:p>
        </w:tc>
        <w:tc>
          <w:tcPr>
            <w:tcW w:w="6892"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Cs w:val="21"/>
                <w:lang w:val="en-US" w:eastAsia="zh-CN"/>
              </w:rPr>
            </w:pPr>
            <w:r>
              <w:rPr>
                <w:rFonts w:hint="eastAsia" w:ascii="宋体" w:hAnsi="宋体" w:cs="宋体"/>
                <w:color w:val="000000"/>
                <w:szCs w:val="21"/>
                <w:lang w:val="en-US" w:eastAsia="zh-CN"/>
              </w:rPr>
              <w:t>（7）验证总结报告（VSR）</w:t>
            </w:r>
          </w:p>
        </w:tc>
        <w:tc>
          <w:tcPr>
            <w:tcW w:w="2693" w:type="dxa"/>
            <w:tcBorders>
              <w:top w:val="nil"/>
              <w:left w:val="nil"/>
              <w:bottom w:val="single" w:color="auto" w:sz="4" w:space="0"/>
              <w:right w:val="single" w:color="auto" w:sz="4" w:space="0"/>
            </w:tcBorders>
            <w:vAlign w:val="center"/>
          </w:tcPr>
          <w:p>
            <w:pPr>
              <w:adjustRightInd/>
              <w:textAlignment w:val="auto"/>
              <w:rPr>
                <w:rFonts w:ascii="宋体" w:hAnsi="宋体" w:cs="宋体"/>
                <w:color w:val="000000"/>
                <w:sz w:val="22"/>
                <w:szCs w:val="22"/>
                <w:lang w:val="en-US" w:eastAsia="zh-CN"/>
              </w:rPr>
            </w:pPr>
            <w:r>
              <w:rPr>
                <w:rFonts w:hint="eastAsia" w:ascii="宋体" w:hAnsi="宋体" w:cs="宋体"/>
                <w:color w:val="000000"/>
                <w:sz w:val="22"/>
                <w:szCs w:val="22"/>
                <w:lang w:val="en-US" w:eastAsia="zh-CN"/>
              </w:rPr>
              <w:t>PQ完成后开始起草，最终验收前提交</w:t>
            </w:r>
          </w:p>
        </w:tc>
      </w:tr>
    </w:tbl>
    <w:p>
      <w:pPr>
        <w:pStyle w:val="30"/>
        <w:spacing w:after="158" w:afterLines="50"/>
        <w:ind w:left="426" w:firstLine="0" w:firstLineChars="0"/>
        <w:outlineLvl w:val="0"/>
        <w:rPr>
          <w:rFonts w:ascii="Times New Roman" w:hAnsi="Times New Roman"/>
        </w:rPr>
      </w:pPr>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auto"/>
    <w:pitch w:val="default"/>
    <w:sig w:usb0="A00002EF" w:usb1="4000207B" w:usb2="00000000" w:usb3="00000000" w:csb0="2000019F" w:csb1="00000000"/>
  </w:font>
  <w:font w:name="Calibri">
    <w:panose1 w:val="020F0502020204030204"/>
    <w:charset w:val="00"/>
    <w:family w:val="auto"/>
    <w:pitch w:val="default"/>
    <w:sig w:usb0="E10002FF" w:usb1="4000ACFF" w:usb2="00000009" w:usb3="00000000" w:csb0="2000019F" w:csb1="00000000"/>
  </w:font>
  <w:font w:name="PMingLiUfalt">
    <w:altName w:val="MingLiU"/>
    <w:panose1 w:val="00000000000000000000"/>
    <w:charset w:val="88"/>
    <w:family w:val="auto"/>
    <w:pitch w:val="default"/>
    <w:sig w:usb0="00000000" w:usb1="00000000" w:usb2="00000010" w:usb3="00000000" w:csb0="00100000" w:csb1="00000000"/>
  </w:font>
  <w:font w:name="Cambria">
    <w:panose1 w:val="02040503050406030204"/>
    <w:charset w:val="00"/>
    <w:family w:val="auto"/>
    <w:pitch w:val="default"/>
    <w:sig w:usb0="E00002FF" w:usb1="40000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64367579">
    <w:nsid w:val="338533DB"/>
    <w:multiLevelType w:val="multilevel"/>
    <w:tmpl w:val="338533DB"/>
    <w:lvl w:ilvl="0" w:tentative="1">
      <w:start w:val="1"/>
      <w:numFmt w:val="bullet"/>
      <w:lvlText w:val=""/>
      <w:lvlJc w:val="left"/>
      <w:pPr>
        <w:tabs>
          <w:tab w:val="left" w:pos="420"/>
        </w:tabs>
        <w:ind w:left="420" w:hanging="420"/>
      </w:pPr>
      <w:rPr>
        <w:rFonts w:hint="default" w:ascii="Wingdings" w:hAnsi="Wingdings"/>
      </w:rPr>
    </w:lvl>
    <w:lvl w:ilvl="1" w:tentative="1">
      <w:start w:val="1"/>
      <w:numFmt w:val="bullet"/>
      <w:lvlText w:val=""/>
      <w:lvlJc w:val="left"/>
      <w:pPr>
        <w:tabs>
          <w:tab w:val="left" w:pos="840"/>
        </w:tabs>
        <w:ind w:left="840" w:hanging="420"/>
      </w:pPr>
      <w:rPr>
        <w:rFonts w:hint="default" w:ascii="Wingdings" w:hAnsi="Wingdings"/>
      </w:rPr>
    </w:lvl>
    <w:lvl w:ilvl="2" w:tentative="1">
      <w:start w:val="1"/>
      <w:numFmt w:val="bullet"/>
      <w:lvlText w:val=""/>
      <w:lvlJc w:val="left"/>
      <w:pPr>
        <w:tabs>
          <w:tab w:val="left" w:pos="1260"/>
        </w:tabs>
        <w:ind w:left="1260" w:hanging="420"/>
      </w:pPr>
      <w:rPr>
        <w:rFonts w:hint="default" w:ascii="Wingdings" w:hAnsi="Wingdings"/>
      </w:rPr>
    </w:lvl>
    <w:lvl w:ilvl="3" w:tentative="1">
      <w:start w:val="1"/>
      <w:numFmt w:val="bullet"/>
      <w:lvlText w:val=""/>
      <w:lvlJc w:val="left"/>
      <w:pPr>
        <w:tabs>
          <w:tab w:val="left" w:pos="1680"/>
        </w:tabs>
        <w:ind w:left="1680" w:hanging="420"/>
      </w:pPr>
      <w:rPr>
        <w:rFonts w:hint="default" w:ascii="Wingdings" w:hAnsi="Wingdings"/>
      </w:rPr>
    </w:lvl>
    <w:lvl w:ilvl="4" w:tentative="1">
      <w:start w:val="1"/>
      <w:numFmt w:val="bullet"/>
      <w:lvlText w:val=""/>
      <w:lvlJc w:val="left"/>
      <w:pPr>
        <w:tabs>
          <w:tab w:val="left" w:pos="2100"/>
        </w:tabs>
        <w:ind w:left="2100" w:hanging="420"/>
      </w:pPr>
      <w:rPr>
        <w:rFonts w:hint="default" w:ascii="Wingdings" w:hAnsi="Wingdings"/>
      </w:rPr>
    </w:lvl>
    <w:lvl w:ilvl="5" w:tentative="1">
      <w:start w:val="1"/>
      <w:numFmt w:val="bullet"/>
      <w:lvlText w:val=""/>
      <w:lvlJc w:val="left"/>
      <w:pPr>
        <w:tabs>
          <w:tab w:val="left" w:pos="2520"/>
        </w:tabs>
        <w:ind w:left="2520" w:hanging="420"/>
      </w:pPr>
      <w:rPr>
        <w:rFonts w:hint="default" w:ascii="Wingdings" w:hAnsi="Wingdings"/>
      </w:rPr>
    </w:lvl>
    <w:lvl w:ilvl="6" w:tentative="1">
      <w:start w:val="1"/>
      <w:numFmt w:val="bullet"/>
      <w:lvlText w:val=""/>
      <w:lvlJc w:val="left"/>
      <w:pPr>
        <w:tabs>
          <w:tab w:val="left" w:pos="2940"/>
        </w:tabs>
        <w:ind w:left="2940" w:hanging="420"/>
      </w:pPr>
      <w:rPr>
        <w:rFonts w:hint="default" w:ascii="Wingdings" w:hAnsi="Wingdings"/>
      </w:rPr>
    </w:lvl>
    <w:lvl w:ilvl="7" w:tentative="1">
      <w:start w:val="1"/>
      <w:numFmt w:val="bullet"/>
      <w:lvlText w:val=""/>
      <w:lvlJc w:val="left"/>
      <w:pPr>
        <w:tabs>
          <w:tab w:val="left" w:pos="3360"/>
        </w:tabs>
        <w:ind w:left="3360" w:hanging="420"/>
      </w:pPr>
      <w:rPr>
        <w:rFonts w:hint="default" w:ascii="Wingdings" w:hAnsi="Wingdings"/>
      </w:rPr>
    </w:lvl>
    <w:lvl w:ilvl="8" w:tentative="1">
      <w:start w:val="1"/>
      <w:numFmt w:val="bullet"/>
      <w:lvlText w:val=""/>
      <w:lvlJc w:val="left"/>
      <w:pPr>
        <w:tabs>
          <w:tab w:val="left" w:pos="3780"/>
        </w:tabs>
        <w:ind w:left="3780" w:hanging="420"/>
      </w:pPr>
      <w:rPr>
        <w:rFonts w:hint="default" w:ascii="Wingdings" w:hAnsi="Wingdings"/>
      </w:rPr>
    </w:lvl>
  </w:abstractNum>
  <w:abstractNum w:abstractNumId="1751467757">
    <w:nsid w:val="686546ED"/>
    <w:multiLevelType w:val="multilevel"/>
    <w:tmpl w:val="686546ED"/>
    <w:lvl w:ilvl="0" w:tentative="1">
      <w:start w:val="1"/>
      <w:numFmt w:val="decimal"/>
      <w:pStyle w:val="32"/>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decimal"/>
      <w:lvlText w:val="8.%3"/>
      <w:lvlJc w:val="right"/>
      <w:pPr>
        <w:ind w:left="1260" w:hanging="420"/>
      </w:pPr>
      <w:rPr>
        <w:rFonts w:hint="eastAsia"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94097956">
    <w:nsid w:val="23693724"/>
    <w:multiLevelType w:val="multilevel"/>
    <w:tmpl w:val="23693724"/>
    <w:lvl w:ilvl="0" w:tentative="1">
      <w:start w:val="1"/>
      <w:numFmt w:val="decimal"/>
      <w:lvlText w:val="%1"/>
      <w:lvlJc w:val="left"/>
      <w:pPr>
        <w:ind w:left="425" w:hanging="425"/>
      </w:pPr>
      <w:rPr>
        <w:rFonts w:cs="Times New Roman"/>
      </w:rPr>
    </w:lvl>
    <w:lvl w:ilvl="1" w:tentative="1">
      <w:start w:val="1"/>
      <w:numFmt w:val="decimal"/>
      <w:lvlText w:val="%1.%2"/>
      <w:lvlJc w:val="left"/>
      <w:pPr>
        <w:ind w:left="992" w:hanging="567"/>
      </w:pPr>
      <w:rPr>
        <w:rFonts w:cs="Times New Roman"/>
      </w:rPr>
    </w:lvl>
    <w:lvl w:ilvl="2" w:tentative="1">
      <w:start w:val="1"/>
      <w:numFmt w:val="decimal"/>
      <w:lvlText w:val="%1.%2.%3"/>
      <w:lvlJc w:val="left"/>
      <w:pPr>
        <w:ind w:left="1418" w:hanging="567"/>
      </w:pPr>
      <w:rPr>
        <w:rFonts w:cs="Times New Roman"/>
      </w:rPr>
    </w:lvl>
    <w:lvl w:ilvl="3" w:tentative="1">
      <w:start w:val="1"/>
      <w:numFmt w:val="decimal"/>
      <w:lvlText w:val="%1.%2.%3.%4"/>
      <w:lvlJc w:val="left"/>
      <w:pPr>
        <w:ind w:left="1984" w:hanging="708"/>
      </w:pPr>
      <w:rPr>
        <w:rFonts w:cs="Times New Roman"/>
      </w:rPr>
    </w:lvl>
    <w:lvl w:ilvl="4" w:tentative="1">
      <w:start w:val="1"/>
      <w:numFmt w:val="decimal"/>
      <w:lvlText w:val="%1.%2.%3.%4.%5"/>
      <w:lvlJc w:val="left"/>
      <w:pPr>
        <w:ind w:left="2551" w:hanging="850"/>
      </w:pPr>
      <w:rPr>
        <w:rFonts w:cs="Times New Roman"/>
      </w:rPr>
    </w:lvl>
    <w:lvl w:ilvl="5" w:tentative="1">
      <w:start w:val="1"/>
      <w:numFmt w:val="decimal"/>
      <w:lvlText w:val="%1.%2.%3.%4.%5.%6"/>
      <w:lvlJc w:val="left"/>
      <w:pPr>
        <w:ind w:left="3260" w:hanging="1134"/>
      </w:pPr>
      <w:rPr>
        <w:rFonts w:cs="Times New Roman"/>
      </w:rPr>
    </w:lvl>
    <w:lvl w:ilvl="6" w:tentative="1">
      <w:start w:val="1"/>
      <w:numFmt w:val="decimal"/>
      <w:lvlText w:val="%1.%2.%3.%4.%5.%6.%7"/>
      <w:lvlJc w:val="left"/>
      <w:pPr>
        <w:ind w:left="3827" w:hanging="1276"/>
      </w:pPr>
      <w:rPr>
        <w:rFonts w:cs="Times New Roman"/>
      </w:rPr>
    </w:lvl>
    <w:lvl w:ilvl="7" w:tentative="1">
      <w:start w:val="1"/>
      <w:numFmt w:val="decimal"/>
      <w:lvlText w:val="%1.%2.%3.%4.%5.%6.%7.%8"/>
      <w:lvlJc w:val="left"/>
      <w:pPr>
        <w:ind w:left="4394" w:hanging="1418"/>
      </w:pPr>
      <w:rPr>
        <w:rFonts w:cs="Times New Roman"/>
      </w:rPr>
    </w:lvl>
    <w:lvl w:ilvl="8" w:tentative="1">
      <w:start w:val="1"/>
      <w:numFmt w:val="decimal"/>
      <w:lvlText w:val="%1.%2.%3.%4.%5.%6.%7.%8.%9"/>
      <w:lvlJc w:val="left"/>
      <w:pPr>
        <w:ind w:left="5102" w:hanging="1700"/>
      </w:pPr>
      <w:rPr>
        <w:rFonts w:cs="Times New Roman"/>
      </w:rPr>
    </w:lvl>
  </w:abstractNum>
  <w:abstractNum w:abstractNumId="512037502">
    <w:nsid w:val="1E85127E"/>
    <w:multiLevelType w:val="multilevel"/>
    <w:tmpl w:val="1E85127E"/>
    <w:lvl w:ilvl="0" w:tentative="1">
      <w:start w:val="1"/>
      <w:numFmt w:val="bullet"/>
      <w:lvlText w:val=""/>
      <w:lvlJc w:val="left"/>
      <w:pPr>
        <w:ind w:left="988"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196115971">
    <w:nsid w:val="0BB07E03"/>
    <w:multiLevelType w:val="multilevel"/>
    <w:tmpl w:val="0BB07E03"/>
    <w:lvl w:ilvl="0" w:tentative="1">
      <w:start w:val="1"/>
      <w:numFmt w:val="decimal"/>
      <w:lvlText w:val="9.%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cs="Times New Roman"/>
        <w:sz w:val="22"/>
      </w:rPr>
    </w:lvl>
    <w:lvl w:ilvl="1" w:tentative="1">
      <w:start w:val="1"/>
      <w:numFmt w:val="decimal"/>
      <w:lvlText w:val="%1.%2."/>
      <w:lvlJc w:val="left"/>
      <w:pPr>
        <w:tabs>
          <w:tab w:val="left" w:pos="567"/>
        </w:tabs>
        <w:ind w:left="567" w:hanging="567"/>
      </w:pPr>
      <w:rPr>
        <w:rFonts w:hint="default" w:cs="Times New Roman"/>
        <w:sz w:val="22"/>
      </w:rPr>
    </w:lvl>
    <w:lvl w:ilvl="2" w:tentative="1">
      <w:start w:val="1"/>
      <w:numFmt w:val="decimal"/>
      <w:lvlText w:val="%1.%2.%3."/>
      <w:lvlJc w:val="left"/>
      <w:pPr>
        <w:tabs>
          <w:tab w:val="left" w:pos="709"/>
        </w:tabs>
        <w:ind w:left="709" w:hanging="709"/>
      </w:pPr>
      <w:rPr>
        <w:rFonts w:hint="default" w:cs="Times New Roman"/>
      </w:rPr>
    </w:lvl>
    <w:lvl w:ilvl="3" w:tentative="1">
      <w:start w:val="1"/>
      <w:numFmt w:val="decimal"/>
      <w:lvlText w:val="%1.%2.%3.%4."/>
      <w:lvlJc w:val="left"/>
      <w:pPr>
        <w:tabs>
          <w:tab w:val="left" w:pos="851"/>
        </w:tabs>
        <w:ind w:left="851" w:hanging="851"/>
      </w:pPr>
      <w:rPr>
        <w:rFonts w:hint="default" w:cs="Times New Roman"/>
      </w:rPr>
    </w:lvl>
    <w:lvl w:ilvl="4" w:tentative="1">
      <w:start w:val="1"/>
      <w:numFmt w:val="decimal"/>
      <w:lvlText w:val="%1.%2.%3.%4.%5."/>
      <w:lvlJc w:val="left"/>
      <w:pPr>
        <w:tabs>
          <w:tab w:val="left" w:pos="992"/>
        </w:tabs>
        <w:ind w:left="992" w:hanging="992"/>
      </w:pPr>
      <w:rPr>
        <w:rFonts w:hint="default" w:cs="Times New Roman"/>
      </w:rPr>
    </w:lvl>
    <w:lvl w:ilvl="5" w:tentative="1">
      <w:start w:val="1"/>
      <w:numFmt w:val="decimal"/>
      <w:lvlText w:val="%1.%2.%3.%4.%5.%6."/>
      <w:lvlJc w:val="left"/>
      <w:pPr>
        <w:tabs>
          <w:tab w:val="left" w:pos="1134"/>
        </w:tabs>
        <w:ind w:left="1134" w:hanging="1134"/>
      </w:pPr>
      <w:rPr>
        <w:rFonts w:hint="default" w:cs="Times New Roman"/>
      </w:rPr>
    </w:lvl>
    <w:lvl w:ilvl="6" w:tentative="1">
      <w:start w:val="1"/>
      <w:numFmt w:val="decimal"/>
      <w:lvlText w:val="%1.%2.%3.%4.%5.%6.%7."/>
      <w:lvlJc w:val="left"/>
      <w:pPr>
        <w:tabs>
          <w:tab w:val="left" w:pos="1276"/>
        </w:tabs>
        <w:ind w:left="1276" w:hanging="1276"/>
      </w:pPr>
      <w:rPr>
        <w:rFonts w:hint="default" w:cs="Times New Roman"/>
      </w:rPr>
    </w:lvl>
    <w:lvl w:ilvl="7" w:tentative="1">
      <w:start w:val="1"/>
      <w:numFmt w:val="decimal"/>
      <w:lvlText w:val="%1.%2.%3.%4.%5.%6.%7.%8."/>
      <w:lvlJc w:val="left"/>
      <w:pPr>
        <w:tabs>
          <w:tab w:val="left" w:pos="1418"/>
        </w:tabs>
        <w:ind w:left="1418" w:hanging="1418"/>
      </w:pPr>
      <w:rPr>
        <w:rFonts w:hint="default" w:cs="Times New Roman"/>
      </w:rPr>
    </w:lvl>
    <w:lvl w:ilvl="8" w:tentative="1">
      <w:start w:val="1"/>
      <w:numFmt w:val="decimal"/>
      <w:lvlText w:val="%1.%2.%3.%4.%5.%6.%7.%8.%9."/>
      <w:lvlJc w:val="left"/>
      <w:pPr>
        <w:tabs>
          <w:tab w:val="left" w:pos="1559"/>
        </w:tabs>
        <w:ind w:left="1559" w:hanging="1559"/>
      </w:pPr>
      <w:rPr>
        <w:rFonts w:hint="default" w:cs="Times New Roman"/>
      </w:r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82943692">
    <w:nsid w:val="16D341CC"/>
    <w:multiLevelType w:val="multilevel"/>
    <w:tmpl w:val="16D341CC"/>
    <w:lvl w:ilvl="0" w:tentative="1">
      <w:start w:val="1"/>
      <w:numFmt w:val="decimal"/>
      <w:lvlText w:val="URS %1"/>
      <w:lvlJc w:val="left"/>
      <w:pPr>
        <w:ind w:left="846" w:hanging="420"/>
      </w:pPr>
      <w:rPr>
        <w:rFonts w:hint="eastAsia" w:cs="Times New Roman"/>
        <w:color w:val="auto"/>
      </w:rPr>
    </w:lvl>
    <w:lvl w:ilvl="1" w:tentative="1">
      <w:start w:val="1"/>
      <w:numFmt w:val="lowerLetter"/>
      <w:lvlText w:val="%2)"/>
      <w:lvlJc w:val="left"/>
      <w:pPr>
        <w:ind w:left="1440" w:hanging="420"/>
      </w:pPr>
      <w:rPr>
        <w:rFonts w:cs="Times New Roman"/>
      </w:rPr>
    </w:lvl>
    <w:lvl w:ilvl="2" w:tentative="1">
      <w:start w:val="1"/>
      <w:numFmt w:val="lowerRoman"/>
      <w:lvlText w:val="%3."/>
      <w:lvlJc w:val="right"/>
      <w:pPr>
        <w:ind w:left="1860" w:hanging="420"/>
      </w:pPr>
      <w:rPr>
        <w:rFonts w:cs="Times New Roman"/>
      </w:rPr>
    </w:lvl>
    <w:lvl w:ilvl="3" w:tentative="1">
      <w:start w:val="1"/>
      <w:numFmt w:val="decimal"/>
      <w:lvlText w:val="%4."/>
      <w:lvlJc w:val="left"/>
      <w:pPr>
        <w:ind w:left="2280" w:hanging="420"/>
      </w:pPr>
      <w:rPr>
        <w:rFonts w:cs="Times New Roman"/>
      </w:rPr>
    </w:lvl>
    <w:lvl w:ilvl="4" w:tentative="1">
      <w:start w:val="1"/>
      <w:numFmt w:val="lowerLetter"/>
      <w:lvlText w:val="%5)"/>
      <w:lvlJc w:val="left"/>
      <w:pPr>
        <w:ind w:left="2700" w:hanging="420"/>
      </w:pPr>
      <w:rPr>
        <w:rFonts w:cs="Times New Roman"/>
      </w:rPr>
    </w:lvl>
    <w:lvl w:ilvl="5" w:tentative="1">
      <w:start w:val="1"/>
      <w:numFmt w:val="lowerRoman"/>
      <w:lvlText w:val="%6."/>
      <w:lvlJc w:val="right"/>
      <w:pPr>
        <w:ind w:left="3120" w:hanging="420"/>
      </w:pPr>
      <w:rPr>
        <w:rFonts w:cs="Times New Roman"/>
      </w:rPr>
    </w:lvl>
    <w:lvl w:ilvl="6" w:tentative="1">
      <w:start w:val="1"/>
      <w:numFmt w:val="decimal"/>
      <w:lvlText w:val="%7."/>
      <w:lvlJc w:val="left"/>
      <w:pPr>
        <w:ind w:left="3540" w:hanging="420"/>
      </w:pPr>
      <w:rPr>
        <w:rFonts w:cs="Times New Roman"/>
      </w:rPr>
    </w:lvl>
    <w:lvl w:ilvl="7" w:tentative="1">
      <w:start w:val="1"/>
      <w:numFmt w:val="lowerLetter"/>
      <w:lvlText w:val="%8)"/>
      <w:lvlJc w:val="left"/>
      <w:pPr>
        <w:ind w:left="3960" w:hanging="420"/>
      </w:pPr>
      <w:rPr>
        <w:rFonts w:cs="Times New Roman"/>
      </w:rPr>
    </w:lvl>
    <w:lvl w:ilvl="8" w:tentative="1">
      <w:start w:val="1"/>
      <w:numFmt w:val="lowerRoman"/>
      <w:lvlText w:val="%9."/>
      <w:lvlJc w:val="right"/>
      <w:pPr>
        <w:ind w:left="4380" w:hanging="420"/>
      </w:pPr>
      <w:rPr>
        <w:rFonts w:cs="Times New Roman"/>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cs="Times New Roman"/>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87781897"/>
  </w:num>
  <w:num w:numId="9">
    <w:abstractNumId w:val="839589741"/>
  </w:num>
  <w:num w:numId="10">
    <w:abstractNumId w:val="196115971"/>
  </w:num>
  <w:num w:numId="11">
    <w:abstractNumId w:val="864367579"/>
  </w:num>
  <w:num w:numId="12">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noLineBreaksAfter w:lang="zh-CN" w:val="$([{£¥·‘“〈《「『【〔〖〝﹙﹛﹝＄（．［｛￡￥"/>
  <w:noLineBreaksBefore w:lang="zh-CN" w:val="!%),.:;&gt;?]}¢¨°·ˇˉ―‖’”…‰′″›℃∶、。〃〉》」』】〕〗〞︶︺︾﹀﹄﹚﹜﹞！＂％＇），．：；？］｀｜｝～￠"/>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0311"/>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2DDC"/>
    <w:rsid w:val="000233DE"/>
    <w:rsid w:val="00023B07"/>
    <w:rsid w:val="00023CAD"/>
    <w:rsid w:val="0002457E"/>
    <w:rsid w:val="000275E7"/>
    <w:rsid w:val="000303D0"/>
    <w:rsid w:val="00031243"/>
    <w:rsid w:val="00031900"/>
    <w:rsid w:val="00035535"/>
    <w:rsid w:val="000355F3"/>
    <w:rsid w:val="00037987"/>
    <w:rsid w:val="00037F15"/>
    <w:rsid w:val="00037F55"/>
    <w:rsid w:val="000404F1"/>
    <w:rsid w:val="00041104"/>
    <w:rsid w:val="00041318"/>
    <w:rsid w:val="000419D7"/>
    <w:rsid w:val="00041A2A"/>
    <w:rsid w:val="00041D89"/>
    <w:rsid w:val="00044DFD"/>
    <w:rsid w:val="000467C2"/>
    <w:rsid w:val="00046B5E"/>
    <w:rsid w:val="00047038"/>
    <w:rsid w:val="00047BA8"/>
    <w:rsid w:val="00047CAF"/>
    <w:rsid w:val="0005299A"/>
    <w:rsid w:val="00053A4C"/>
    <w:rsid w:val="00054BB1"/>
    <w:rsid w:val="00055324"/>
    <w:rsid w:val="00055ED6"/>
    <w:rsid w:val="00056478"/>
    <w:rsid w:val="00056AE2"/>
    <w:rsid w:val="00056E9E"/>
    <w:rsid w:val="00057046"/>
    <w:rsid w:val="000576C2"/>
    <w:rsid w:val="00063572"/>
    <w:rsid w:val="00063B90"/>
    <w:rsid w:val="00064A43"/>
    <w:rsid w:val="000662D2"/>
    <w:rsid w:val="00071DD4"/>
    <w:rsid w:val="000721E9"/>
    <w:rsid w:val="00072340"/>
    <w:rsid w:val="00072945"/>
    <w:rsid w:val="00073B81"/>
    <w:rsid w:val="0007673E"/>
    <w:rsid w:val="00077AE1"/>
    <w:rsid w:val="000818AC"/>
    <w:rsid w:val="00082C13"/>
    <w:rsid w:val="00083D58"/>
    <w:rsid w:val="000844A8"/>
    <w:rsid w:val="00084F90"/>
    <w:rsid w:val="00086CA0"/>
    <w:rsid w:val="00087002"/>
    <w:rsid w:val="000872FD"/>
    <w:rsid w:val="00091715"/>
    <w:rsid w:val="00092C03"/>
    <w:rsid w:val="00096510"/>
    <w:rsid w:val="00097A7D"/>
    <w:rsid w:val="00097CA2"/>
    <w:rsid w:val="000A0E93"/>
    <w:rsid w:val="000A1D9E"/>
    <w:rsid w:val="000A2664"/>
    <w:rsid w:val="000A2C3C"/>
    <w:rsid w:val="000A41DA"/>
    <w:rsid w:val="000A55CC"/>
    <w:rsid w:val="000A5CEE"/>
    <w:rsid w:val="000A6423"/>
    <w:rsid w:val="000A6661"/>
    <w:rsid w:val="000B02ED"/>
    <w:rsid w:val="000B02FD"/>
    <w:rsid w:val="000B068C"/>
    <w:rsid w:val="000B116E"/>
    <w:rsid w:val="000B417D"/>
    <w:rsid w:val="000B45E0"/>
    <w:rsid w:val="000B4EC4"/>
    <w:rsid w:val="000B5888"/>
    <w:rsid w:val="000C0A41"/>
    <w:rsid w:val="000C0DD3"/>
    <w:rsid w:val="000C0FA5"/>
    <w:rsid w:val="000C3C81"/>
    <w:rsid w:val="000C41B6"/>
    <w:rsid w:val="000C475F"/>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6531"/>
    <w:rsid w:val="000F706D"/>
    <w:rsid w:val="000F7CA7"/>
    <w:rsid w:val="001003A8"/>
    <w:rsid w:val="00100F65"/>
    <w:rsid w:val="0010110F"/>
    <w:rsid w:val="00102DC9"/>
    <w:rsid w:val="001031DF"/>
    <w:rsid w:val="00103F05"/>
    <w:rsid w:val="00104160"/>
    <w:rsid w:val="0010503D"/>
    <w:rsid w:val="00106124"/>
    <w:rsid w:val="00106571"/>
    <w:rsid w:val="00106B5D"/>
    <w:rsid w:val="00110CF0"/>
    <w:rsid w:val="001120B7"/>
    <w:rsid w:val="0011231F"/>
    <w:rsid w:val="00112670"/>
    <w:rsid w:val="00112DD4"/>
    <w:rsid w:val="00112F30"/>
    <w:rsid w:val="00113186"/>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074"/>
    <w:rsid w:val="00182A27"/>
    <w:rsid w:val="00184DDD"/>
    <w:rsid w:val="00184FFD"/>
    <w:rsid w:val="00185449"/>
    <w:rsid w:val="00186314"/>
    <w:rsid w:val="00187B04"/>
    <w:rsid w:val="00190000"/>
    <w:rsid w:val="001929C2"/>
    <w:rsid w:val="00192B8F"/>
    <w:rsid w:val="00193D66"/>
    <w:rsid w:val="00194BB7"/>
    <w:rsid w:val="001A1DE7"/>
    <w:rsid w:val="001A3BB0"/>
    <w:rsid w:val="001A4151"/>
    <w:rsid w:val="001A4947"/>
    <w:rsid w:val="001A64C0"/>
    <w:rsid w:val="001A685F"/>
    <w:rsid w:val="001A7EB6"/>
    <w:rsid w:val="001A7FE4"/>
    <w:rsid w:val="001B0278"/>
    <w:rsid w:val="001B1659"/>
    <w:rsid w:val="001B28C8"/>
    <w:rsid w:val="001B4654"/>
    <w:rsid w:val="001C017B"/>
    <w:rsid w:val="001C239E"/>
    <w:rsid w:val="001C2D7E"/>
    <w:rsid w:val="001C7475"/>
    <w:rsid w:val="001D1FA0"/>
    <w:rsid w:val="001D32D4"/>
    <w:rsid w:val="001D3C96"/>
    <w:rsid w:val="001D4383"/>
    <w:rsid w:val="001D4742"/>
    <w:rsid w:val="001D474B"/>
    <w:rsid w:val="001D48B0"/>
    <w:rsid w:val="001D4DFC"/>
    <w:rsid w:val="001D5549"/>
    <w:rsid w:val="001D55FB"/>
    <w:rsid w:val="001E0376"/>
    <w:rsid w:val="001E13E0"/>
    <w:rsid w:val="001E1D71"/>
    <w:rsid w:val="001E2B2B"/>
    <w:rsid w:val="001E353E"/>
    <w:rsid w:val="001E3CBE"/>
    <w:rsid w:val="001E5657"/>
    <w:rsid w:val="001E5F94"/>
    <w:rsid w:val="001E6BFB"/>
    <w:rsid w:val="001E744F"/>
    <w:rsid w:val="001E79DB"/>
    <w:rsid w:val="001F065A"/>
    <w:rsid w:val="001F1FE7"/>
    <w:rsid w:val="001F25DD"/>
    <w:rsid w:val="001F3552"/>
    <w:rsid w:val="001F473D"/>
    <w:rsid w:val="001F4BFD"/>
    <w:rsid w:val="001F7405"/>
    <w:rsid w:val="001F7E95"/>
    <w:rsid w:val="0020063E"/>
    <w:rsid w:val="0020132B"/>
    <w:rsid w:val="00201487"/>
    <w:rsid w:val="002035EB"/>
    <w:rsid w:val="00203D68"/>
    <w:rsid w:val="0020539A"/>
    <w:rsid w:val="00205E00"/>
    <w:rsid w:val="00206107"/>
    <w:rsid w:val="002070B2"/>
    <w:rsid w:val="0020756B"/>
    <w:rsid w:val="00210177"/>
    <w:rsid w:val="00212297"/>
    <w:rsid w:val="002129BC"/>
    <w:rsid w:val="00212BD9"/>
    <w:rsid w:val="00213AA9"/>
    <w:rsid w:val="002168FE"/>
    <w:rsid w:val="00216D00"/>
    <w:rsid w:val="00217048"/>
    <w:rsid w:val="002174E3"/>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15FB"/>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34E6"/>
    <w:rsid w:val="002745D9"/>
    <w:rsid w:val="00274823"/>
    <w:rsid w:val="00274DFC"/>
    <w:rsid w:val="0027577D"/>
    <w:rsid w:val="00275F43"/>
    <w:rsid w:val="002810E3"/>
    <w:rsid w:val="00282EAA"/>
    <w:rsid w:val="0028384D"/>
    <w:rsid w:val="002845E4"/>
    <w:rsid w:val="0028525D"/>
    <w:rsid w:val="002860DB"/>
    <w:rsid w:val="002862E8"/>
    <w:rsid w:val="002869B9"/>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2C95"/>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0789"/>
    <w:rsid w:val="002E1D21"/>
    <w:rsid w:val="002E2798"/>
    <w:rsid w:val="002E3B36"/>
    <w:rsid w:val="002E4F75"/>
    <w:rsid w:val="002E59BF"/>
    <w:rsid w:val="002E63F6"/>
    <w:rsid w:val="002E69A1"/>
    <w:rsid w:val="002F1C5E"/>
    <w:rsid w:val="002F1D63"/>
    <w:rsid w:val="002F2B48"/>
    <w:rsid w:val="002F340E"/>
    <w:rsid w:val="002F4392"/>
    <w:rsid w:val="002F4641"/>
    <w:rsid w:val="002F4B22"/>
    <w:rsid w:val="002F5F64"/>
    <w:rsid w:val="002F61D2"/>
    <w:rsid w:val="00302176"/>
    <w:rsid w:val="00302AF8"/>
    <w:rsid w:val="003030A1"/>
    <w:rsid w:val="00303D24"/>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27532"/>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4F65"/>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2C5A"/>
    <w:rsid w:val="00393529"/>
    <w:rsid w:val="00393B6A"/>
    <w:rsid w:val="003946C3"/>
    <w:rsid w:val="00395CE1"/>
    <w:rsid w:val="00395D47"/>
    <w:rsid w:val="00396425"/>
    <w:rsid w:val="00396CE3"/>
    <w:rsid w:val="003970BE"/>
    <w:rsid w:val="00397C18"/>
    <w:rsid w:val="003A04A8"/>
    <w:rsid w:val="003A1311"/>
    <w:rsid w:val="003A2EC5"/>
    <w:rsid w:val="003A38BC"/>
    <w:rsid w:val="003A3AAC"/>
    <w:rsid w:val="003A4CAE"/>
    <w:rsid w:val="003A6DFE"/>
    <w:rsid w:val="003A6FCD"/>
    <w:rsid w:val="003B096A"/>
    <w:rsid w:val="003B0B6A"/>
    <w:rsid w:val="003B1FF2"/>
    <w:rsid w:val="003B2104"/>
    <w:rsid w:val="003B2160"/>
    <w:rsid w:val="003B354C"/>
    <w:rsid w:val="003B355B"/>
    <w:rsid w:val="003B4A5D"/>
    <w:rsid w:val="003B5047"/>
    <w:rsid w:val="003B6A6F"/>
    <w:rsid w:val="003B6E29"/>
    <w:rsid w:val="003B73AB"/>
    <w:rsid w:val="003C02C6"/>
    <w:rsid w:val="003C03D7"/>
    <w:rsid w:val="003C0712"/>
    <w:rsid w:val="003C0A88"/>
    <w:rsid w:val="003C5198"/>
    <w:rsid w:val="003C558E"/>
    <w:rsid w:val="003C6ECF"/>
    <w:rsid w:val="003C73BC"/>
    <w:rsid w:val="003D2243"/>
    <w:rsid w:val="003D3C09"/>
    <w:rsid w:val="003D464A"/>
    <w:rsid w:val="003D4EFF"/>
    <w:rsid w:val="003D5F4A"/>
    <w:rsid w:val="003D662C"/>
    <w:rsid w:val="003D77E5"/>
    <w:rsid w:val="003E205E"/>
    <w:rsid w:val="003E49F8"/>
    <w:rsid w:val="003E5109"/>
    <w:rsid w:val="003E60EE"/>
    <w:rsid w:val="003E6B48"/>
    <w:rsid w:val="003E748F"/>
    <w:rsid w:val="003F3F47"/>
    <w:rsid w:val="003F6E0C"/>
    <w:rsid w:val="004003A8"/>
    <w:rsid w:val="00400A96"/>
    <w:rsid w:val="0040240E"/>
    <w:rsid w:val="00402756"/>
    <w:rsid w:val="004058B0"/>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29A2"/>
    <w:rsid w:val="00436C7C"/>
    <w:rsid w:val="00437440"/>
    <w:rsid w:val="00440378"/>
    <w:rsid w:val="00442B53"/>
    <w:rsid w:val="00442B86"/>
    <w:rsid w:val="00443256"/>
    <w:rsid w:val="00444D2D"/>
    <w:rsid w:val="00445767"/>
    <w:rsid w:val="004510B1"/>
    <w:rsid w:val="00451C5D"/>
    <w:rsid w:val="00451D74"/>
    <w:rsid w:val="00452E73"/>
    <w:rsid w:val="004541F3"/>
    <w:rsid w:val="004565EF"/>
    <w:rsid w:val="00457A6D"/>
    <w:rsid w:val="00457FA3"/>
    <w:rsid w:val="00457FF9"/>
    <w:rsid w:val="004601ED"/>
    <w:rsid w:val="00460711"/>
    <w:rsid w:val="0046108B"/>
    <w:rsid w:val="00467AE6"/>
    <w:rsid w:val="00467EC9"/>
    <w:rsid w:val="00476DA7"/>
    <w:rsid w:val="00477791"/>
    <w:rsid w:val="00480286"/>
    <w:rsid w:val="00480C3B"/>
    <w:rsid w:val="00480FE3"/>
    <w:rsid w:val="00481C94"/>
    <w:rsid w:val="00484A8D"/>
    <w:rsid w:val="00485977"/>
    <w:rsid w:val="00486A4E"/>
    <w:rsid w:val="00486B09"/>
    <w:rsid w:val="00491225"/>
    <w:rsid w:val="0049139F"/>
    <w:rsid w:val="00493743"/>
    <w:rsid w:val="004937C7"/>
    <w:rsid w:val="00494F07"/>
    <w:rsid w:val="00496116"/>
    <w:rsid w:val="004965A0"/>
    <w:rsid w:val="00497335"/>
    <w:rsid w:val="004A05A7"/>
    <w:rsid w:val="004A3F98"/>
    <w:rsid w:val="004A5532"/>
    <w:rsid w:val="004A5958"/>
    <w:rsid w:val="004A76DF"/>
    <w:rsid w:val="004B067C"/>
    <w:rsid w:val="004B0A75"/>
    <w:rsid w:val="004B2190"/>
    <w:rsid w:val="004B696A"/>
    <w:rsid w:val="004B69B2"/>
    <w:rsid w:val="004B7507"/>
    <w:rsid w:val="004B7DC4"/>
    <w:rsid w:val="004B7F85"/>
    <w:rsid w:val="004C099B"/>
    <w:rsid w:val="004C0CFC"/>
    <w:rsid w:val="004C42AE"/>
    <w:rsid w:val="004C49B0"/>
    <w:rsid w:val="004C4F53"/>
    <w:rsid w:val="004C4F7F"/>
    <w:rsid w:val="004C592E"/>
    <w:rsid w:val="004D050F"/>
    <w:rsid w:val="004D0E3A"/>
    <w:rsid w:val="004D1A73"/>
    <w:rsid w:val="004D360D"/>
    <w:rsid w:val="004D48C2"/>
    <w:rsid w:val="004D67B1"/>
    <w:rsid w:val="004D7128"/>
    <w:rsid w:val="004D751D"/>
    <w:rsid w:val="004E05C2"/>
    <w:rsid w:val="004E0B02"/>
    <w:rsid w:val="004E0C0D"/>
    <w:rsid w:val="004E1C74"/>
    <w:rsid w:val="004E255F"/>
    <w:rsid w:val="004E2CC7"/>
    <w:rsid w:val="004E4C2D"/>
    <w:rsid w:val="004F0539"/>
    <w:rsid w:val="004F10A4"/>
    <w:rsid w:val="004F342E"/>
    <w:rsid w:val="004F469C"/>
    <w:rsid w:val="004F4C63"/>
    <w:rsid w:val="004F5AE6"/>
    <w:rsid w:val="004F5C19"/>
    <w:rsid w:val="004F7167"/>
    <w:rsid w:val="004F7B6A"/>
    <w:rsid w:val="004F7ECC"/>
    <w:rsid w:val="0050090F"/>
    <w:rsid w:val="0050208D"/>
    <w:rsid w:val="0050284B"/>
    <w:rsid w:val="00502F99"/>
    <w:rsid w:val="00504B71"/>
    <w:rsid w:val="00507991"/>
    <w:rsid w:val="00507C94"/>
    <w:rsid w:val="00507EB2"/>
    <w:rsid w:val="00510111"/>
    <w:rsid w:val="00511AB4"/>
    <w:rsid w:val="00512690"/>
    <w:rsid w:val="00512A4E"/>
    <w:rsid w:val="00514EA4"/>
    <w:rsid w:val="00514FD3"/>
    <w:rsid w:val="00516BB4"/>
    <w:rsid w:val="00517A5D"/>
    <w:rsid w:val="00517E1E"/>
    <w:rsid w:val="005217E8"/>
    <w:rsid w:val="005220FE"/>
    <w:rsid w:val="005247DE"/>
    <w:rsid w:val="00525C58"/>
    <w:rsid w:val="00527A49"/>
    <w:rsid w:val="00530B8F"/>
    <w:rsid w:val="00531434"/>
    <w:rsid w:val="00531754"/>
    <w:rsid w:val="00534840"/>
    <w:rsid w:val="00534D08"/>
    <w:rsid w:val="00535984"/>
    <w:rsid w:val="00536973"/>
    <w:rsid w:val="00536C6B"/>
    <w:rsid w:val="005424BC"/>
    <w:rsid w:val="00544652"/>
    <w:rsid w:val="0054625B"/>
    <w:rsid w:val="00551539"/>
    <w:rsid w:val="00551A74"/>
    <w:rsid w:val="00552EFE"/>
    <w:rsid w:val="00554ABB"/>
    <w:rsid w:val="0055552D"/>
    <w:rsid w:val="00555668"/>
    <w:rsid w:val="0055679E"/>
    <w:rsid w:val="0056090D"/>
    <w:rsid w:val="00561E9C"/>
    <w:rsid w:val="00563972"/>
    <w:rsid w:val="00564533"/>
    <w:rsid w:val="00565C7A"/>
    <w:rsid w:val="00567E14"/>
    <w:rsid w:val="005705A7"/>
    <w:rsid w:val="005705C6"/>
    <w:rsid w:val="005712E0"/>
    <w:rsid w:val="0057277E"/>
    <w:rsid w:val="00572F0E"/>
    <w:rsid w:val="00574095"/>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814"/>
    <w:rsid w:val="00597FCC"/>
    <w:rsid w:val="005A132A"/>
    <w:rsid w:val="005A3067"/>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6E32"/>
    <w:rsid w:val="00607170"/>
    <w:rsid w:val="00607408"/>
    <w:rsid w:val="00610AEE"/>
    <w:rsid w:val="00610EE9"/>
    <w:rsid w:val="006111B2"/>
    <w:rsid w:val="00616BAC"/>
    <w:rsid w:val="00620598"/>
    <w:rsid w:val="00620FEC"/>
    <w:rsid w:val="006214DC"/>
    <w:rsid w:val="006215E2"/>
    <w:rsid w:val="0062168F"/>
    <w:rsid w:val="006221A2"/>
    <w:rsid w:val="00625A0E"/>
    <w:rsid w:val="00627113"/>
    <w:rsid w:val="00627B8B"/>
    <w:rsid w:val="00627E72"/>
    <w:rsid w:val="0063106D"/>
    <w:rsid w:val="006312FF"/>
    <w:rsid w:val="00632136"/>
    <w:rsid w:val="006324C1"/>
    <w:rsid w:val="00632C67"/>
    <w:rsid w:val="006331B6"/>
    <w:rsid w:val="00633310"/>
    <w:rsid w:val="00633315"/>
    <w:rsid w:val="0063397D"/>
    <w:rsid w:val="00635E2B"/>
    <w:rsid w:val="006366CC"/>
    <w:rsid w:val="00637C16"/>
    <w:rsid w:val="0064048E"/>
    <w:rsid w:val="00641320"/>
    <w:rsid w:val="00641E74"/>
    <w:rsid w:val="006434E3"/>
    <w:rsid w:val="0064366A"/>
    <w:rsid w:val="00645188"/>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6249"/>
    <w:rsid w:val="00667045"/>
    <w:rsid w:val="00670A00"/>
    <w:rsid w:val="00670C23"/>
    <w:rsid w:val="00671B3F"/>
    <w:rsid w:val="00672B86"/>
    <w:rsid w:val="00673031"/>
    <w:rsid w:val="00673EB3"/>
    <w:rsid w:val="00680BE8"/>
    <w:rsid w:val="006853C1"/>
    <w:rsid w:val="00686409"/>
    <w:rsid w:val="00686D19"/>
    <w:rsid w:val="0068777F"/>
    <w:rsid w:val="00693018"/>
    <w:rsid w:val="00693CFB"/>
    <w:rsid w:val="006A0059"/>
    <w:rsid w:val="006A4E99"/>
    <w:rsid w:val="006A7425"/>
    <w:rsid w:val="006B058A"/>
    <w:rsid w:val="006B1299"/>
    <w:rsid w:val="006B26D9"/>
    <w:rsid w:val="006B28C8"/>
    <w:rsid w:val="006B310C"/>
    <w:rsid w:val="006B664C"/>
    <w:rsid w:val="006B77C6"/>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6F6671"/>
    <w:rsid w:val="006F7AE5"/>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27E6"/>
    <w:rsid w:val="00723A0F"/>
    <w:rsid w:val="00726CB6"/>
    <w:rsid w:val="00727255"/>
    <w:rsid w:val="0072779B"/>
    <w:rsid w:val="00727CCF"/>
    <w:rsid w:val="0073101E"/>
    <w:rsid w:val="0073446D"/>
    <w:rsid w:val="007349FF"/>
    <w:rsid w:val="00734B45"/>
    <w:rsid w:val="00736FFB"/>
    <w:rsid w:val="00740080"/>
    <w:rsid w:val="00741443"/>
    <w:rsid w:val="00741A30"/>
    <w:rsid w:val="00743C0D"/>
    <w:rsid w:val="007504DC"/>
    <w:rsid w:val="0075142F"/>
    <w:rsid w:val="00751965"/>
    <w:rsid w:val="007524EF"/>
    <w:rsid w:val="00752689"/>
    <w:rsid w:val="00755309"/>
    <w:rsid w:val="00756C4D"/>
    <w:rsid w:val="00756D1D"/>
    <w:rsid w:val="00757C5D"/>
    <w:rsid w:val="00760886"/>
    <w:rsid w:val="007615CA"/>
    <w:rsid w:val="00761ADD"/>
    <w:rsid w:val="00762B3A"/>
    <w:rsid w:val="00765B9A"/>
    <w:rsid w:val="00765D6E"/>
    <w:rsid w:val="00765D7E"/>
    <w:rsid w:val="007674B6"/>
    <w:rsid w:val="00770E90"/>
    <w:rsid w:val="00772C42"/>
    <w:rsid w:val="0077302F"/>
    <w:rsid w:val="00773661"/>
    <w:rsid w:val="00774A61"/>
    <w:rsid w:val="00774CCA"/>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012"/>
    <w:rsid w:val="007B33CC"/>
    <w:rsid w:val="007B4133"/>
    <w:rsid w:val="007B49F4"/>
    <w:rsid w:val="007B7021"/>
    <w:rsid w:val="007B7AB4"/>
    <w:rsid w:val="007C2405"/>
    <w:rsid w:val="007C2A54"/>
    <w:rsid w:val="007C2B69"/>
    <w:rsid w:val="007C2DC1"/>
    <w:rsid w:val="007C3B05"/>
    <w:rsid w:val="007C3D25"/>
    <w:rsid w:val="007C4998"/>
    <w:rsid w:val="007C668F"/>
    <w:rsid w:val="007C723F"/>
    <w:rsid w:val="007C778D"/>
    <w:rsid w:val="007D07D6"/>
    <w:rsid w:val="007D0C6A"/>
    <w:rsid w:val="007D18A6"/>
    <w:rsid w:val="007D1CA0"/>
    <w:rsid w:val="007D2DF5"/>
    <w:rsid w:val="007D4994"/>
    <w:rsid w:val="007D4BB3"/>
    <w:rsid w:val="007D4F6E"/>
    <w:rsid w:val="007D5ECD"/>
    <w:rsid w:val="007D61CA"/>
    <w:rsid w:val="007D6DCF"/>
    <w:rsid w:val="007D6F0D"/>
    <w:rsid w:val="007D7963"/>
    <w:rsid w:val="007E1DC9"/>
    <w:rsid w:val="007E3532"/>
    <w:rsid w:val="007E444E"/>
    <w:rsid w:val="007E5FE3"/>
    <w:rsid w:val="007E64DF"/>
    <w:rsid w:val="007E657D"/>
    <w:rsid w:val="007E7119"/>
    <w:rsid w:val="007E71BB"/>
    <w:rsid w:val="007E7B90"/>
    <w:rsid w:val="007E7C13"/>
    <w:rsid w:val="007F0E29"/>
    <w:rsid w:val="007F2464"/>
    <w:rsid w:val="007F450B"/>
    <w:rsid w:val="007F4A64"/>
    <w:rsid w:val="007F4ADE"/>
    <w:rsid w:val="007F5A5A"/>
    <w:rsid w:val="007F5EDC"/>
    <w:rsid w:val="00800AFD"/>
    <w:rsid w:val="00800C1B"/>
    <w:rsid w:val="0080239D"/>
    <w:rsid w:val="008034FB"/>
    <w:rsid w:val="00803CF3"/>
    <w:rsid w:val="00806EAB"/>
    <w:rsid w:val="00810E52"/>
    <w:rsid w:val="00811CA7"/>
    <w:rsid w:val="0081636E"/>
    <w:rsid w:val="008168DA"/>
    <w:rsid w:val="0082112E"/>
    <w:rsid w:val="00822F2B"/>
    <w:rsid w:val="00823D9A"/>
    <w:rsid w:val="00827EA4"/>
    <w:rsid w:val="008301D6"/>
    <w:rsid w:val="008305B7"/>
    <w:rsid w:val="00830C78"/>
    <w:rsid w:val="00830FB9"/>
    <w:rsid w:val="00834968"/>
    <w:rsid w:val="00834B53"/>
    <w:rsid w:val="00840298"/>
    <w:rsid w:val="00841BE4"/>
    <w:rsid w:val="00844060"/>
    <w:rsid w:val="00845A53"/>
    <w:rsid w:val="00847E8C"/>
    <w:rsid w:val="00847FDB"/>
    <w:rsid w:val="008505E1"/>
    <w:rsid w:val="00850B19"/>
    <w:rsid w:val="00852488"/>
    <w:rsid w:val="0085405E"/>
    <w:rsid w:val="00855E7C"/>
    <w:rsid w:val="008571DD"/>
    <w:rsid w:val="0085772E"/>
    <w:rsid w:val="00860344"/>
    <w:rsid w:val="00860E2C"/>
    <w:rsid w:val="00864BC6"/>
    <w:rsid w:val="00865EE6"/>
    <w:rsid w:val="008661B7"/>
    <w:rsid w:val="00870D23"/>
    <w:rsid w:val="00872B72"/>
    <w:rsid w:val="00873022"/>
    <w:rsid w:val="00876468"/>
    <w:rsid w:val="008767E1"/>
    <w:rsid w:val="00876CC7"/>
    <w:rsid w:val="008823E4"/>
    <w:rsid w:val="008837C4"/>
    <w:rsid w:val="00883C17"/>
    <w:rsid w:val="008849F3"/>
    <w:rsid w:val="00884E78"/>
    <w:rsid w:val="0088673B"/>
    <w:rsid w:val="00887265"/>
    <w:rsid w:val="00887500"/>
    <w:rsid w:val="00887575"/>
    <w:rsid w:val="008905AD"/>
    <w:rsid w:val="00891CCB"/>
    <w:rsid w:val="008920F2"/>
    <w:rsid w:val="0089348A"/>
    <w:rsid w:val="00894E9F"/>
    <w:rsid w:val="00895424"/>
    <w:rsid w:val="00896CEC"/>
    <w:rsid w:val="008A06BC"/>
    <w:rsid w:val="008A0A03"/>
    <w:rsid w:val="008A0AA3"/>
    <w:rsid w:val="008A0EAA"/>
    <w:rsid w:val="008A149F"/>
    <w:rsid w:val="008A19FD"/>
    <w:rsid w:val="008A1A25"/>
    <w:rsid w:val="008A4E05"/>
    <w:rsid w:val="008A56DB"/>
    <w:rsid w:val="008A6CFC"/>
    <w:rsid w:val="008B2125"/>
    <w:rsid w:val="008B25D4"/>
    <w:rsid w:val="008B38E5"/>
    <w:rsid w:val="008B5267"/>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1486"/>
    <w:rsid w:val="008D2BAE"/>
    <w:rsid w:val="008D2C9E"/>
    <w:rsid w:val="008D41F5"/>
    <w:rsid w:val="008D521F"/>
    <w:rsid w:val="008D5C06"/>
    <w:rsid w:val="008D6227"/>
    <w:rsid w:val="008D7A8B"/>
    <w:rsid w:val="008E41D3"/>
    <w:rsid w:val="008E43F1"/>
    <w:rsid w:val="008E594F"/>
    <w:rsid w:val="008E7312"/>
    <w:rsid w:val="008E745A"/>
    <w:rsid w:val="008F297F"/>
    <w:rsid w:val="008F447E"/>
    <w:rsid w:val="00904BA9"/>
    <w:rsid w:val="00904E7E"/>
    <w:rsid w:val="0091086B"/>
    <w:rsid w:val="00911129"/>
    <w:rsid w:val="00912EA3"/>
    <w:rsid w:val="00914B6E"/>
    <w:rsid w:val="009156A2"/>
    <w:rsid w:val="0091579A"/>
    <w:rsid w:val="0091615D"/>
    <w:rsid w:val="00916215"/>
    <w:rsid w:val="00917314"/>
    <w:rsid w:val="00923F7E"/>
    <w:rsid w:val="009243BA"/>
    <w:rsid w:val="00924C96"/>
    <w:rsid w:val="00925030"/>
    <w:rsid w:val="00925B32"/>
    <w:rsid w:val="00930A64"/>
    <w:rsid w:val="00930BE5"/>
    <w:rsid w:val="00931403"/>
    <w:rsid w:val="00934991"/>
    <w:rsid w:val="009351A7"/>
    <w:rsid w:val="009418EB"/>
    <w:rsid w:val="009426B9"/>
    <w:rsid w:val="009430F9"/>
    <w:rsid w:val="00944E85"/>
    <w:rsid w:val="0094634C"/>
    <w:rsid w:val="009463AB"/>
    <w:rsid w:val="00950239"/>
    <w:rsid w:val="00950332"/>
    <w:rsid w:val="00950608"/>
    <w:rsid w:val="00955899"/>
    <w:rsid w:val="00955A03"/>
    <w:rsid w:val="00957A28"/>
    <w:rsid w:val="0096203D"/>
    <w:rsid w:val="0096224A"/>
    <w:rsid w:val="00963289"/>
    <w:rsid w:val="00964A78"/>
    <w:rsid w:val="009656B4"/>
    <w:rsid w:val="00966CA0"/>
    <w:rsid w:val="00966D74"/>
    <w:rsid w:val="00967F9D"/>
    <w:rsid w:val="00970275"/>
    <w:rsid w:val="00970ABF"/>
    <w:rsid w:val="009710E2"/>
    <w:rsid w:val="009711C5"/>
    <w:rsid w:val="00972E9C"/>
    <w:rsid w:val="00973892"/>
    <w:rsid w:val="0097391E"/>
    <w:rsid w:val="00973DF3"/>
    <w:rsid w:val="009742DA"/>
    <w:rsid w:val="009743BE"/>
    <w:rsid w:val="009753A0"/>
    <w:rsid w:val="00977437"/>
    <w:rsid w:val="00977C89"/>
    <w:rsid w:val="00980AB3"/>
    <w:rsid w:val="0098108B"/>
    <w:rsid w:val="00982BA0"/>
    <w:rsid w:val="009848CB"/>
    <w:rsid w:val="00984D10"/>
    <w:rsid w:val="0098600B"/>
    <w:rsid w:val="009861C1"/>
    <w:rsid w:val="00987177"/>
    <w:rsid w:val="00987F11"/>
    <w:rsid w:val="0099128D"/>
    <w:rsid w:val="009917F1"/>
    <w:rsid w:val="00991E37"/>
    <w:rsid w:val="00991E74"/>
    <w:rsid w:val="009926A6"/>
    <w:rsid w:val="0099415E"/>
    <w:rsid w:val="009948BF"/>
    <w:rsid w:val="00994D90"/>
    <w:rsid w:val="00997844"/>
    <w:rsid w:val="009978C2"/>
    <w:rsid w:val="009A345F"/>
    <w:rsid w:val="009A4AE5"/>
    <w:rsid w:val="009A5218"/>
    <w:rsid w:val="009A6806"/>
    <w:rsid w:val="009B1717"/>
    <w:rsid w:val="009B22D2"/>
    <w:rsid w:val="009B2839"/>
    <w:rsid w:val="009B4C17"/>
    <w:rsid w:val="009B5BF6"/>
    <w:rsid w:val="009C1C79"/>
    <w:rsid w:val="009C2424"/>
    <w:rsid w:val="009C30D1"/>
    <w:rsid w:val="009C339C"/>
    <w:rsid w:val="009C33B8"/>
    <w:rsid w:val="009D07A0"/>
    <w:rsid w:val="009D107D"/>
    <w:rsid w:val="009D1871"/>
    <w:rsid w:val="009D2672"/>
    <w:rsid w:val="009D2985"/>
    <w:rsid w:val="009D3033"/>
    <w:rsid w:val="009D3E65"/>
    <w:rsid w:val="009D5770"/>
    <w:rsid w:val="009D6365"/>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16B18"/>
    <w:rsid w:val="00A21225"/>
    <w:rsid w:val="00A2139C"/>
    <w:rsid w:val="00A218F9"/>
    <w:rsid w:val="00A21E37"/>
    <w:rsid w:val="00A23314"/>
    <w:rsid w:val="00A235BB"/>
    <w:rsid w:val="00A23F10"/>
    <w:rsid w:val="00A23F72"/>
    <w:rsid w:val="00A24F2D"/>
    <w:rsid w:val="00A26AB8"/>
    <w:rsid w:val="00A3180E"/>
    <w:rsid w:val="00A322BF"/>
    <w:rsid w:val="00A3373F"/>
    <w:rsid w:val="00A33F51"/>
    <w:rsid w:val="00A349DF"/>
    <w:rsid w:val="00A3680D"/>
    <w:rsid w:val="00A40311"/>
    <w:rsid w:val="00A41032"/>
    <w:rsid w:val="00A4106C"/>
    <w:rsid w:val="00A41AC8"/>
    <w:rsid w:val="00A428E7"/>
    <w:rsid w:val="00A43E49"/>
    <w:rsid w:val="00A44018"/>
    <w:rsid w:val="00A45DE9"/>
    <w:rsid w:val="00A47471"/>
    <w:rsid w:val="00A47A1E"/>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20C"/>
    <w:rsid w:val="00A66342"/>
    <w:rsid w:val="00A665C8"/>
    <w:rsid w:val="00A6749E"/>
    <w:rsid w:val="00A67AD5"/>
    <w:rsid w:val="00A70D88"/>
    <w:rsid w:val="00A71142"/>
    <w:rsid w:val="00A72895"/>
    <w:rsid w:val="00A74589"/>
    <w:rsid w:val="00A74E1B"/>
    <w:rsid w:val="00A7513A"/>
    <w:rsid w:val="00A75AC9"/>
    <w:rsid w:val="00A75B25"/>
    <w:rsid w:val="00A76AEE"/>
    <w:rsid w:val="00A801B4"/>
    <w:rsid w:val="00A82075"/>
    <w:rsid w:val="00A82192"/>
    <w:rsid w:val="00A857AB"/>
    <w:rsid w:val="00A85B41"/>
    <w:rsid w:val="00A90009"/>
    <w:rsid w:val="00A91899"/>
    <w:rsid w:val="00A927A4"/>
    <w:rsid w:val="00A94CC0"/>
    <w:rsid w:val="00A9534A"/>
    <w:rsid w:val="00A957FA"/>
    <w:rsid w:val="00A967ED"/>
    <w:rsid w:val="00A968DC"/>
    <w:rsid w:val="00A977BA"/>
    <w:rsid w:val="00AA0CDE"/>
    <w:rsid w:val="00AA1A89"/>
    <w:rsid w:val="00AA346E"/>
    <w:rsid w:val="00AA3770"/>
    <w:rsid w:val="00AA3CFA"/>
    <w:rsid w:val="00AA41C3"/>
    <w:rsid w:val="00AA423C"/>
    <w:rsid w:val="00AA53E2"/>
    <w:rsid w:val="00AA73FD"/>
    <w:rsid w:val="00AB0ACA"/>
    <w:rsid w:val="00AB1BFC"/>
    <w:rsid w:val="00AB2F87"/>
    <w:rsid w:val="00AB32C3"/>
    <w:rsid w:val="00AB5E2B"/>
    <w:rsid w:val="00AB6069"/>
    <w:rsid w:val="00AB6467"/>
    <w:rsid w:val="00AC0575"/>
    <w:rsid w:val="00AC0758"/>
    <w:rsid w:val="00AC0934"/>
    <w:rsid w:val="00AC1751"/>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26DC"/>
    <w:rsid w:val="00AF281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16D8"/>
    <w:rsid w:val="00B24F44"/>
    <w:rsid w:val="00B25428"/>
    <w:rsid w:val="00B255BB"/>
    <w:rsid w:val="00B25E24"/>
    <w:rsid w:val="00B2609A"/>
    <w:rsid w:val="00B26B9E"/>
    <w:rsid w:val="00B301B1"/>
    <w:rsid w:val="00B323A5"/>
    <w:rsid w:val="00B353E7"/>
    <w:rsid w:val="00B35759"/>
    <w:rsid w:val="00B3619A"/>
    <w:rsid w:val="00B365B7"/>
    <w:rsid w:val="00B40BCA"/>
    <w:rsid w:val="00B4308D"/>
    <w:rsid w:val="00B440DA"/>
    <w:rsid w:val="00B4415A"/>
    <w:rsid w:val="00B503CD"/>
    <w:rsid w:val="00B517EE"/>
    <w:rsid w:val="00B548AB"/>
    <w:rsid w:val="00B54BBE"/>
    <w:rsid w:val="00B553F8"/>
    <w:rsid w:val="00B560B6"/>
    <w:rsid w:val="00B5630E"/>
    <w:rsid w:val="00B56C61"/>
    <w:rsid w:val="00B622E7"/>
    <w:rsid w:val="00B62FB6"/>
    <w:rsid w:val="00B635BF"/>
    <w:rsid w:val="00B7050A"/>
    <w:rsid w:val="00B70904"/>
    <w:rsid w:val="00B70A42"/>
    <w:rsid w:val="00B74791"/>
    <w:rsid w:val="00B76AF9"/>
    <w:rsid w:val="00B8115B"/>
    <w:rsid w:val="00B81AE2"/>
    <w:rsid w:val="00B82D30"/>
    <w:rsid w:val="00B873FE"/>
    <w:rsid w:val="00B87F62"/>
    <w:rsid w:val="00B914A4"/>
    <w:rsid w:val="00B92497"/>
    <w:rsid w:val="00B92D41"/>
    <w:rsid w:val="00B93679"/>
    <w:rsid w:val="00B9422D"/>
    <w:rsid w:val="00B95A1D"/>
    <w:rsid w:val="00B961D4"/>
    <w:rsid w:val="00B9634B"/>
    <w:rsid w:val="00BA0F2A"/>
    <w:rsid w:val="00BA5072"/>
    <w:rsid w:val="00BA5B65"/>
    <w:rsid w:val="00BA7BFE"/>
    <w:rsid w:val="00BB0ECA"/>
    <w:rsid w:val="00BB246B"/>
    <w:rsid w:val="00BB4F49"/>
    <w:rsid w:val="00BB5EFD"/>
    <w:rsid w:val="00BB60F7"/>
    <w:rsid w:val="00BB6B2D"/>
    <w:rsid w:val="00BB7375"/>
    <w:rsid w:val="00BC0500"/>
    <w:rsid w:val="00BC44F5"/>
    <w:rsid w:val="00BC500B"/>
    <w:rsid w:val="00BC547C"/>
    <w:rsid w:val="00BC6B29"/>
    <w:rsid w:val="00BC798C"/>
    <w:rsid w:val="00BC7D11"/>
    <w:rsid w:val="00BD00FD"/>
    <w:rsid w:val="00BD109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28C"/>
    <w:rsid w:val="00BF4344"/>
    <w:rsid w:val="00BF6970"/>
    <w:rsid w:val="00BF69C6"/>
    <w:rsid w:val="00C005D8"/>
    <w:rsid w:val="00C02F31"/>
    <w:rsid w:val="00C04DA5"/>
    <w:rsid w:val="00C050FC"/>
    <w:rsid w:val="00C05D40"/>
    <w:rsid w:val="00C11905"/>
    <w:rsid w:val="00C14462"/>
    <w:rsid w:val="00C16542"/>
    <w:rsid w:val="00C22382"/>
    <w:rsid w:val="00C2355B"/>
    <w:rsid w:val="00C272B1"/>
    <w:rsid w:val="00C274A6"/>
    <w:rsid w:val="00C312DB"/>
    <w:rsid w:val="00C32C50"/>
    <w:rsid w:val="00C33D76"/>
    <w:rsid w:val="00C34201"/>
    <w:rsid w:val="00C35A38"/>
    <w:rsid w:val="00C35EC9"/>
    <w:rsid w:val="00C36807"/>
    <w:rsid w:val="00C37392"/>
    <w:rsid w:val="00C379B4"/>
    <w:rsid w:val="00C41545"/>
    <w:rsid w:val="00C4209D"/>
    <w:rsid w:val="00C432B3"/>
    <w:rsid w:val="00C4771E"/>
    <w:rsid w:val="00C47D15"/>
    <w:rsid w:val="00C50279"/>
    <w:rsid w:val="00C505EC"/>
    <w:rsid w:val="00C51489"/>
    <w:rsid w:val="00C5165A"/>
    <w:rsid w:val="00C52841"/>
    <w:rsid w:val="00C5489E"/>
    <w:rsid w:val="00C54FC6"/>
    <w:rsid w:val="00C56F88"/>
    <w:rsid w:val="00C57B7E"/>
    <w:rsid w:val="00C60217"/>
    <w:rsid w:val="00C6599F"/>
    <w:rsid w:val="00C66D15"/>
    <w:rsid w:val="00C671D0"/>
    <w:rsid w:val="00C70449"/>
    <w:rsid w:val="00C7071B"/>
    <w:rsid w:val="00C73904"/>
    <w:rsid w:val="00C73BAE"/>
    <w:rsid w:val="00C73F7B"/>
    <w:rsid w:val="00C74055"/>
    <w:rsid w:val="00C7421D"/>
    <w:rsid w:val="00C7525E"/>
    <w:rsid w:val="00C76481"/>
    <w:rsid w:val="00C76812"/>
    <w:rsid w:val="00C83D88"/>
    <w:rsid w:val="00C84961"/>
    <w:rsid w:val="00C84B06"/>
    <w:rsid w:val="00C87100"/>
    <w:rsid w:val="00C8740B"/>
    <w:rsid w:val="00C87CAC"/>
    <w:rsid w:val="00C913A1"/>
    <w:rsid w:val="00C950D6"/>
    <w:rsid w:val="00C960FA"/>
    <w:rsid w:val="00C97646"/>
    <w:rsid w:val="00C97672"/>
    <w:rsid w:val="00CA0E81"/>
    <w:rsid w:val="00CA2AE0"/>
    <w:rsid w:val="00CA55BD"/>
    <w:rsid w:val="00CA7073"/>
    <w:rsid w:val="00CB0837"/>
    <w:rsid w:val="00CB2BFA"/>
    <w:rsid w:val="00CB3888"/>
    <w:rsid w:val="00CB3CDB"/>
    <w:rsid w:val="00CB400E"/>
    <w:rsid w:val="00CB48F6"/>
    <w:rsid w:val="00CB5F04"/>
    <w:rsid w:val="00CB67F1"/>
    <w:rsid w:val="00CB7DC8"/>
    <w:rsid w:val="00CC0B24"/>
    <w:rsid w:val="00CC0EC0"/>
    <w:rsid w:val="00CC1E2B"/>
    <w:rsid w:val="00CC34DB"/>
    <w:rsid w:val="00CC51AC"/>
    <w:rsid w:val="00CC609D"/>
    <w:rsid w:val="00CC7044"/>
    <w:rsid w:val="00CD11FF"/>
    <w:rsid w:val="00CD15E7"/>
    <w:rsid w:val="00CD3B94"/>
    <w:rsid w:val="00CD58BD"/>
    <w:rsid w:val="00CE07A9"/>
    <w:rsid w:val="00CE1012"/>
    <w:rsid w:val="00CE419E"/>
    <w:rsid w:val="00CE426D"/>
    <w:rsid w:val="00CE5011"/>
    <w:rsid w:val="00CE574A"/>
    <w:rsid w:val="00CE5DC5"/>
    <w:rsid w:val="00CE629E"/>
    <w:rsid w:val="00CE66CE"/>
    <w:rsid w:val="00CE77AA"/>
    <w:rsid w:val="00CE7B59"/>
    <w:rsid w:val="00CF2B9F"/>
    <w:rsid w:val="00CF352C"/>
    <w:rsid w:val="00CF4570"/>
    <w:rsid w:val="00CF58EE"/>
    <w:rsid w:val="00D00811"/>
    <w:rsid w:val="00D02A43"/>
    <w:rsid w:val="00D04518"/>
    <w:rsid w:val="00D05489"/>
    <w:rsid w:val="00D05CA1"/>
    <w:rsid w:val="00D061CB"/>
    <w:rsid w:val="00D0796C"/>
    <w:rsid w:val="00D07B7D"/>
    <w:rsid w:val="00D10D91"/>
    <w:rsid w:val="00D11A35"/>
    <w:rsid w:val="00D13130"/>
    <w:rsid w:val="00D146D4"/>
    <w:rsid w:val="00D14B3C"/>
    <w:rsid w:val="00D14BA5"/>
    <w:rsid w:val="00D16580"/>
    <w:rsid w:val="00D173C9"/>
    <w:rsid w:val="00D20E20"/>
    <w:rsid w:val="00D21C3A"/>
    <w:rsid w:val="00D228DA"/>
    <w:rsid w:val="00D22E01"/>
    <w:rsid w:val="00D238A5"/>
    <w:rsid w:val="00D24621"/>
    <w:rsid w:val="00D2600F"/>
    <w:rsid w:val="00D30EEA"/>
    <w:rsid w:val="00D31534"/>
    <w:rsid w:val="00D32C1F"/>
    <w:rsid w:val="00D3357A"/>
    <w:rsid w:val="00D33FC2"/>
    <w:rsid w:val="00D34D30"/>
    <w:rsid w:val="00D36664"/>
    <w:rsid w:val="00D37394"/>
    <w:rsid w:val="00D442F8"/>
    <w:rsid w:val="00D464B6"/>
    <w:rsid w:val="00D46699"/>
    <w:rsid w:val="00D47345"/>
    <w:rsid w:val="00D5073F"/>
    <w:rsid w:val="00D51573"/>
    <w:rsid w:val="00D5399A"/>
    <w:rsid w:val="00D5444F"/>
    <w:rsid w:val="00D54E0D"/>
    <w:rsid w:val="00D54F7D"/>
    <w:rsid w:val="00D55A9F"/>
    <w:rsid w:val="00D565AF"/>
    <w:rsid w:val="00D57528"/>
    <w:rsid w:val="00D602CA"/>
    <w:rsid w:val="00D60DD8"/>
    <w:rsid w:val="00D64C6C"/>
    <w:rsid w:val="00D66D42"/>
    <w:rsid w:val="00D679F8"/>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84614"/>
    <w:rsid w:val="00D90293"/>
    <w:rsid w:val="00D90496"/>
    <w:rsid w:val="00D917BC"/>
    <w:rsid w:val="00D942DE"/>
    <w:rsid w:val="00D9491E"/>
    <w:rsid w:val="00DA070D"/>
    <w:rsid w:val="00DA3B2F"/>
    <w:rsid w:val="00DA46CA"/>
    <w:rsid w:val="00DA4731"/>
    <w:rsid w:val="00DA5040"/>
    <w:rsid w:val="00DA7D5F"/>
    <w:rsid w:val="00DB053E"/>
    <w:rsid w:val="00DB11B2"/>
    <w:rsid w:val="00DB161E"/>
    <w:rsid w:val="00DB31B5"/>
    <w:rsid w:val="00DB5BBA"/>
    <w:rsid w:val="00DC03DB"/>
    <w:rsid w:val="00DC1206"/>
    <w:rsid w:val="00DC1C5D"/>
    <w:rsid w:val="00DC2BE8"/>
    <w:rsid w:val="00DC2BEC"/>
    <w:rsid w:val="00DC3256"/>
    <w:rsid w:val="00DC35A6"/>
    <w:rsid w:val="00DD090A"/>
    <w:rsid w:val="00DD195E"/>
    <w:rsid w:val="00DD2421"/>
    <w:rsid w:val="00DD3222"/>
    <w:rsid w:val="00DD3D81"/>
    <w:rsid w:val="00DD4D3A"/>
    <w:rsid w:val="00DD571C"/>
    <w:rsid w:val="00DD64E1"/>
    <w:rsid w:val="00DE039A"/>
    <w:rsid w:val="00DE0403"/>
    <w:rsid w:val="00DE4811"/>
    <w:rsid w:val="00DE5458"/>
    <w:rsid w:val="00DE5EE6"/>
    <w:rsid w:val="00DE731D"/>
    <w:rsid w:val="00DE77EA"/>
    <w:rsid w:val="00DF066E"/>
    <w:rsid w:val="00DF0ABA"/>
    <w:rsid w:val="00DF1EEE"/>
    <w:rsid w:val="00DF6C58"/>
    <w:rsid w:val="00E001C1"/>
    <w:rsid w:val="00E039F3"/>
    <w:rsid w:val="00E03C30"/>
    <w:rsid w:val="00E05EBF"/>
    <w:rsid w:val="00E06E6B"/>
    <w:rsid w:val="00E078BD"/>
    <w:rsid w:val="00E078F8"/>
    <w:rsid w:val="00E1142B"/>
    <w:rsid w:val="00E11F10"/>
    <w:rsid w:val="00E148AE"/>
    <w:rsid w:val="00E1536F"/>
    <w:rsid w:val="00E157E4"/>
    <w:rsid w:val="00E15950"/>
    <w:rsid w:val="00E159BF"/>
    <w:rsid w:val="00E16522"/>
    <w:rsid w:val="00E1750C"/>
    <w:rsid w:val="00E178A6"/>
    <w:rsid w:val="00E20545"/>
    <w:rsid w:val="00E223C6"/>
    <w:rsid w:val="00E2341B"/>
    <w:rsid w:val="00E2443D"/>
    <w:rsid w:val="00E24789"/>
    <w:rsid w:val="00E26615"/>
    <w:rsid w:val="00E26F37"/>
    <w:rsid w:val="00E3390E"/>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201"/>
    <w:rsid w:val="00E53A9F"/>
    <w:rsid w:val="00E549AF"/>
    <w:rsid w:val="00E5775F"/>
    <w:rsid w:val="00E60540"/>
    <w:rsid w:val="00E61C74"/>
    <w:rsid w:val="00E63D8F"/>
    <w:rsid w:val="00E705CE"/>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771"/>
    <w:rsid w:val="00E967FC"/>
    <w:rsid w:val="00E96D30"/>
    <w:rsid w:val="00EA1327"/>
    <w:rsid w:val="00EA623C"/>
    <w:rsid w:val="00EA6395"/>
    <w:rsid w:val="00EB0247"/>
    <w:rsid w:val="00EB044B"/>
    <w:rsid w:val="00EB067C"/>
    <w:rsid w:val="00EB3C66"/>
    <w:rsid w:val="00EB4B03"/>
    <w:rsid w:val="00EB5DEE"/>
    <w:rsid w:val="00EB64CB"/>
    <w:rsid w:val="00EB6D46"/>
    <w:rsid w:val="00EC07F3"/>
    <w:rsid w:val="00EC3194"/>
    <w:rsid w:val="00EC32E4"/>
    <w:rsid w:val="00EC518D"/>
    <w:rsid w:val="00EC646E"/>
    <w:rsid w:val="00EC64E7"/>
    <w:rsid w:val="00EC71D3"/>
    <w:rsid w:val="00ED02FE"/>
    <w:rsid w:val="00ED1EC9"/>
    <w:rsid w:val="00ED32BC"/>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EF7C2F"/>
    <w:rsid w:val="00F00D58"/>
    <w:rsid w:val="00F0226C"/>
    <w:rsid w:val="00F02522"/>
    <w:rsid w:val="00F02AE0"/>
    <w:rsid w:val="00F02BFF"/>
    <w:rsid w:val="00F034DC"/>
    <w:rsid w:val="00F03953"/>
    <w:rsid w:val="00F04841"/>
    <w:rsid w:val="00F0579A"/>
    <w:rsid w:val="00F0674D"/>
    <w:rsid w:val="00F10287"/>
    <w:rsid w:val="00F10C82"/>
    <w:rsid w:val="00F13B2E"/>
    <w:rsid w:val="00F142B4"/>
    <w:rsid w:val="00F176A0"/>
    <w:rsid w:val="00F20174"/>
    <w:rsid w:val="00F22098"/>
    <w:rsid w:val="00F223BC"/>
    <w:rsid w:val="00F23780"/>
    <w:rsid w:val="00F26185"/>
    <w:rsid w:val="00F3178C"/>
    <w:rsid w:val="00F33DE5"/>
    <w:rsid w:val="00F34B8F"/>
    <w:rsid w:val="00F36D7F"/>
    <w:rsid w:val="00F37186"/>
    <w:rsid w:val="00F41C4C"/>
    <w:rsid w:val="00F42FCF"/>
    <w:rsid w:val="00F44A83"/>
    <w:rsid w:val="00F51743"/>
    <w:rsid w:val="00F529D4"/>
    <w:rsid w:val="00F530C2"/>
    <w:rsid w:val="00F533EB"/>
    <w:rsid w:val="00F54855"/>
    <w:rsid w:val="00F54F27"/>
    <w:rsid w:val="00F55B05"/>
    <w:rsid w:val="00F55FC8"/>
    <w:rsid w:val="00F604E3"/>
    <w:rsid w:val="00F610E6"/>
    <w:rsid w:val="00F61FCC"/>
    <w:rsid w:val="00F647F2"/>
    <w:rsid w:val="00F66036"/>
    <w:rsid w:val="00F661CB"/>
    <w:rsid w:val="00F6689D"/>
    <w:rsid w:val="00F67E23"/>
    <w:rsid w:val="00F71601"/>
    <w:rsid w:val="00F72C75"/>
    <w:rsid w:val="00F72CC6"/>
    <w:rsid w:val="00F74033"/>
    <w:rsid w:val="00F759EB"/>
    <w:rsid w:val="00F772F7"/>
    <w:rsid w:val="00F81334"/>
    <w:rsid w:val="00F81A81"/>
    <w:rsid w:val="00F81CC5"/>
    <w:rsid w:val="00F84E41"/>
    <w:rsid w:val="00F8760D"/>
    <w:rsid w:val="00F87AAD"/>
    <w:rsid w:val="00F9174C"/>
    <w:rsid w:val="00F91D5C"/>
    <w:rsid w:val="00F92097"/>
    <w:rsid w:val="00F922E9"/>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5CD1"/>
    <w:rsid w:val="00FB676C"/>
    <w:rsid w:val="00FB67CC"/>
    <w:rsid w:val="00FB728E"/>
    <w:rsid w:val="00FB7DC4"/>
    <w:rsid w:val="00FC0ADE"/>
    <w:rsid w:val="00FC0FF1"/>
    <w:rsid w:val="00FC1FDF"/>
    <w:rsid w:val="00FC2C33"/>
    <w:rsid w:val="00FC3360"/>
    <w:rsid w:val="00FC3E27"/>
    <w:rsid w:val="00FC493B"/>
    <w:rsid w:val="00FC63E5"/>
    <w:rsid w:val="00FD0E54"/>
    <w:rsid w:val="00FD2B71"/>
    <w:rsid w:val="00FD3576"/>
    <w:rsid w:val="00FD52D6"/>
    <w:rsid w:val="00FD56FC"/>
    <w:rsid w:val="00FD62DD"/>
    <w:rsid w:val="00FD752B"/>
    <w:rsid w:val="00FD7DD7"/>
    <w:rsid w:val="00FD7EB3"/>
    <w:rsid w:val="00FE033E"/>
    <w:rsid w:val="00FE0D2F"/>
    <w:rsid w:val="00FE180A"/>
    <w:rsid w:val="00FE182F"/>
    <w:rsid w:val="00FE31C6"/>
    <w:rsid w:val="00FE3F96"/>
    <w:rsid w:val="00FE4A65"/>
    <w:rsid w:val="00FE51E8"/>
    <w:rsid w:val="00FE602F"/>
    <w:rsid w:val="00FE7611"/>
    <w:rsid w:val="00FF0769"/>
    <w:rsid w:val="00FF0DB8"/>
    <w:rsid w:val="00FF1A76"/>
    <w:rsid w:val="00FF1C1D"/>
    <w:rsid w:val="00FF1DC4"/>
    <w:rsid w:val="00FF2231"/>
    <w:rsid w:val="00FF3330"/>
    <w:rsid w:val="00FF4080"/>
    <w:rsid w:val="00FF40A5"/>
    <w:rsid w:val="00FF48DA"/>
    <w:rsid w:val="00FF5E19"/>
    <w:rsid w:val="00FF61AD"/>
    <w:rsid w:val="00FF76BD"/>
    <w:rsid w:val="0AB015B5"/>
    <w:rsid w:val="26D8736F"/>
    <w:rsid w:val="28807F05"/>
    <w:rsid w:val="35D310D7"/>
    <w:rsid w:val="54A01644"/>
    <w:rsid w:val="63397856"/>
    <w:rsid w:val="73966C53"/>
    <w:rsid w:val="764E564D"/>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99" w:semiHidden="0" w:name="toc 1"/>
    <w:lsdException w:unhideWhenUsed="0" w:uiPriority="99" w:semiHidden="0" w:name="toc 2"/>
    <w:lsdException w:unhideWhenUsed="0" w:uiPriority="9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unhideWhenUsed="0" w:uiPriority="99" w:semiHidden="0" w:name="header"/>
    <w:lsdException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unhideWhenUsed="0" w:uiPriority="99" w:name="annotation reference"/>
    <w:lsdException w:uiPriority="0" w:name="line number"/>
    <w:lsdException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semiHidden="0" w:name="List Number"/>
    <w:lsdException w:uiPriority="0" w:name="List 2"/>
    <w:lsdException w:uiPriority="0" w:name="List 3"/>
    <w:lsdException w:uiPriority="0" w:semiHidden="0" w:name="List 4"/>
    <w:lsdException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ocked="1"/>
    <w:lsdException w:uiPriority="0" w:semiHidden="0" w:name="Salutation"/>
    <w:lsdException w:uiPriority="0" w:semiHidden="0" w:name="Date"/>
    <w:lsdException w:uiPriority="0" w:semiHidden="0" w:name="Body Text First Indent"/>
    <w:lsdException w:uiPriority="0" w:name="Body Text First Indent 2"/>
    <w:lsdException w:uiPriority="0" w:name="Note Heading"/>
    <w:lsdException w:uiPriority="0" w:name="Body Text 2"/>
    <w:lsdException w:qFormat="1" w:unhideWhenUsed="0" w:uiPriority="99" w:semiHidden="0" w:name="Body Text 3"/>
    <w:lsdException w:unhideWhenUsed="0" w:uiPriority="99"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99"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nhideWhenUsed="0" w:uiPriority="0" w:name="Table Web 2" w:locked="1"/>
    <w:lsdException w:unhideWhenUsed="0" w:uiPriority="0" w:name="Table Web 3" w:locked="1"/>
    <w:lsdException w:qFormat="1" w:unhideWhenUsed="0" w:uiPriority="99" w:name="Balloon Text"/>
    <w:lsdException w:unhideWhenUsed="0" w:uiPriority="99" w:semiHidden="0" w:name="Table Grid"/>
    <w:lsdException w:unhideWhenUsed="0"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link w:val="36"/>
    <w:qFormat/>
    <w:uiPriority w:val="99"/>
    <w:pPr>
      <w:keepNext/>
      <w:keepLines/>
      <w:numPr>
        <w:ilvl w:val="0"/>
        <w:numId w:val="1"/>
      </w:numPr>
      <w:spacing w:line="360" w:lineRule="auto"/>
      <w:outlineLvl w:val="0"/>
    </w:pPr>
    <w:rPr>
      <w:b/>
      <w:bCs/>
      <w:kern w:val="44"/>
      <w:sz w:val="22"/>
      <w:szCs w:val="44"/>
    </w:rPr>
  </w:style>
  <w:style w:type="paragraph" w:styleId="3">
    <w:name w:val="heading 2"/>
    <w:basedOn w:val="1"/>
    <w:next w:val="1"/>
    <w:link w:val="37"/>
    <w:qFormat/>
    <w:uiPriority w:val="99"/>
    <w:pPr>
      <w:keepNext/>
      <w:keepLines/>
      <w:spacing w:line="360" w:lineRule="auto"/>
      <w:outlineLvl w:val="1"/>
    </w:pPr>
    <w:rPr>
      <w:bCs/>
      <w:sz w:val="22"/>
      <w:szCs w:val="32"/>
    </w:rPr>
  </w:style>
  <w:style w:type="paragraph" w:styleId="4">
    <w:name w:val="heading 3"/>
    <w:basedOn w:val="1"/>
    <w:next w:val="1"/>
    <w:link w:val="38"/>
    <w:qFormat/>
    <w:uiPriority w:val="99"/>
    <w:pPr>
      <w:keepNext/>
      <w:spacing w:line="360" w:lineRule="auto"/>
      <w:outlineLvl w:val="2"/>
    </w:pPr>
    <w:rPr>
      <w:sz w:val="22"/>
    </w:rPr>
  </w:style>
  <w:style w:type="paragraph" w:styleId="5">
    <w:name w:val="heading 4"/>
    <w:basedOn w:val="1"/>
    <w:next w:val="1"/>
    <w:link w:val="39"/>
    <w:qFormat/>
    <w:uiPriority w:val="99"/>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link w:val="49"/>
    <w:semiHidden/>
    <w:uiPriority w:val="99"/>
    <w:rPr>
      <w:b/>
      <w:bCs/>
    </w:rPr>
  </w:style>
  <w:style w:type="paragraph" w:styleId="7">
    <w:name w:val="annotation text"/>
    <w:basedOn w:val="1"/>
    <w:link w:val="40"/>
    <w:semiHidden/>
    <w:qFormat/>
    <w:uiPriority w:val="99"/>
    <w:rPr>
      <w:sz w:val="24"/>
    </w:rPr>
  </w:style>
  <w:style w:type="paragraph" w:styleId="8">
    <w:name w:val="Body Text 3"/>
    <w:basedOn w:val="1"/>
    <w:link w:val="41"/>
    <w:qFormat/>
    <w:uiPriority w:val="99"/>
    <w:pPr>
      <w:spacing w:after="120"/>
    </w:pPr>
    <w:rPr>
      <w:sz w:val="16"/>
      <w:szCs w:val="16"/>
    </w:rPr>
  </w:style>
  <w:style w:type="paragraph" w:styleId="9">
    <w:name w:val="Body Text"/>
    <w:basedOn w:val="1"/>
    <w:link w:val="42"/>
    <w:qFormat/>
    <w:uiPriority w:val="99"/>
    <w:pPr>
      <w:ind w:right="56"/>
    </w:pPr>
    <w:rPr>
      <w:b/>
      <w:sz w:val="22"/>
    </w:rPr>
  </w:style>
  <w:style w:type="paragraph" w:styleId="10">
    <w:name w:val="Body Text Indent"/>
    <w:basedOn w:val="1"/>
    <w:link w:val="43"/>
    <w:qFormat/>
    <w:uiPriority w:val="99"/>
    <w:pPr>
      <w:spacing w:after="120"/>
      <w:ind w:left="420" w:leftChars="200"/>
    </w:pPr>
  </w:style>
  <w:style w:type="paragraph" w:styleId="11">
    <w:name w:val="toc 3"/>
    <w:basedOn w:val="1"/>
    <w:next w:val="1"/>
    <w:uiPriority w:val="99"/>
    <w:pPr>
      <w:tabs>
        <w:tab w:val="right" w:leader="dot" w:pos="8302"/>
        <w:tab w:val="right" w:leader="dot" w:pos="8835"/>
      </w:tabs>
      <w:spacing w:line="360" w:lineRule="auto"/>
      <w:ind w:left="300" w:leftChars="300"/>
    </w:pPr>
    <w:rPr>
      <w:sz w:val="20"/>
    </w:rPr>
  </w:style>
  <w:style w:type="paragraph" w:styleId="12">
    <w:name w:val="Body Text Indent 2"/>
    <w:basedOn w:val="1"/>
    <w:link w:val="44"/>
    <w:uiPriority w:val="99"/>
    <w:pPr>
      <w:spacing w:after="120" w:line="480" w:lineRule="auto"/>
      <w:ind w:left="420" w:leftChars="200"/>
    </w:pPr>
  </w:style>
  <w:style w:type="paragraph" w:styleId="13">
    <w:name w:val="Balloon Text"/>
    <w:basedOn w:val="1"/>
    <w:link w:val="45"/>
    <w:semiHidden/>
    <w:qFormat/>
    <w:uiPriority w:val="99"/>
    <w:rPr>
      <w:sz w:val="18"/>
      <w:szCs w:val="18"/>
    </w:rPr>
  </w:style>
  <w:style w:type="paragraph" w:styleId="14">
    <w:name w:val="footer"/>
    <w:basedOn w:val="1"/>
    <w:link w:val="50"/>
    <w:uiPriority w:val="99"/>
    <w:pPr>
      <w:tabs>
        <w:tab w:val="center" w:pos="4320"/>
        <w:tab w:val="right" w:pos="8640"/>
      </w:tabs>
    </w:pPr>
    <w:rPr>
      <w:sz w:val="24"/>
    </w:rPr>
  </w:style>
  <w:style w:type="paragraph" w:styleId="15">
    <w:name w:val="header"/>
    <w:basedOn w:val="1"/>
    <w:link w:val="47"/>
    <w:uiPriority w:val="99"/>
    <w:pPr>
      <w:tabs>
        <w:tab w:val="center" w:pos="4320"/>
        <w:tab w:val="right" w:pos="8640"/>
      </w:tabs>
    </w:pPr>
    <w:rPr>
      <w:sz w:val="24"/>
    </w:rPr>
  </w:style>
  <w:style w:type="paragraph" w:styleId="16">
    <w:name w:val="toc 1"/>
    <w:basedOn w:val="1"/>
    <w:next w:val="1"/>
    <w:uiPriority w:val="9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99"/>
    <w:pPr>
      <w:widowControl w:val="0"/>
      <w:tabs>
        <w:tab w:val="right" w:leader="dot" w:pos="8302"/>
      </w:tabs>
      <w:adjustRightInd/>
      <w:spacing w:line="360" w:lineRule="auto"/>
      <w:ind w:left="200" w:leftChars="200"/>
      <w:textAlignment w:val="auto"/>
    </w:pPr>
    <w:rPr>
      <w:kern w:val="2"/>
      <w:lang w:val="en-US" w:eastAsia="zh-CN"/>
    </w:rPr>
  </w:style>
  <w:style w:type="paragraph" w:styleId="18">
    <w:name w:val="Title"/>
    <w:basedOn w:val="1"/>
    <w:next w:val="1"/>
    <w:link w:val="48"/>
    <w:qFormat/>
    <w:uiPriority w:val="99"/>
    <w:pPr>
      <w:spacing w:before="240" w:after="60"/>
      <w:jc w:val="center"/>
      <w:outlineLvl w:val="0"/>
    </w:pPr>
    <w:rPr>
      <w:rFonts w:ascii="Calibri Light" w:hAnsi="Calibri Light"/>
      <w:b/>
      <w:bCs/>
      <w:sz w:val="32"/>
      <w:szCs w:val="32"/>
    </w:rPr>
  </w:style>
  <w:style w:type="character" w:styleId="20">
    <w:name w:val="page number"/>
    <w:uiPriority w:val="99"/>
    <w:rPr>
      <w:rFonts w:cs="Times New Roman"/>
    </w:rPr>
  </w:style>
  <w:style w:type="character" w:styleId="21">
    <w:name w:val="Hyperlink"/>
    <w:uiPriority w:val="99"/>
    <w:rPr>
      <w:rFonts w:cs="Times New Roman"/>
      <w:color w:val="0000FF"/>
      <w:u w:val="single"/>
    </w:rPr>
  </w:style>
  <w:style w:type="character" w:styleId="22">
    <w:name w:val="annotation reference"/>
    <w:semiHidden/>
    <w:uiPriority w:val="99"/>
    <w:rPr>
      <w:rFonts w:cs="Times New Roman"/>
      <w:sz w:val="21"/>
    </w:rPr>
  </w:style>
  <w:style w:type="table" w:styleId="24">
    <w:name w:val="Table Grid"/>
    <w:basedOn w:val="23"/>
    <w:uiPriority w:val="9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paragraph" w:customStyle="1" w:styleId="25">
    <w:name w:val="Table"/>
    <w:basedOn w:val="1"/>
    <w:uiPriority w:val="99"/>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99"/>
    <w:pPr>
      <w:textAlignment w:val="auto"/>
    </w:pPr>
    <w:rPr>
      <w:rFonts w:ascii="Arial" w:hAnsi="Arial"/>
      <w:szCs w:val="24"/>
      <w:lang w:val="en-US"/>
    </w:rPr>
  </w:style>
  <w:style w:type="paragraph" w:customStyle="1" w:styleId="27">
    <w:name w:val="Style"/>
    <w:basedOn w:val="1"/>
    <w:uiPriority w:val="99"/>
    <w:pPr>
      <w:textAlignment w:val="auto"/>
    </w:pPr>
    <w:rPr>
      <w:rFonts w:ascii="Arial" w:hAnsi="Arial"/>
      <w:szCs w:val="24"/>
      <w:lang w:val="en-US"/>
    </w:rPr>
  </w:style>
  <w:style w:type="paragraph" w:customStyle="1" w:styleId="28">
    <w:name w:val="正文1"/>
    <w:basedOn w:val="1"/>
    <w:uiPriority w:val="99"/>
    <w:pPr>
      <w:textAlignment w:val="auto"/>
    </w:pPr>
    <w:rPr>
      <w:rFonts w:ascii="Arial" w:hAnsi="Arial"/>
      <w:sz w:val="20"/>
      <w:lang w:val="en-US"/>
    </w:rPr>
  </w:style>
  <w:style w:type="paragraph" w:customStyle="1" w:styleId="29">
    <w:name w:val="Revision1"/>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99"/>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1"/>
    <w:basedOn w:val="2"/>
    <w:next w:val="1"/>
    <w:uiPriority w:val="99"/>
    <w:pPr>
      <w:numPr>
        <w:ilvl w:val="0"/>
        <w:numId w:val="0"/>
      </w:numPr>
      <w:outlineLvl w:val="9"/>
    </w:pPr>
  </w:style>
  <w:style w:type="paragraph" w:customStyle="1" w:styleId="32">
    <w:name w:val="numbering blue"/>
    <w:basedOn w:val="1"/>
    <w:link w:val="53"/>
    <w:uiPriority w:val="99"/>
    <w:pPr>
      <w:numPr>
        <w:ilvl w:val="0"/>
        <w:numId w:val="2"/>
      </w:numPr>
      <w:adjustRightInd/>
      <w:spacing w:after="120"/>
      <w:ind w:left="357" w:hanging="357"/>
      <w:contextualSpacing/>
      <w:textAlignment w:val="auto"/>
    </w:pPr>
    <w:rPr>
      <w:rFonts w:ascii="Arial" w:hAnsi="Arial" w:eastAsia="PMingLiUfalt"/>
      <w:color w:val="0070C0"/>
      <w:sz w:val="20"/>
      <w:lang w:val="en-US" w:eastAsia="zh-TW"/>
    </w:rPr>
  </w:style>
  <w:style w:type="paragraph" w:customStyle="1" w:styleId="33">
    <w:name w:val="Default"/>
    <w:uiPriority w:val="99"/>
    <w:pPr>
      <w:widowControl w:val="0"/>
      <w:autoSpaceDE w:val="0"/>
      <w:autoSpaceDN w:val="0"/>
    </w:pPr>
    <w:rPr>
      <w:rFonts w:ascii="Arial" w:hAnsi="Arial" w:eastAsia="宋体" w:cs="Times New Roman"/>
      <w:color w:val="000000"/>
      <w:sz w:val="24"/>
      <w:lang w:val="en-US" w:eastAsia="zh-CN" w:bidi="ar-SA"/>
    </w:rPr>
  </w:style>
  <w:style w:type="paragraph" w:customStyle="1" w:styleId="34">
    <w:name w:val="Text"/>
    <w:basedOn w:val="1"/>
    <w:link w:val="54"/>
    <w:qFormat/>
    <w:uiPriority w:val="0"/>
    <w:pPr>
      <w:adjustRightInd/>
      <w:spacing w:before="120"/>
      <w:jc w:val="both"/>
      <w:textAlignment w:val="auto"/>
    </w:pPr>
    <w:rPr>
      <w:sz w:val="24"/>
      <w:lang w:val="en-US"/>
    </w:rPr>
  </w:style>
  <w:style w:type="paragraph" w:customStyle="1" w:styleId="35">
    <w:name w:val="Table text"/>
    <w:basedOn w:val="1"/>
    <w:qFormat/>
    <w:uiPriority w:val="99"/>
    <w:pPr>
      <w:adjustRightInd/>
      <w:spacing w:before="120" w:after="120"/>
      <w:jc w:val="both"/>
      <w:textAlignment w:val="auto"/>
    </w:pPr>
    <w:rPr>
      <w:lang w:val="en-US"/>
    </w:rPr>
  </w:style>
  <w:style w:type="character" w:customStyle="1" w:styleId="36">
    <w:name w:val="标题 1 Char"/>
    <w:link w:val="2"/>
    <w:qFormat/>
    <w:uiPriority w:val="9"/>
    <w:rPr>
      <w:b/>
      <w:bCs/>
      <w:kern w:val="44"/>
      <w:sz w:val="44"/>
      <w:szCs w:val="44"/>
      <w:lang w:eastAsia="en-US"/>
    </w:rPr>
  </w:style>
  <w:style w:type="character" w:customStyle="1" w:styleId="37">
    <w:name w:val="标题 2 Char"/>
    <w:link w:val="3"/>
    <w:semiHidden/>
    <w:qFormat/>
    <w:uiPriority w:val="9"/>
    <w:rPr>
      <w:rFonts w:ascii="Cambria" w:hAnsi="Cambria" w:eastAsia="宋体" w:cs="Times New Roman"/>
      <w:b/>
      <w:bCs/>
      <w:kern w:val="0"/>
      <w:sz w:val="32"/>
      <w:szCs w:val="32"/>
      <w:lang w:eastAsia="en-US"/>
    </w:rPr>
  </w:style>
  <w:style w:type="character" w:customStyle="1" w:styleId="38">
    <w:name w:val="标题 3 Char"/>
    <w:link w:val="4"/>
    <w:semiHidden/>
    <w:qFormat/>
    <w:uiPriority w:val="9"/>
    <w:rPr>
      <w:b/>
      <w:bCs/>
      <w:kern w:val="0"/>
      <w:sz w:val="32"/>
      <w:szCs w:val="32"/>
      <w:lang w:eastAsia="en-US"/>
    </w:rPr>
  </w:style>
  <w:style w:type="character" w:customStyle="1" w:styleId="39">
    <w:name w:val="标题 4 Char"/>
    <w:link w:val="5"/>
    <w:semiHidden/>
    <w:qFormat/>
    <w:uiPriority w:val="9"/>
    <w:rPr>
      <w:rFonts w:ascii="Cambria" w:hAnsi="Cambria" w:eastAsia="宋体" w:cs="Times New Roman"/>
      <w:b/>
      <w:bCs/>
      <w:kern w:val="0"/>
      <w:sz w:val="28"/>
      <w:szCs w:val="28"/>
      <w:lang w:eastAsia="en-US"/>
    </w:rPr>
  </w:style>
  <w:style w:type="character" w:customStyle="1" w:styleId="40">
    <w:name w:val="批注文字 Char"/>
    <w:link w:val="7"/>
    <w:semiHidden/>
    <w:locked/>
    <w:uiPriority w:val="99"/>
    <w:rPr>
      <w:sz w:val="24"/>
      <w:lang w:eastAsia="en-US"/>
    </w:rPr>
  </w:style>
  <w:style w:type="character" w:customStyle="1" w:styleId="41">
    <w:name w:val="正文文本 3 Char"/>
    <w:link w:val="8"/>
    <w:semiHidden/>
    <w:qFormat/>
    <w:uiPriority w:val="99"/>
    <w:rPr>
      <w:kern w:val="0"/>
      <w:sz w:val="16"/>
      <w:szCs w:val="16"/>
      <w:lang w:eastAsia="en-US"/>
    </w:rPr>
  </w:style>
  <w:style w:type="character" w:customStyle="1" w:styleId="42">
    <w:name w:val="正文文本 Char"/>
    <w:link w:val="9"/>
    <w:semiHidden/>
    <w:uiPriority w:val="99"/>
    <w:rPr>
      <w:kern w:val="0"/>
      <w:szCs w:val="20"/>
      <w:lang w:eastAsia="en-US"/>
    </w:rPr>
  </w:style>
  <w:style w:type="character" w:customStyle="1" w:styleId="43">
    <w:name w:val="正文文本缩进 Char"/>
    <w:link w:val="10"/>
    <w:semiHidden/>
    <w:uiPriority w:val="99"/>
    <w:rPr>
      <w:kern w:val="0"/>
      <w:szCs w:val="20"/>
      <w:lang w:eastAsia="en-US"/>
    </w:rPr>
  </w:style>
  <w:style w:type="character" w:customStyle="1" w:styleId="44">
    <w:name w:val="正文文本缩进 2 Char"/>
    <w:link w:val="12"/>
    <w:semiHidden/>
    <w:qFormat/>
    <w:uiPriority w:val="99"/>
    <w:rPr>
      <w:kern w:val="0"/>
      <w:szCs w:val="20"/>
      <w:lang w:eastAsia="en-US"/>
    </w:rPr>
  </w:style>
  <w:style w:type="character" w:customStyle="1" w:styleId="45">
    <w:name w:val="批注框文本 Char"/>
    <w:link w:val="13"/>
    <w:semiHidden/>
    <w:uiPriority w:val="99"/>
    <w:rPr>
      <w:kern w:val="0"/>
      <w:sz w:val="16"/>
      <w:szCs w:val="16"/>
      <w:lang w:eastAsia="en-US"/>
    </w:rPr>
  </w:style>
  <w:style w:type="character" w:customStyle="1" w:styleId="46">
    <w:name w:val="Footer Char"/>
    <w:semiHidden/>
    <w:locked/>
    <w:uiPriority w:val="99"/>
    <w:rPr>
      <w:rFonts w:cs="Times New Roman"/>
      <w:sz w:val="18"/>
      <w:szCs w:val="18"/>
    </w:rPr>
  </w:style>
  <w:style w:type="character" w:customStyle="1" w:styleId="47">
    <w:name w:val="页眉 Char"/>
    <w:link w:val="15"/>
    <w:locked/>
    <w:uiPriority w:val="99"/>
    <w:rPr>
      <w:rFonts w:eastAsia="宋体"/>
      <w:sz w:val="24"/>
      <w:lang w:eastAsia="en-US"/>
    </w:rPr>
  </w:style>
  <w:style w:type="character" w:customStyle="1" w:styleId="48">
    <w:name w:val="标题 Char"/>
    <w:link w:val="18"/>
    <w:locked/>
    <w:uiPriority w:val="99"/>
    <w:rPr>
      <w:rFonts w:ascii="Calibri Light" w:hAnsi="Calibri Light"/>
      <w:b/>
      <w:sz w:val="32"/>
      <w:lang w:eastAsia="en-US"/>
    </w:rPr>
  </w:style>
  <w:style w:type="character" w:customStyle="1" w:styleId="49">
    <w:name w:val="批注主题 Char"/>
    <w:link w:val="6"/>
    <w:semiHidden/>
    <w:uiPriority w:val="99"/>
    <w:rPr>
      <w:b/>
      <w:bCs/>
      <w:kern w:val="0"/>
      <w:sz w:val="24"/>
      <w:szCs w:val="20"/>
      <w:lang w:eastAsia="en-US"/>
    </w:rPr>
  </w:style>
  <w:style w:type="character" w:customStyle="1" w:styleId="50">
    <w:name w:val="页脚 Char"/>
    <w:link w:val="14"/>
    <w:locked/>
    <w:uiPriority w:val="99"/>
    <w:rPr>
      <w:sz w:val="24"/>
      <w:lang w:eastAsia="en-US"/>
    </w:rPr>
  </w:style>
  <w:style w:type="character" w:customStyle="1" w:styleId="51">
    <w:name w:val="instruction standard blue"/>
    <w:uiPriority w:val="99"/>
    <w:rPr>
      <w:i/>
      <w:color w:val="0070C0"/>
    </w:rPr>
  </w:style>
  <w:style w:type="character" w:customStyle="1" w:styleId="52">
    <w:name w:val="keyword"/>
    <w:uiPriority w:val="99"/>
    <w:rPr>
      <w:rFonts w:cs="Times New Roman"/>
    </w:rPr>
  </w:style>
  <w:style w:type="character" w:customStyle="1" w:styleId="53">
    <w:name w:val="numbering blue Zchn"/>
    <w:link w:val="32"/>
    <w:locked/>
    <w:uiPriority w:val="99"/>
    <w:rPr>
      <w:rFonts w:ascii="Arial" w:hAnsi="Arial" w:eastAsia="PMingLiUfalt"/>
      <w:color w:val="0070C0"/>
      <w:lang w:eastAsia="zh-TW"/>
    </w:rPr>
  </w:style>
  <w:style w:type="character" w:customStyle="1" w:styleId="54">
    <w:name w:val="Text Char"/>
    <w:link w:val="34"/>
    <w:qFormat/>
    <w:locked/>
    <w:uiPriority w:val="0"/>
    <w:rPr>
      <w:sz w:val="24"/>
      <w:lang w:eastAsia="en-US"/>
    </w:rPr>
  </w:style>
  <w:style w:type="character" w:customStyle="1" w:styleId="55">
    <w:name w:val="ordinary-span-edit2"/>
    <w:uiPriority w:val="99"/>
  </w:style>
  <w:style w:type="character" w:customStyle="1" w:styleId="56">
    <w:name w:val="apple-converted-space"/>
    <w:uiPriority w:val="99"/>
    <w:rPr>
      <w:rFonts w:cs="Times New Roman"/>
    </w:rPr>
  </w:style>
  <w:style w:type="character" w:customStyle="1" w:styleId="57">
    <w:name w:val="Char Char2"/>
    <w:semiHidden/>
    <w:uiPriority w:val="99"/>
    <w:rPr>
      <w:sz w:val="24"/>
      <w:lang w:eastAsia="en-US"/>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1678</Words>
  <Characters>9570</Characters>
  <Lines>79</Lines>
  <Paragraphs>22</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2020-06-04T08:40:00Z</dcterms:created>
  <dc:creator>Lilly</dc:creator>
  <cp:lastModifiedBy>汪洋</cp:lastModifiedBy>
  <cp:lastPrinted>2019-11-07T07:46:00Z</cp:lastPrinted>
  <dcterms:modified xsi:type="dcterms:W3CDTF">2020-11-23T03:19:40Z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