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Lines="50"/>
        <w:jc w:val="center"/>
        <w:rPr>
          <w:b/>
          <w:szCs w:val="21"/>
          <w:lang w:eastAsia="zh-CN"/>
        </w:rPr>
      </w:pPr>
      <w:permStart w:id="0" w:edGrp="everyone"/>
      <w:r>
        <w:rPr>
          <w:rFonts w:hint="eastAsia" w:ascii="宋体" w:hAnsi="宋体"/>
          <w:b/>
          <w:szCs w:val="21"/>
          <w:lang w:eastAsia="zh-CN"/>
        </w:rPr>
        <w:t>质量控制室集菌仪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6"/>
        <w:widowControl w:val="0"/>
        <w:spacing w:afterLines="50" w:line="240" w:lineRule="auto"/>
        <w:jc w:val="center"/>
        <w:rPr>
          <w:sz w:val="21"/>
          <w:szCs w:val="21"/>
          <w:lang w:val="zh-CN" w:eastAsia="zh-CN"/>
        </w:rPr>
      </w:pPr>
      <w:r>
        <w:rPr>
          <w:sz w:val="21"/>
          <w:szCs w:val="21"/>
          <w:lang w:val="zh-CN" w:eastAsia="zh-CN"/>
        </w:rPr>
        <w:t>目录</w:t>
      </w:r>
    </w:p>
    <w:p>
      <w:pPr>
        <w:pStyle w:val="17"/>
        <w:rPr>
          <w:b w:val="0"/>
          <w:bCs w:val="0"/>
          <w:caps w:val="0"/>
          <w:szCs w:val="22"/>
        </w:rPr>
      </w:pPr>
      <w:permStart w:id="1"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rPr>
          <w:rFonts w:hint="eastAsia"/>
        </w:rPr>
        <w:t>7</w:t>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rPr>
          <w:rFonts w:hint="eastAsia"/>
        </w:rPr>
        <w:t>8</w:t>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rPr>
          <w:rFonts w:hint="eastAsia"/>
        </w:rPr>
        <w:t>11</w:t>
      </w:r>
      <w:r>
        <w:fldChar w:fldCharType="end"/>
      </w:r>
    </w:p>
    <w:p>
      <w:pPr>
        <w:pStyle w:val="17"/>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rPr>
          <w:rFonts w:hint="eastAsia"/>
        </w:rPr>
        <w:t>11</w:t>
      </w:r>
      <w:r>
        <w:fldChar w:fldCharType="end"/>
      </w:r>
    </w:p>
    <w:p>
      <w:pPr>
        <w:pStyle w:val="17"/>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rPr>
          <w:rFonts w:hint="eastAsia"/>
        </w:rPr>
        <w:t>13</w:t>
      </w:r>
      <w:r>
        <w:fldChar w:fldCharType="end"/>
      </w:r>
    </w:p>
    <w:p>
      <w:pPr>
        <w:pStyle w:val="17"/>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ermEnd w:id="1"/>
    </w:p>
    <w:p>
      <w:pPr>
        <w:rPr>
          <w:lang w:val="en-US" w:eastAsia="zh-CN"/>
        </w:rPr>
      </w:pPr>
      <w:r>
        <w:rPr>
          <w:lang w:val="en-US" w:eastAsia="zh-CN"/>
        </w:rPr>
        <w:br w:type="page"/>
      </w:r>
      <w:bookmarkStart w:id="5" w:name="_Toc522107734"/>
    </w:p>
    <w:p>
      <w:pPr>
        <w:rPr>
          <w:lang w:val="en-US" w:eastAsia="zh-CN"/>
        </w:rPr>
      </w:pPr>
    </w:p>
    <w:bookmarkEnd w:id="5"/>
    <w:p>
      <w:pPr>
        <w:pStyle w:val="26"/>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3"/>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2" w:edGrp="everyone"/>
      <w:r>
        <w:rPr>
          <w:rFonts w:hint="eastAsia"/>
          <w:szCs w:val="21"/>
          <w:lang w:eastAsia="zh-CN"/>
        </w:rPr>
        <w:t>质量控制室集菌仪</w:t>
      </w:r>
      <w:permEnd w:id="2"/>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26"/>
        <w:numPr>
          <w:ilvl w:val="0"/>
          <w:numId w:val="3"/>
        </w:numPr>
        <w:spacing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3"/>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质量控制室集菌仪</w:t>
      </w:r>
      <w:permEnd w:id="3"/>
      <w:r>
        <w:rPr>
          <w:szCs w:val="21"/>
          <w:lang w:eastAsia="zh-CN"/>
        </w:rPr>
        <w:t>。</w:t>
      </w:r>
      <w:bookmarkEnd w:id="8"/>
      <w:bookmarkEnd w:id="9"/>
      <w:bookmarkEnd w:id="10"/>
      <w:bookmarkEnd w:id="11"/>
      <w:bookmarkEnd w:id="12"/>
      <w:bookmarkEnd w:id="13"/>
      <w:bookmarkEnd w:id="14"/>
      <w:bookmarkEnd w:id="15"/>
      <w:bookmarkEnd w:id="16"/>
    </w:p>
    <w:p>
      <w:pPr>
        <w:pStyle w:val="33"/>
        <w:spacing w:before="0" w:line="360" w:lineRule="auto"/>
        <w:ind w:left="357"/>
        <w:jc w:val="left"/>
        <w:rPr>
          <w:szCs w:val="21"/>
          <w:lang w:eastAsia="zh-CN"/>
        </w:rPr>
      </w:pPr>
    </w:p>
    <w:p>
      <w:pPr>
        <w:pStyle w:val="26"/>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color w:val="000000"/>
          <w:szCs w:val="21"/>
          <w:lang w:eastAsia="zh-CN"/>
        </w:rPr>
      </w:pPr>
      <w:permStart w:id="4" w:edGrp="everyone"/>
      <w:r>
        <w:rPr>
          <w:color w:val="000000"/>
          <w:szCs w:val="21"/>
          <w:lang w:eastAsia="zh-CN"/>
        </w:rPr>
        <w:t>中国药典 2015年版</w:t>
      </w:r>
    </w:p>
    <w:p>
      <w:pPr>
        <w:pStyle w:val="33"/>
        <w:numPr>
          <w:ilvl w:val="0"/>
          <w:numId w:val="5"/>
        </w:numPr>
        <w:spacing w:before="0" w:line="360" w:lineRule="auto"/>
        <w:ind w:left="777"/>
        <w:jc w:val="left"/>
        <w:rPr>
          <w:szCs w:val="21"/>
          <w:lang w:eastAsia="zh-CN"/>
        </w:rPr>
      </w:pPr>
      <w:r>
        <w:rPr>
          <w:rFonts w:hint="eastAsia" w:ascii="宋体" w:hAnsi="宋体"/>
          <w:lang w:eastAsia="zh-CN"/>
        </w:rPr>
        <w:t>《药品生产质量管理规范》（2010修订版）</w:t>
      </w:r>
      <w:r>
        <w:rPr>
          <w:rFonts w:hint="eastAsia"/>
          <w:lang w:eastAsia="zh-CN"/>
        </w:rPr>
        <w:t>及附录</w:t>
      </w:r>
    </w:p>
    <w:p>
      <w:pPr>
        <w:pStyle w:val="33"/>
        <w:numPr>
          <w:ilvl w:val="0"/>
          <w:numId w:val="5"/>
        </w:numPr>
        <w:spacing w:before="0" w:line="360" w:lineRule="auto"/>
        <w:ind w:left="777"/>
        <w:jc w:val="left"/>
        <w:rPr>
          <w:iCs/>
          <w:color w:val="000000"/>
          <w:szCs w:val="21"/>
          <w:lang w:eastAsia="zh-CN"/>
        </w:rPr>
      </w:pPr>
      <w:r>
        <w:rPr>
          <w:rFonts w:hint="eastAsia"/>
          <w:iCs/>
          <w:color w:val="000000"/>
          <w:szCs w:val="21"/>
          <w:lang w:eastAsia="zh-CN"/>
        </w:rPr>
        <w:t>《药品</w:t>
      </w:r>
      <w:r>
        <w:rPr>
          <w:iCs/>
          <w:color w:val="000000"/>
          <w:szCs w:val="21"/>
          <w:lang w:eastAsia="zh-CN"/>
        </w:rPr>
        <w:t>GMP</w:t>
      </w:r>
      <w:r>
        <w:rPr>
          <w:rFonts w:hint="eastAsia"/>
          <w:iCs/>
          <w:color w:val="000000"/>
          <w:szCs w:val="21"/>
          <w:lang w:eastAsia="zh-CN"/>
        </w:rPr>
        <w:t>指南》（</w:t>
      </w:r>
      <w:r>
        <w:rPr>
          <w:iCs/>
          <w:color w:val="000000"/>
          <w:szCs w:val="21"/>
          <w:lang w:eastAsia="zh-CN"/>
        </w:rPr>
        <w:t>2011</w:t>
      </w:r>
      <w:r>
        <w:rPr>
          <w:rFonts w:hint="eastAsia"/>
          <w:iCs/>
          <w:color w:val="000000"/>
          <w:szCs w:val="21"/>
          <w:lang w:eastAsia="zh-CN"/>
        </w:rPr>
        <w:t>版）</w:t>
      </w:r>
    </w:p>
    <w:p>
      <w:pPr>
        <w:pStyle w:val="33"/>
        <w:numPr>
          <w:ilvl w:val="0"/>
          <w:numId w:val="5"/>
        </w:numPr>
        <w:spacing w:before="0" w:line="360" w:lineRule="auto"/>
        <w:ind w:left="777"/>
        <w:jc w:val="left"/>
        <w:rPr>
          <w:iCs/>
          <w:color w:val="000000"/>
          <w:szCs w:val="21"/>
          <w:lang w:eastAsia="zh-CN"/>
        </w:rPr>
      </w:pPr>
      <w:r>
        <w:rPr>
          <w:iCs/>
          <w:color w:val="000000"/>
          <w:szCs w:val="21"/>
          <w:lang w:eastAsia="zh-CN"/>
        </w:rPr>
        <w:t>GAMP5</w:t>
      </w:r>
    </w:p>
    <w:p>
      <w:pPr>
        <w:pStyle w:val="33"/>
        <w:spacing w:before="0" w:line="360" w:lineRule="auto"/>
        <w:ind w:left="777"/>
        <w:jc w:val="left"/>
        <w:rPr>
          <w:szCs w:val="21"/>
          <w:lang w:eastAsia="zh-CN"/>
        </w:rPr>
      </w:pPr>
    </w:p>
    <w:permEnd w:id="4"/>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3"/>
        <w:numPr>
          <w:ilvl w:val="0"/>
          <w:numId w:val="5"/>
        </w:numPr>
        <w:spacing w:before="0" w:line="360" w:lineRule="auto"/>
        <w:ind w:left="777"/>
        <w:jc w:val="left"/>
        <w:rPr>
          <w:color w:val="000000"/>
          <w:szCs w:val="21"/>
          <w:lang w:eastAsia="zh-CN"/>
        </w:rPr>
      </w:pPr>
      <w:permStart w:id="5" w:edGrp="everyone"/>
      <w:r>
        <w:rPr>
          <w:color w:val="000000"/>
          <w:szCs w:val="21"/>
          <w:lang w:eastAsia="zh-CN"/>
        </w:rPr>
        <w:t>电气安全应符合GB4793.1和GB4793.4的要求。</w:t>
      </w:r>
    </w:p>
    <w:permEnd w:id="5"/>
    <w:p>
      <w:pPr>
        <w:pStyle w:val="33"/>
        <w:spacing w:before="0" w:line="360" w:lineRule="auto"/>
        <w:ind w:left="357"/>
        <w:jc w:val="left"/>
        <w:rPr>
          <w:i/>
          <w:szCs w:val="21"/>
          <w:lang w:eastAsia="zh-CN"/>
        </w:rPr>
      </w:pPr>
    </w:p>
    <w:p>
      <w:pPr>
        <w:pStyle w:val="33"/>
        <w:spacing w:before="0" w:line="360" w:lineRule="auto"/>
        <w:ind w:left="357"/>
        <w:jc w:val="left"/>
        <w:rPr>
          <w:szCs w:val="21"/>
          <w:lang w:eastAsia="zh-CN"/>
        </w:rPr>
      </w:pPr>
      <w:permStart w:id="6" w:edGrp="everyone"/>
      <w:bookmarkStart w:id="48" w:name="_GoBack"/>
      <w:bookmarkEnd w:id="48"/>
    </w:p>
    <w:permEnd w:id="6"/>
    <w:p>
      <w:pPr>
        <w:pStyle w:val="26"/>
        <w:numPr>
          <w:ilvl w:val="0"/>
          <w:numId w:val="3"/>
        </w:numPr>
        <w:spacing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3"/>
        <w:spacing w:before="0" w:line="360" w:lineRule="auto"/>
        <w:jc w:val="left"/>
        <w:rPr>
          <w:i/>
          <w:color w:val="4472C4"/>
          <w:szCs w:val="21"/>
          <w:lang w:eastAsia="zh-CN"/>
        </w:rPr>
      </w:pPr>
      <w:permStart w:id="7" w:edGrp="everyone"/>
      <w:r>
        <w:rPr>
          <w:rFonts w:hint="eastAsia"/>
          <w:szCs w:val="21"/>
          <w:lang w:eastAsia="zh-CN"/>
        </w:rPr>
        <w:t>质量控制室</w:t>
      </w:r>
      <w:r>
        <w:rPr>
          <w:rFonts w:hint="eastAsia"/>
          <w:szCs w:val="21"/>
          <w:lang w:val="en-US" w:eastAsia="zh-CN"/>
        </w:rPr>
        <w:t>菌毒种</w:t>
      </w:r>
      <w:r>
        <w:rPr>
          <w:rFonts w:hint="eastAsia"/>
          <w:szCs w:val="21"/>
          <w:lang w:eastAsia="zh-CN"/>
        </w:rPr>
        <w:t>检定组需要购买2台集菌仪，用于</w:t>
      </w:r>
      <w:r>
        <w:rPr>
          <w:rFonts w:hint="eastAsia"/>
          <w:szCs w:val="21"/>
          <w:lang w:val="en-US" w:eastAsia="zh-CN"/>
        </w:rPr>
        <w:t>无菌检查的实验需要</w:t>
      </w:r>
    </w:p>
    <w:permEnd w:id="7"/>
    <w:p>
      <w:pPr>
        <w:pStyle w:val="33"/>
        <w:spacing w:before="0" w:line="360" w:lineRule="auto"/>
        <w:ind w:left="357"/>
        <w:jc w:val="left"/>
        <w:rPr>
          <w:i/>
          <w:color w:val="4472C4"/>
          <w:szCs w:val="21"/>
          <w:lang w:eastAsia="zh-CN"/>
        </w:rPr>
      </w:pPr>
    </w:p>
    <w:p>
      <w:pPr>
        <w:pStyle w:val="26"/>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26"/>
        <w:spacing w:afterLines="50"/>
        <w:ind w:left="425" w:firstLine="0" w:firstLineChars="0"/>
        <w:rPr>
          <w:rFonts w:ascii="Times New Roman" w:hAnsi="Times New Roman"/>
          <w:szCs w:val="21"/>
        </w:rPr>
      </w:pPr>
      <w:permStart w:id="8" w:edGrp="everyone"/>
      <w:permEnd w:id="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质量控制室</w:t>
            </w:r>
            <w:r>
              <w:rPr>
                <w:rFonts w:hint="eastAsia" w:ascii="宋体" w:hAnsi="宋体"/>
                <w:color w:val="000000"/>
                <w:szCs w:val="21"/>
                <w:lang w:val="en-US" w:eastAsia="zh-CN"/>
              </w:rPr>
              <w:t>无菌检查洁净室</w:t>
            </w:r>
          </w:p>
        </w:tc>
        <w:tc>
          <w:tcPr>
            <w:tcW w:w="2125" w:type="dxa"/>
            <w:vAlign w:val="center"/>
          </w:tcPr>
          <w:p>
            <w:pPr>
              <w:jc w:val="both"/>
              <w:rPr>
                <w:i/>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szCs w:val="21"/>
                <w:lang w:eastAsia="zh-CN"/>
              </w:rPr>
            </w:pPr>
            <w:r>
              <w:rPr>
                <w:rFonts w:hint="eastAsia" w:ascii="宋体" w:hAnsi="宋体"/>
                <w:szCs w:val="21"/>
                <w:lang w:eastAsia="zh-CN"/>
              </w:rPr>
              <w:t>质量控制室无菌检查洁净室</w:t>
            </w:r>
            <w:r>
              <w:rPr>
                <w:rFonts w:hint="eastAsia" w:ascii="宋体" w:hAnsi="宋体"/>
                <w:szCs w:val="21"/>
                <w:lang w:val="en-US" w:eastAsia="zh-CN"/>
              </w:rPr>
              <w:t>内安装尺寸为：</w:t>
            </w:r>
            <w:r>
              <w:rPr>
                <w:rFonts w:hint="eastAsia" w:ascii="宋体" w:hAnsi="宋体"/>
                <w:color w:val="000000"/>
                <w:szCs w:val="21"/>
                <w:lang w:val="en-US" w:eastAsia="zh-CN"/>
              </w:rPr>
              <w:t>22.5</w:t>
            </w:r>
            <w:r>
              <w:rPr>
                <w:rFonts w:hint="eastAsia" w:ascii="宋体" w:hAnsi="宋体"/>
                <w:color w:val="000000"/>
                <w:szCs w:val="21"/>
                <w:lang w:eastAsia="zh-CN"/>
              </w:rPr>
              <w:t>×</w:t>
            </w:r>
            <w:r>
              <w:rPr>
                <w:rFonts w:hint="eastAsia" w:ascii="宋体" w:hAnsi="宋体"/>
                <w:color w:val="000000"/>
                <w:szCs w:val="21"/>
                <w:lang w:val="en-US" w:eastAsia="zh-CN"/>
              </w:rPr>
              <w:t>40.0</w:t>
            </w:r>
            <w:r>
              <w:rPr>
                <w:rFonts w:hint="eastAsia" w:ascii="宋体" w:hAnsi="宋体"/>
                <w:color w:val="000000"/>
                <w:szCs w:val="21"/>
                <w:lang w:eastAsia="zh-CN"/>
              </w:rPr>
              <w:t>×</w:t>
            </w:r>
            <w:r>
              <w:rPr>
                <w:rFonts w:hint="eastAsia" w:ascii="宋体" w:hAnsi="宋体"/>
                <w:color w:val="000000"/>
                <w:szCs w:val="21"/>
                <w:lang w:val="en-US" w:eastAsia="zh-CN"/>
              </w:rPr>
              <w:t>11.2</w:t>
            </w:r>
            <w:r>
              <w:rPr>
                <w:rFonts w:hint="eastAsia" w:ascii="宋体" w:hAnsi="宋体"/>
                <w:color w:val="000000"/>
                <w:szCs w:val="21"/>
                <w:lang w:eastAsia="zh-CN"/>
              </w:rPr>
              <w:t>（</w:t>
            </w:r>
            <w:r>
              <w:rPr>
                <w:rFonts w:hint="eastAsia" w:ascii="宋体" w:hAnsi="宋体"/>
                <w:color w:val="000000"/>
                <w:szCs w:val="21"/>
                <w:lang w:val="en-US" w:eastAsia="zh-CN"/>
              </w:rPr>
              <w:t>c</w:t>
            </w:r>
            <w:r>
              <w:rPr>
                <w:rFonts w:ascii="宋体" w:hAnsi="宋体"/>
                <w:color w:val="000000"/>
                <w:szCs w:val="21"/>
                <w:lang w:val="en-US" w:eastAsia="zh-CN"/>
              </w:rPr>
              <w:t>m</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ascii="宋体" w:hAnsi="宋体"/>
                <w:szCs w:val="21"/>
                <w:lang w:val="en-US" w:eastAsia="zh-CN"/>
              </w:rPr>
              <w:t>悬架总高度：43cm</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eastAsia="zh-CN"/>
              </w:rPr>
            </w:pPr>
            <w:r>
              <w:rPr>
                <w:rFonts w:hint="eastAsia"/>
                <w:color w:val="000000"/>
                <w:szCs w:val="21"/>
                <w:lang w:val="en-US" w:eastAsia="zh-CN"/>
              </w:rPr>
              <w:t>重量（16</w:t>
            </w:r>
            <w:r>
              <w:rPr>
                <w:color w:val="000000"/>
                <w:szCs w:val="21"/>
                <w:lang w:val="en-US" w:eastAsia="zh-CN"/>
              </w:rPr>
              <w:t>kg</w:t>
            </w:r>
            <w:r>
              <w:rPr>
                <w:rFonts w:hint="eastAsia"/>
                <w:color w:val="000000"/>
                <w:szCs w:val="21"/>
                <w:lang w:val="en-US" w:eastAsia="zh-CN"/>
              </w:rPr>
              <w:t>）不超出房间地面承重要求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ind w:left="426"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color w:val="000000"/>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rFonts w:hint="eastAsia"/>
                <w:iCs/>
                <w:color w:val="000000"/>
                <w:lang w:eastAsia="zh-CN"/>
              </w:rPr>
              <w:t>适用于我公司</w:t>
            </w:r>
            <w:r>
              <w:rPr>
                <w:rFonts w:hint="eastAsia"/>
                <w:color w:val="000000"/>
                <w:lang w:eastAsia="zh-CN"/>
              </w:rPr>
              <w:t>工作环境湿度：能适应</w:t>
            </w:r>
            <w:r>
              <w:rPr>
                <w:rFonts w:hint="eastAsia"/>
                <w:color w:val="000000"/>
                <w:lang w:val="en-US" w:eastAsia="zh-CN"/>
              </w:rPr>
              <w:t>18</w:t>
            </w:r>
            <w:r>
              <w:rPr>
                <w:rFonts w:hint="eastAsia" w:ascii="宋体" w:hAnsi="宋体" w:cs="宋体"/>
                <w:color w:val="000000"/>
                <w:lang w:eastAsia="zh-CN"/>
              </w:rPr>
              <w:t>℃</w:t>
            </w:r>
            <w:r>
              <w:rPr>
                <w:rFonts w:hint="eastAsia"/>
                <w:color w:val="000000"/>
                <w:lang w:eastAsia="zh-CN"/>
              </w:rPr>
              <w:t>～</w:t>
            </w:r>
            <w:r>
              <w:rPr>
                <w:rFonts w:hint="eastAsia"/>
                <w:color w:val="000000"/>
                <w:lang w:val="en-US" w:eastAsia="zh-CN"/>
              </w:rPr>
              <w:t>26</w:t>
            </w:r>
            <w:r>
              <w:rPr>
                <w:rFonts w:hint="eastAsia" w:ascii="宋体" w:hAnsi="宋体" w:cs="宋体"/>
                <w:color w:val="000000"/>
                <w:lang w:eastAsia="zh-CN"/>
              </w:rPr>
              <w:t>℃</w:t>
            </w:r>
            <w:r>
              <w:rPr>
                <w:rFonts w:hint="eastAsia"/>
                <w:color w:val="000000"/>
                <w:lang w:eastAsia="zh-CN"/>
              </w:rPr>
              <w:t>环境</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szCs w:val="21"/>
                <w:lang w:val="en-US" w:eastAsia="zh-CN"/>
              </w:rPr>
              <w:t>适用于我公司工</w:t>
            </w:r>
            <w:r>
              <w:rPr>
                <w:color w:val="000000"/>
                <w:szCs w:val="21"/>
                <w:lang w:val="en-US" w:eastAsia="zh-CN"/>
              </w:rPr>
              <w:t>作环境湿度：至少包括45%～</w:t>
            </w:r>
            <w:r>
              <w:rPr>
                <w:rFonts w:hint="eastAsia"/>
                <w:color w:val="000000"/>
                <w:szCs w:val="21"/>
                <w:lang w:val="en-US" w:eastAsia="zh-CN"/>
              </w:rPr>
              <w:t>65</w:t>
            </w:r>
            <w:r>
              <w:rPr>
                <w:color w:val="000000"/>
                <w:szCs w:val="21"/>
                <w:lang w:val="en-US"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szCs w:val="21"/>
                <w:lang w:val="en-US" w:eastAsia="zh-CN"/>
              </w:rPr>
              <w:t>适用于我公司</w:t>
            </w:r>
            <w:r>
              <w:rPr>
                <w:color w:val="000000"/>
                <w:szCs w:val="21"/>
                <w:lang w:val="en-US" w:eastAsia="zh-CN"/>
              </w:rPr>
              <w:t>工作环境洁净级别：</w:t>
            </w:r>
            <w:r>
              <w:rPr>
                <w:rFonts w:hint="eastAsia"/>
                <w:i/>
                <w:color w:val="000000"/>
                <w:lang w:val="en-US" w:eastAsia="zh-CN"/>
              </w:rPr>
              <w:t>A级</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szCs w:val="21"/>
                <w:lang w:val="en-US" w:eastAsia="zh-CN"/>
              </w:rPr>
            </w:pPr>
            <w:r>
              <w:rPr>
                <w:szCs w:val="21"/>
                <w:lang w:val="en-US" w:eastAsia="zh-CN"/>
              </w:rPr>
              <w:t>匹配</w:t>
            </w:r>
            <w:r>
              <w:rPr>
                <w:color w:val="000000"/>
                <w:szCs w:val="21"/>
                <w:lang w:val="en-US" w:eastAsia="zh-CN"/>
              </w:rPr>
              <w:t xml:space="preserve">交流电电源：～220±10%V，50±1Hz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工作区配置防溅安全电源插座</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设备外观应端正、整齐，不得有明显的偏歪、毛刺和锈蚀等缺陷。表面应易于清洁消毒，耐腐蚀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设备内部表面不得有凹陷、毛刺和锈蚀等缺陷，且表面易于清洁消毒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ascii="宋体" w:hAnsi="宋体"/>
                <w:color w:val="000000"/>
                <w:szCs w:val="21"/>
                <w:lang w:val="en-US" w:eastAsia="zh-CN"/>
              </w:rPr>
              <w:t>不锈钢机壳经镜面处理，表面光洁平整，便于清洁和消毒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eastAsia="zh-CN"/>
              </w:rPr>
              <w:t>工作室采用优质不锈钢板制成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超大显示屏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全新设计泵头及保护罩，具有安全保护功能，有效避免误操作对操作人员的伤害；钢化玻璃触摸感应式防水控制面板，配合脚踏开关双重控制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制造/供应单位；</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产品注册号；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型号；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生产日期或编号；</w:t>
            </w:r>
          </w:p>
          <w:p>
            <w:pPr>
              <w:numPr>
                <w:ilvl w:val="1"/>
                <w:numId w:val="7"/>
              </w:numPr>
              <w:tabs>
                <w:tab w:val="left" w:pos="370"/>
                <w:tab w:val="clear" w:pos="1440"/>
              </w:tabs>
              <w:spacing w:line="276" w:lineRule="auto"/>
              <w:ind w:left="370" w:hanging="370"/>
              <w:jc w:val="both"/>
              <w:rPr>
                <w:szCs w:val="21"/>
                <w:lang w:eastAsia="zh-CN"/>
              </w:rPr>
            </w:pPr>
            <w:r>
              <w:rPr>
                <w:szCs w:val="21"/>
                <w:lang w:eastAsia="zh-CN"/>
              </w:rPr>
              <w:t>对设备必要的说明；</w:t>
            </w:r>
          </w:p>
          <w:p>
            <w:pPr>
              <w:numPr>
                <w:ilvl w:val="1"/>
                <w:numId w:val="7"/>
              </w:numPr>
              <w:tabs>
                <w:tab w:val="left" w:pos="370"/>
                <w:tab w:val="clear" w:pos="1440"/>
              </w:tabs>
              <w:spacing w:line="276" w:lineRule="auto"/>
              <w:ind w:left="370" w:hanging="370"/>
              <w:jc w:val="both"/>
              <w:rPr>
                <w:szCs w:val="21"/>
                <w:lang w:val="en-US" w:eastAsia="zh-CN"/>
              </w:rPr>
            </w:pPr>
            <w:r>
              <w:rPr>
                <w:rFonts w:hint="eastAsia"/>
                <w:szCs w:val="21"/>
                <w:lang w:val="en-US" w:eastAsia="zh-CN"/>
              </w:rPr>
              <w:t>必要的功能标识及说明</w:t>
            </w:r>
          </w:p>
          <w:p>
            <w:pPr>
              <w:pStyle w:val="8"/>
              <w:numPr>
                <w:ilvl w:val="1"/>
                <w:numId w:val="7"/>
              </w:numPr>
              <w:tabs>
                <w:tab w:val="left" w:pos="370"/>
                <w:tab w:val="clear" w:pos="1440"/>
              </w:tabs>
              <w:spacing w:line="276" w:lineRule="auto"/>
              <w:ind w:left="370" w:hanging="370"/>
              <w:rPr>
                <w:sz w:val="21"/>
                <w:szCs w:val="21"/>
                <w:lang w:eastAsia="zh-CN"/>
              </w:rPr>
            </w:pPr>
            <w:r>
              <w:rPr>
                <w:sz w:val="21"/>
                <w:szCs w:val="21"/>
              </w:rPr>
              <w:t>安全标识。</w:t>
            </w:r>
          </w:p>
        </w:tc>
        <w:tc>
          <w:tcPr>
            <w:tcW w:w="2125" w:type="dxa"/>
            <w:vAlign w:val="center"/>
          </w:tcPr>
          <w:p>
            <w:pPr>
              <w:jc w:val="both"/>
              <w:rPr>
                <w:szCs w:val="21"/>
                <w:lang w:eastAsia="zh-CN"/>
              </w:rPr>
            </w:pPr>
            <w:r>
              <w:rPr>
                <w:rFonts w:hint="eastAsia"/>
                <w:szCs w:val="21"/>
                <w:lang w:eastAsia="zh-CN"/>
              </w:rPr>
              <w:t>关键</w:t>
            </w:r>
          </w:p>
        </w:tc>
      </w:tr>
      <w:bookmarkEnd w:id="24"/>
      <w:bookmarkEnd w:id="25"/>
      <w:permEnd w:id="18"/>
    </w:tbl>
    <w:p>
      <w:pPr>
        <w:pStyle w:val="26"/>
        <w:spacing w:afterLines="50"/>
        <w:ind w:left="425" w:firstLine="0" w:firstLineChars="0"/>
        <w:rPr>
          <w:rFonts w:ascii="Times New Roman" w:hAnsi="Times New Roman"/>
          <w:szCs w:val="21"/>
        </w:rPr>
      </w:pPr>
    </w:p>
    <w:p>
      <w:pPr>
        <w:pStyle w:val="26"/>
        <w:numPr>
          <w:ilvl w:val="0"/>
          <w:numId w:val="3"/>
        </w:numPr>
        <w:spacing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3"/>
        <w:spacing w:before="0" w:line="360" w:lineRule="auto"/>
        <w:ind w:left="357"/>
        <w:jc w:val="left"/>
        <w:rPr>
          <w:bCs/>
          <w:i/>
          <w:color w:val="4472C4"/>
          <w:kern w:val="44"/>
          <w:szCs w:val="21"/>
          <w:lang w:eastAsia="zh-CN"/>
        </w:rPr>
      </w:pPr>
      <w:permStart w:id="19"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20" w:edGrp="everyone"/>
          </w:p>
        </w:tc>
        <w:tc>
          <w:tcPr>
            <w:tcW w:w="7128" w:type="dxa"/>
            <w:vAlign w:val="center"/>
          </w:tcPr>
          <w:p>
            <w:pPr>
              <w:pStyle w:val="8"/>
              <w:spacing w:line="360" w:lineRule="auto"/>
              <w:rPr>
                <w:rFonts w:ascii="宋体"/>
                <w:b/>
                <w:color w:val="000000"/>
                <w:sz w:val="21"/>
                <w:szCs w:val="21"/>
                <w:lang w:eastAsia="zh-CN"/>
              </w:rPr>
            </w:pPr>
            <w:r>
              <w:rPr>
                <w:rFonts w:hint="eastAsia"/>
                <w:color w:val="000000"/>
                <w:sz w:val="21"/>
                <w:szCs w:val="21"/>
              </w:rPr>
              <w:t>洁净区的设备材质应该耐腐蚀，易于清洁消毒</w:t>
            </w:r>
          </w:p>
        </w:tc>
        <w:tc>
          <w:tcPr>
            <w:tcW w:w="2125" w:type="dxa"/>
            <w:vAlign w:val="center"/>
          </w:tcPr>
          <w:p>
            <w:pPr>
              <w:jc w:val="both"/>
              <w:rPr>
                <w:szCs w:val="21"/>
                <w:lang w:eastAsia="zh-CN"/>
              </w:rPr>
            </w:pPr>
            <w:r>
              <w:rPr>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21" w:edGrp="everyone"/>
          </w:p>
        </w:tc>
        <w:tc>
          <w:tcPr>
            <w:tcW w:w="7128" w:type="dxa"/>
            <w:vAlign w:val="center"/>
          </w:tcPr>
          <w:p>
            <w:pPr>
              <w:pStyle w:val="8"/>
              <w:spacing w:line="360" w:lineRule="auto"/>
              <w:rPr>
                <w:rFonts w:ascii="宋体"/>
                <w:b/>
                <w:color w:val="000000"/>
                <w:sz w:val="21"/>
                <w:szCs w:val="21"/>
                <w:lang w:eastAsia="zh-CN"/>
              </w:rPr>
            </w:pPr>
            <w:r>
              <w:rPr>
                <w:rFonts w:hint="eastAsia"/>
                <w:color w:val="000000"/>
                <w:sz w:val="21"/>
                <w:szCs w:val="21"/>
              </w:rPr>
              <w:t>功率：90W    转速：15-300rpm</w:t>
            </w:r>
          </w:p>
        </w:tc>
        <w:tc>
          <w:tcPr>
            <w:tcW w:w="2125" w:type="dxa"/>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ind w:left="426" w:firstLine="0" w:firstLineChars="0"/>
              <w:rPr>
                <w:rFonts w:ascii="Times New Roman" w:hAnsi="Times New Roman"/>
                <w:szCs w:val="21"/>
              </w:rPr>
            </w:pPr>
            <w:permStart w:id="22" w:edGrp="everyone"/>
          </w:p>
        </w:tc>
        <w:tc>
          <w:tcPr>
            <w:tcW w:w="9253" w:type="dxa"/>
            <w:gridSpan w:val="2"/>
            <w:vAlign w:val="center"/>
          </w:tcPr>
          <w:p>
            <w:pPr>
              <w:rPr>
                <w:szCs w:val="21"/>
              </w:rPr>
            </w:pPr>
            <w:r>
              <w:rPr>
                <w:color w:val="000000"/>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3" w:edGrp="everyone"/>
          </w:p>
        </w:tc>
        <w:tc>
          <w:tcPr>
            <w:tcW w:w="9253" w:type="dxa"/>
            <w:gridSpan w:val="2"/>
            <w:vAlign w:val="center"/>
          </w:tcPr>
          <w:p>
            <w:pPr>
              <w:jc w:val="both"/>
              <w:rPr>
                <w:szCs w:val="21"/>
                <w:lang w:eastAsia="zh-CN"/>
              </w:rPr>
            </w:pPr>
            <w:r>
              <w:rPr>
                <w:color w:val="000000"/>
                <w:szCs w:val="21"/>
                <w:lang w:val="en-US" w:eastAsia="zh-CN"/>
              </w:rPr>
              <w:t>N/A</w:t>
            </w:r>
          </w:p>
        </w:tc>
      </w:tr>
      <w:permEnd w:id="23"/>
    </w:tbl>
    <w:p>
      <w:pPr>
        <w:pStyle w:val="26"/>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717202"/>
      <w:bookmarkStart w:id="31" w:name="_Toc482369815"/>
      <w:bookmarkStart w:id="32" w:name="_Toc482370071"/>
      <w:bookmarkStart w:id="33" w:name="_Toc482370151"/>
      <w:bookmarkStart w:id="34" w:name="_Toc481702480"/>
      <w:bookmarkStart w:id="35" w:name="_Toc482359946"/>
      <w:bookmarkStart w:id="36" w:name="_Toc482625289"/>
      <w:bookmarkStart w:id="37" w:name="_Toc483227237"/>
      <w:bookmarkStart w:id="38" w:name="_Toc483400317"/>
      <w:bookmarkStart w:id="39" w:name="_Toc482370359"/>
      <w:bookmarkStart w:id="40" w:name="_Toc482370767"/>
      <w:bookmarkStart w:id="41" w:name="_Toc482360291"/>
      <w:r>
        <w:rPr>
          <w:rFonts w:ascii="Times New Roman" w:hAnsi="Times New Roman"/>
          <w:b/>
        </w:rPr>
        <w:t>电气、自动控制要求</w:t>
      </w:r>
      <w:bookmarkEnd w:id="28"/>
    </w:p>
    <w:p>
      <w:pPr>
        <w:pStyle w:val="33"/>
        <w:spacing w:before="0" w:line="360" w:lineRule="auto"/>
        <w:ind w:left="425"/>
        <w:jc w:val="left"/>
        <w:rPr>
          <w:i/>
          <w:color w:val="4472C4"/>
          <w:szCs w:val="21"/>
          <w:lang w:eastAsia="zh-CN"/>
        </w:rPr>
      </w:pPr>
      <w:permStart w:id="2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6"/>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eastAsia="zh-CN"/>
              </w:rPr>
            </w:pPr>
            <w:r>
              <w:rPr>
                <w:rFonts w:hint="eastAsia" w:ascii="宋体" w:hAnsi="宋体"/>
                <w:szCs w:val="21"/>
                <w:lang w:val="en-US" w:eastAsia="zh-CN"/>
              </w:rPr>
              <w:t>无级调速，具有转速记忆功能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val="en-US" w:eastAsia="zh-CN"/>
              </w:rPr>
              <w:t>采用无刷直流电机，无电气接触火花、安全、防爆性好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val="en-US" w:eastAsia="zh-CN"/>
              </w:rPr>
              <w:t>选配压力监控，安全保护功能，压力过高能声光报警，并自动调节至适宜转速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准确的分流液体样品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高精度提取非常少量的样品</w:t>
            </w:r>
          </w:p>
        </w:tc>
        <w:tc>
          <w:tcPr>
            <w:tcW w:w="2125"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6" w:edGrp="everyone"/>
          </w:p>
        </w:tc>
        <w:tc>
          <w:tcPr>
            <w:tcW w:w="9253" w:type="dxa"/>
            <w:gridSpan w:val="2"/>
            <w:vAlign w:val="center"/>
          </w:tcPr>
          <w:p>
            <w:pPr>
              <w:jc w:val="both"/>
              <w:rPr>
                <w:szCs w:val="21"/>
                <w:lang w:eastAsia="zh-CN"/>
              </w:rPr>
            </w:pPr>
            <w:r>
              <w:rPr>
                <w:iCs/>
                <w:szCs w:val="21"/>
                <w:lang w:val="en-US" w:eastAsia="zh-CN"/>
              </w:rPr>
              <w:t>N/A</w:t>
            </w:r>
          </w:p>
        </w:tc>
      </w:tr>
      <w:permEnd w:id="26"/>
    </w:tbl>
    <w:p>
      <w:pPr>
        <w:spacing w:afterLines="50"/>
        <w:rPr>
          <w:b/>
          <w:lang w:eastAsia="zh-CN"/>
        </w:rPr>
      </w:pPr>
    </w:p>
    <w:p>
      <w:pPr>
        <w:pStyle w:val="26"/>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3"/>
        <w:spacing w:before="0" w:line="360" w:lineRule="auto"/>
        <w:jc w:val="left"/>
        <w:rPr>
          <w:i/>
          <w:color w:val="4472C4"/>
          <w:szCs w:val="21"/>
          <w:lang w:eastAsia="zh-CN"/>
        </w:rPr>
      </w:pPr>
      <w:permStart w:id="27"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26"/>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8" w:edGrp="everyone"/>
          </w:p>
        </w:tc>
        <w:tc>
          <w:tcPr>
            <w:tcW w:w="9253" w:type="dxa"/>
            <w:gridSpan w:val="2"/>
            <w:vAlign w:val="center"/>
          </w:tcPr>
          <w:p>
            <w:pPr>
              <w:jc w:val="both"/>
              <w:rPr>
                <w:szCs w:val="21"/>
                <w:lang w:eastAsia="zh-CN"/>
              </w:rPr>
            </w:pPr>
            <w:r>
              <w:rPr>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9" w:edGrp="everyone"/>
          </w:p>
        </w:tc>
        <w:tc>
          <w:tcPr>
            <w:tcW w:w="9253" w:type="dxa"/>
            <w:gridSpan w:val="2"/>
            <w:vAlign w:val="center"/>
          </w:tcPr>
          <w:p>
            <w:pPr>
              <w:jc w:val="both"/>
              <w:rPr>
                <w:szCs w:val="21"/>
                <w:lang w:eastAsia="zh-CN"/>
              </w:rPr>
            </w:pPr>
            <w:r>
              <w:rPr>
                <w:szCs w:val="21"/>
                <w:lang w:eastAsia="zh-CN"/>
              </w:rPr>
              <w:t>N/A</w:t>
            </w:r>
          </w:p>
        </w:tc>
      </w:tr>
      <w:permEnd w:id="29"/>
    </w:tbl>
    <w:p>
      <w:pPr>
        <w:rPr>
          <w:szCs w:val="21"/>
          <w:lang w:eastAsia="zh-CN"/>
        </w:rPr>
      </w:pPr>
    </w:p>
    <w:p>
      <w:pPr>
        <w:pStyle w:val="26"/>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3"/>
        <w:spacing w:before="0" w:line="360" w:lineRule="auto"/>
        <w:jc w:val="left"/>
        <w:rPr>
          <w:i/>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rFonts w:ascii="宋体" w:hAnsi="宋体"/>
                <w:szCs w:val="21"/>
                <w:lang w:eastAsia="zh-CN"/>
              </w:rPr>
            </w:pPr>
            <w:r>
              <w:rPr>
                <w:rFonts w:hint="eastAsia" w:ascii="宋体" w:hAnsi="宋体"/>
                <w:szCs w:val="21"/>
                <w:lang w:eastAsia="zh-CN"/>
              </w:rPr>
              <w:t>开箱验收时提供投标文件、合同及订单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不晚于IQ开始前提供卖方发运清单及相关检验报告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DQ开始前完成审批时提供设计选型文件：设备详细功能说明书；须提供功能描述和标准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不晚于IQ开始前提供图纸：实物图；各种验证、维修等活动所需的电子版及打印版设备布局图、设备尺寸图、设备局部图（与功能相关的细节图）、控制原理图、</w:t>
            </w:r>
            <w:r>
              <w:rPr>
                <w:rFonts w:ascii="宋体" w:hAnsi="宋体"/>
                <w:szCs w:val="21"/>
                <w:lang w:eastAsia="zh-CN"/>
              </w:rPr>
              <w:t>P&amp;ID</w:t>
            </w:r>
            <w:r>
              <w:rPr>
                <w:rFonts w:hint="eastAsia" w:ascii="宋体" w:hAnsi="宋体"/>
                <w:szCs w:val="21"/>
                <w:lang w:eastAsia="zh-CN"/>
              </w:rPr>
              <w:t>图、图纸清单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不晚于IQ开始前提供</w:t>
            </w:r>
            <w:r>
              <w:rPr>
                <w:rFonts w:hint="eastAsia" w:ascii="宋体" w:hAnsi="宋体" w:cs="宋体"/>
                <w:szCs w:val="21"/>
                <w:lang w:eastAsia="zh-CN"/>
              </w:rPr>
              <w:t>配件清单、易损件清单、备件、消耗品清单</w:t>
            </w:r>
            <w:r>
              <w:rPr>
                <w:rFonts w:hint="eastAsia" w:ascii="宋体" w:hAnsi="宋体"/>
                <w:szCs w:val="21"/>
                <w:lang w:eastAsia="zh-CN"/>
              </w:rPr>
              <w:t>：包括名称、编号、对应厂家名称、生产地、规格及必要说明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不晚于IQ开始前提供设备厂家文件：</w:t>
            </w:r>
            <w:r>
              <w:rPr>
                <w:rFonts w:hint="eastAsia" w:ascii="宋体" w:hAnsi="宋体" w:cs="宋体"/>
                <w:szCs w:val="21"/>
                <w:lang w:eastAsia="zh-CN"/>
              </w:rPr>
              <w:t>出厂测试合格证、</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设备开箱验收时提供</w:t>
            </w:r>
            <w:r>
              <w:rPr>
                <w:rFonts w:hint="eastAsia" w:ascii="宋体" w:hAnsi="宋体" w:cs="宋体"/>
                <w:szCs w:val="21"/>
                <w:lang w:eastAsia="zh-CN"/>
              </w:rPr>
              <w:t>设备操作手册（</w:t>
            </w:r>
            <w:r>
              <w:rPr>
                <w:rFonts w:ascii="宋体" w:hAnsi="宋体" w:cs="宋体"/>
                <w:szCs w:val="21"/>
                <w:lang w:eastAsia="zh-CN"/>
              </w:rPr>
              <w:t>SOP</w:t>
            </w:r>
            <w:r>
              <w:rPr>
                <w:rFonts w:hint="eastAsia" w:ascii="宋体" w:hAnsi="宋体" w:cs="宋体"/>
                <w:szCs w:val="21"/>
                <w:lang w:eastAsia="zh-CN"/>
              </w:rPr>
              <w:t>）</w:t>
            </w:r>
            <w:r>
              <w:rPr>
                <w:rFonts w:hint="eastAsia"/>
                <w:szCs w:val="21"/>
                <w:lang w:eastAsia="zh-CN"/>
              </w:rPr>
              <w:t>：</w:t>
            </w:r>
            <w:r>
              <w:rPr>
                <w:rFonts w:hint="eastAsia" w:ascii="宋体" w:hAnsi="宋体" w:cs="宋体"/>
                <w:szCs w:val="21"/>
                <w:lang w:eastAsia="zh-CN"/>
              </w:rPr>
              <w:t>语言为中文，</w:t>
            </w:r>
            <w:r>
              <w:rPr>
                <w:rFonts w:hint="eastAsia"/>
                <w:szCs w:val="21"/>
                <w:lang w:eastAsia="zh-CN"/>
              </w:rPr>
              <w:t>应说明校准周期，并能提供校准服务（此项服务可付费）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不晚于IQ开始前提供</w:t>
            </w:r>
            <w:r>
              <w:rPr>
                <w:rFonts w:hint="eastAsia" w:ascii="宋体" w:hAnsi="宋体"/>
                <w:color w:val="000000"/>
                <w:szCs w:val="21"/>
                <w:lang w:eastAsia="zh-CN"/>
              </w:rPr>
              <w:t>第三方</w:t>
            </w:r>
            <w:r>
              <w:rPr>
                <w:rFonts w:hint="eastAsia" w:ascii="宋体" w:hAnsi="宋体"/>
                <w:szCs w:val="21"/>
                <w:lang w:eastAsia="zh-CN"/>
              </w:rPr>
              <w:t>校验报告及计量证书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rPr>
              <w:t>设备开箱验收</w:t>
            </w:r>
            <w:r>
              <w:rPr>
                <w:rFonts w:hint="eastAsia" w:ascii="宋体" w:hAnsi="宋体"/>
                <w:szCs w:val="21"/>
                <w:lang w:eastAsia="zh-CN"/>
              </w:rPr>
              <w:t>提供</w:t>
            </w:r>
            <w:r>
              <w:rPr>
                <w:rFonts w:hint="eastAsia" w:ascii="宋体" w:hAnsi="宋体"/>
                <w:szCs w:val="21"/>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szCs w:val="21"/>
                <w:lang w:eastAsia="zh-CN"/>
              </w:rPr>
              <w:t>设备开箱验收时提供材质证书（写明材料有效期）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具有医疗器械注册证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color w:val="000000"/>
                <w:sz w:val="21"/>
                <w:szCs w:val="21"/>
                <w:lang w:eastAsia="zh-CN"/>
              </w:rPr>
            </w:pPr>
            <w:r>
              <w:rPr>
                <w:rFonts w:hint="eastAsia"/>
                <w:sz w:val="21"/>
                <w:szCs w:val="21"/>
                <w:lang w:eastAsia="zh-CN"/>
              </w:rPr>
              <w:t>验</w:t>
            </w:r>
            <w:r>
              <w:rPr>
                <w:rFonts w:hint="eastAsia"/>
                <w:color w:val="000000"/>
                <w:sz w:val="21"/>
                <w:szCs w:val="21"/>
                <w:lang w:eastAsia="zh-CN"/>
              </w:rPr>
              <w:t>证文件：</w:t>
            </w:r>
          </w:p>
          <w:p>
            <w:pPr>
              <w:numPr>
                <w:ilvl w:val="0"/>
                <w:numId w:val="11"/>
              </w:numPr>
              <w:jc w:val="both"/>
              <w:rPr>
                <w:color w:val="000000"/>
                <w:szCs w:val="21"/>
                <w:lang w:eastAsia="zh-CN"/>
              </w:rPr>
            </w:pPr>
            <w:r>
              <w:rPr>
                <w:rFonts w:hint="eastAsia"/>
                <w:color w:val="000000"/>
                <w:szCs w:val="21"/>
                <w:lang w:eastAsia="zh-CN"/>
              </w:rPr>
              <w:t>设计阶段，设计确认开始前提供验证计划；</w:t>
            </w:r>
          </w:p>
          <w:p>
            <w:pPr>
              <w:numPr>
                <w:ilvl w:val="0"/>
                <w:numId w:val="11"/>
              </w:numPr>
              <w:jc w:val="both"/>
              <w:rPr>
                <w:color w:val="000000"/>
                <w:szCs w:val="21"/>
                <w:lang w:eastAsia="zh-CN"/>
              </w:rPr>
            </w:pPr>
            <w:r>
              <w:rPr>
                <w:rFonts w:hint="eastAsia"/>
                <w:color w:val="000000"/>
                <w:szCs w:val="21"/>
                <w:lang w:eastAsia="zh-CN"/>
              </w:rPr>
              <w:t>系统影响性评估、计算机化系统影响性评估在DQ开始前需满足</w:t>
            </w:r>
            <w:r>
              <w:rPr>
                <w:color w:val="000000"/>
                <w:szCs w:val="21"/>
                <w:lang w:eastAsia="zh-CN"/>
              </w:rPr>
              <w:t>GMP</w:t>
            </w:r>
            <w:r>
              <w:rPr>
                <w:rFonts w:hint="eastAsia"/>
                <w:color w:val="000000"/>
                <w:szCs w:val="21"/>
                <w:lang w:eastAsia="zh-CN"/>
              </w:rPr>
              <w:t>和</w:t>
            </w:r>
            <w:r>
              <w:rPr>
                <w:color w:val="000000"/>
                <w:szCs w:val="21"/>
                <w:lang w:eastAsia="zh-CN"/>
              </w:rPr>
              <w:t>GAMP5</w:t>
            </w:r>
            <w:r>
              <w:rPr>
                <w:rFonts w:hint="eastAsia"/>
                <w:color w:val="000000"/>
                <w:szCs w:val="21"/>
                <w:lang w:eastAsia="zh-CN"/>
              </w:rPr>
              <w:t>相关法规的评估文件；</w:t>
            </w:r>
          </w:p>
          <w:p>
            <w:pPr>
              <w:numPr>
                <w:ilvl w:val="0"/>
                <w:numId w:val="11"/>
              </w:numPr>
              <w:jc w:val="both"/>
              <w:rPr>
                <w:color w:val="000000"/>
                <w:szCs w:val="21"/>
                <w:lang w:eastAsia="zh-CN"/>
              </w:rPr>
            </w:pPr>
            <w:r>
              <w:rPr>
                <w:rFonts w:hint="eastAsia"/>
                <w:color w:val="000000"/>
                <w:szCs w:val="21"/>
                <w:lang w:eastAsia="zh-CN"/>
              </w:rPr>
              <w:t>设计完成后，制造及安装开始前完成审批并提交设计确认及文件（</w:t>
            </w:r>
            <w:r>
              <w:rPr>
                <w:color w:val="000000"/>
                <w:szCs w:val="21"/>
                <w:lang w:eastAsia="zh-CN"/>
              </w:rPr>
              <w:t>DQ</w:t>
            </w:r>
            <w:r>
              <w:rPr>
                <w:rFonts w:hint="eastAsia"/>
                <w:color w:val="000000"/>
                <w:szCs w:val="21"/>
                <w:lang w:eastAsia="zh-CN"/>
              </w:rPr>
              <w:t>）；</w:t>
            </w:r>
          </w:p>
          <w:p>
            <w:pPr>
              <w:numPr>
                <w:ilvl w:val="0"/>
                <w:numId w:val="11"/>
              </w:numPr>
              <w:jc w:val="both"/>
              <w:rPr>
                <w:color w:val="000000"/>
                <w:szCs w:val="21"/>
                <w:lang w:eastAsia="zh-CN"/>
              </w:rPr>
            </w:pPr>
            <w:r>
              <w:rPr>
                <w:rFonts w:hint="eastAsia"/>
                <w:color w:val="000000"/>
                <w:szCs w:val="21"/>
                <w:lang w:eastAsia="zh-CN"/>
              </w:rPr>
              <w:t>SAT批准后开始执行，OQ开始前完成审批并提交安装确认及文件（</w:t>
            </w:r>
            <w:r>
              <w:rPr>
                <w:color w:val="000000"/>
                <w:szCs w:val="21"/>
                <w:lang w:eastAsia="zh-CN"/>
              </w:rPr>
              <w:t>IQ</w:t>
            </w:r>
            <w:r>
              <w:rPr>
                <w:rFonts w:hint="eastAsia"/>
                <w:color w:val="000000"/>
                <w:szCs w:val="21"/>
                <w:lang w:eastAsia="zh-CN"/>
              </w:rPr>
              <w:t>）；</w:t>
            </w:r>
          </w:p>
          <w:p>
            <w:pPr>
              <w:numPr>
                <w:ilvl w:val="0"/>
                <w:numId w:val="11"/>
              </w:numPr>
              <w:jc w:val="both"/>
              <w:rPr>
                <w:color w:val="000000"/>
                <w:szCs w:val="21"/>
                <w:lang w:eastAsia="zh-CN"/>
              </w:rPr>
            </w:pPr>
            <w:r>
              <w:rPr>
                <w:rFonts w:hint="eastAsia"/>
                <w:color w:val="000000"/>
                <w:szCs w:val="21"/>
                <w:lang w:eastAsia="zh-CN"/>
              </w:rPr>
              <w:t>IQ批准后开始执行，PQ开始前完成审批并提交运行确认及文件（</w:t>
            </w:r>
            <w:r>
              <w:rPr>
                <w:color w:val="000000"/>
                <w:szCs w:val="21"/>
                <w:lang w:eastAsia="zh-CN"/>
              </w:rPr>
              <w:t>OQ</w:t>
            </w:r>
            <w:r>
              <w:rPr>
                <w:rFonts w:hint="eastAsia"/>
                <w:color w:val="000000"/>
                <w:szCs w:val="21"/>
                <w:lang w:eastAsia="zh-CN"/>
              </w:rPr>
              <w:t>）；</w:t>
            </w:r>
          </w:p>
          <w:p>
            <w:pPr>
              <w:numPr>
                <w:ilvl w:val="1"/>
                <w:numId w:val="7"/>
              </w:numPr>
              <w:tabs>
                <w:tab w:val="left" w:pos="370"/>
                <w:tab w:val="clear" w:pos="1440"/>
              </w:tabs>
              <w:ind w:left="370" w:hanging="370"/>
              <w:jc w:val="both"/>
              <w:rPr>
                <w:szCs w:val="21"/>
                <w:lang w:eastAsia="zh-CN"/>
              </w:rPr>
            </w:pPr>
            <w:r>
              <w:rPr>
                <w:rFonts w:hint="eastAsia"/>
                <w:color w:val="000000"/>
                <w:szCs w:val="21"/>
                <w:lang w:eastAsia="zh-CN"/>
              </w:rPr>
              <w:t>设备生产商负责制定设备验证计划、评估文件、</w:t>
            </w:r>
            <w:r>
              <w:rPr>
                <w:color w:val="000000"/>
                <w:szCs w:val="21"/>
                <w:lang w:eastAsia="zh-CN"/>
              </w:rPr>
              <w:t>DQ/IQ/OQ</w:t>
            </w:r>
            <w:r>
              <w:rPr>
                <w:rFonts w:hint="eastAsia"/>
                <w:color w:val="000000"/>
                <w:szCs w:val="21"/>
                <w:lang w:eastAsia="zh-CN"/>
              </w:rPr>
              <w:t>验证文件，并负责验证工作的实施，该验证文件作为设备必备文件。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color w:val="000000"/>
                <w:sz w:val="21"/>
                <w:szCs w:val="21"/>
                <w:lang w:eastAsia="zh-CN"/>
              </w:rPr>
            </w:pPr>
            <w:r>
              <w:rPr>
                <w:rFonts w:hint="eastAsia"/>
                <w:sz w:val="21"/>
                <w:szCs w:val="21"/>
                <w:lang w:eastAsia="zh-CN"/>
              </w:rPr>
              <w:t>验</w:t>
            </w:r>
            <w:r>
              <w:rPr>
                <w:rFonts w:hint="eastAsia"/>
                <w:color w:val="000000"/>
                <w:sz w:val="21"/>
                <w:szCs w:val="21"/>
                <w:lang w:eastAsia="zh-CN"/>
              </w:rPr>
              <w:t>证文件：</w:t>
            </w:r>
          </w:p>
          <w:p>
            <w:pPr>
              <w:numPr>
                <w:ilvl w:val="0"/>
                <w:numId w:val="11"/>
              </w:numPr>
              <w:jc w:val="both"/>
              <w:rPr>
                <w:color w:val="000000"/>
                <w:szCs w:val="21"/>
                <w:lang w:eastAsia="zh-CN"/>
              </w:rPr>
            </w:pPr>
            <w:r>
              <w:rPr>
                <w:rFonts w:hint="eastAsia"/>
                <w:color w:val="000000"/>
                <w:szCs w:val="21"/>
                <w:lang w:eastAsia="zh-CN"/>
              </w:rPr>
              <w:t>PQ完成后开始起草，最终验收前提交追溯矩阵（</w:t>
            </w:r>
            <w:r>
              <w:rPr>
                <w:color w:val="000000"/>
                <w:szCs w:val="21"/>
                <w:lang w:eastAsia="zh-CN"/>
              </w:rPr>
              <w:t>RTM</w:t>
            </w:r>
            <w:r>
              <w:rPr>
                <w:rFonts w:hint="eastAsia"/>
                <w:color w:val="000000"/>
                <w:szCs w:val="21"/>
                <w:lang w:eastAsia="zh-CN"/>
              </w:rPr>
              <w:t>）；</w:t>
            </w:r>
          </w:p>
          <w:p>
            <w:pPr>
              <w:numPr>
                <w:ilvl w:val="0"/>
                <w:numId w:val="11"/>
              </w:numPr>
              <w:jc w:val="both"/>
              <w:rPr>
                <w:color w:val="000000"/>
                <w:szCs w:val="21"/>
                <w:lang w:eastAsia="zh-CN"/>
              </w:rPr>
            </w:pPr>
            <w:r>
              <w:rPr>
                <w:rFonts w:hint="eastAsia"/>
                <w:color w:val="000000"/>
                <w:szCs w:val="21"/>
                <w:lang w:eastAsia="zh-CN"/>
              </w:rPr>
              <w:t>PQ完成后开始起草，最终验收前提交验证总结报告（</w:t>
            </w:r>
            <w:r>
              <w:rPr>
                <w:color w:val="000000"/>
                <w:szCs w:val="21"/>
                <w:lang w:eastAsia="zh-CN"/>
              </w:rPr>
              <w:t>VSR</w:t>
            </w:r>
            <w:r>
              <w:rPr>
                <w:rFonts w:hint="eastAsia"/>
                <w:color w:val="000000"/>
                <w:szCs w:val="21"/>
                <w:lang w:eastAsia="zh-CN"/>
              </w:rPr>
              <w:t>）；</w:t>
            </w:r>
          </w:p>
          <w:p>
            <w:pPr>
              <w:jc w:val="both"/>
              <w:rPr>
                <w:color w:val="000000"/>
                <w:szCs w:val="21"/>
                <w:lang w:eastAsia="zh-CN"/>
              </w:rPr>
            </w:pPr>
            <w:r>
              <w:rPr>
                <w:rFonts w:hint="eastAsia"/>
                <w:color w:val="000000"/>
                <w:szCs w:val="21"/>
                <w:lang w:eastAsia="zh-CN"/>
              </w:rPr>
              <w:t>设备生产商负责制定追溯矩阵、验证总结报告，并负责验证工作的实施，该验证文件作为设备必备文件。</w:t>
            </w:r>
          </w:p>
          <w:p>
            <w:pPr>
              <w:jc w:val="both"/>
              <w:rPr>
                <w:rFonts w:ascii="宋体" w:hAnsi="宋体"/>
                <w:szCs w:val="21"/>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不晚于IQ开始前提供调试文件：调试计划（调试说明、调试清单、现场验收测试、保修信息、培训计划等），总测试计划，检查计划，检测清单，各测试结果，调试总结报告等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rPr>
              <w:t>设备开箱验收</w:t>
            </w:r>
            <w:r>
              <w:rPr>
                <w:rFonts w:hint="eastAsia" w:ascii="宋体" w:hAnsi="宋体"/>
                <w:szCs w:val="21"/>
                <w:lang w:eastAsia="zh-CN"/>
              </w:rPr>
              <w:t>时提供</w:t>
            </w:r>
            <w:r>
              <w:rPr>
                <w:rFonts w:hint="eastAsia" w:ascii="宋体" w:hAnsi="宋体"/>
                <w:szCs w:val="21"/>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000000"/>
                <w:sz w:val="24"/>
                <w:lang w:eastAsia="zh-CN"/>
              </w:rPr>
            </w:pPr>
            <w:r>
              <w:rPr>
                <w:rFonts w:hint="eastAsia" w:ascii="宋体" w:hAnsi="宋体"/>
                <w:szCs w:val="21"/>
                <w:lang w:eastAsia="zh-CN"/>
              </w:rPr>
              <w:t>设备开箱验收时提供使用操作说明书及维护保养说明（即运行及维护手册）</w:t>
            </w:r>
            <w:r>
              <w:rPr>
                <w:rFonts w:ascii="宋体" w:hAnsi="宋体"/>
                <w:szCs w:val="21"/>
                <w:lang w:eastAsia="zh-CN"/>
              </w:rPr>
              <w:t>3</w:t>
            </w:r>
            <w:r>
              <w:rPr>
                <w:rFonts w:hint="eastAsia" w:ascii="宋体" w:hAnsi="宋体"/>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设备开箱验收时提供设备及其零部件使用寿命清单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不晚于IQ开始前提供现场验收报告（</w:t>
            </w:r>
            <w:r>
              <w:rPr>
                <w:rFonts w:ascii="宋体" w:hAnsi="宋体"/>
                <w:szCs w:val="21"/>
                <w:lang w:eastAsia="zh-CN"/>
              </w:rPr>
              <w:t>SAT</w:t>
            </w:r>
            <w:r>
              <w:rPr>
                <w:rFonts w:hint="eastAsia" w:ascii="宋体" w:hAnsi="宋体"/>
                <w:szCs w:val="21"/>
                <w:lang w:eastAsia="zh-CN"/>
              </w:rPr>
              <w:t>）</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szCs w:val="21"/>
                <w:lang w:eastAsia="zh-CN"/>
              </w:rPr>
            </w:pPr>
            <w:r>
              <w:rPr>
                <w:rFonts w:hint="eastAsia" w:ascii="宋体" w:hAnsi="宋体"/>
                <w:szCs w:val="21"/>
                <w:lang w:eastAsia="zh-CN"/>
              </w:rPr>
              <w:t>文件具体要求：</w:t>
            </w:r>
          </w:p>
          <w:p>
            <w:pPr>
              <w:jc w:val="both"/>
              <w:rPr>
                <w:rFonts w:ascii="宋体"/>
                <w:szCs w:val="21"/>
                <w:lang w:eastAsia="zh-CN"/>
              </w:rPr>
            </w:pPr>
            <w:r>
              <w:rPr>
                <w:rFonts w:hint="eastAsia" w:ascii="宋体" w:hAnsi="宋体"/>
                <w:szCs w:val="21"/>
                <w:lang w:eastAsia="zh-CN"/>
              </w:rPr>
              <w:t>（</w:t>
            </w:r>
            <w:r>
              <w:rPr>
                <w:rFonts w:ascii="宋体" w:hAnsi="宋体"/>
                <w:szCs w:val="21"/>
                <w:lang w:eastAsia="zh-CN"/>
              </w:rPr>
              <w:t>1</w:t>
            </w:r>
            <w:r>
              <w:rPr>
                <w:rFonts w:hint="eastAsia" w:ascii="宋体" w:hAnsi="宋体"/>
                <w:szCs w:val="21"/>
                <w:lang w:eastAsia="zh-CN"/>
              </w:rPr>
              <w:t>）系统相关方案中，应明确本系统的配置、规格，并且通过分析阐述每一个系统环节的必要性；</w:t>
            </w:r>
          </w:p>
          <w:p>
            <w:pPr>
              <w:jc w:val="both"/>
              <w:rPr>
                <w:rFonts w:ascii="宋体"/>
                <w:szCs w:val="21"/>
                <w:lang w:eastAsia="zh-CN"/>
              </w:rPr>
            </w:pPr>
            <w:r>
              <w:rPr>
                <w:rFonts w:hint="eastAsia" w:ascii="宋体" w:hAnsi="宋体"/>
                <w:szCs w:val="21"/>
                <w:lang w:eastAsia="zh-CN"/>
              </w:rPr>
              <w:t>（</w:t>
            </w:r>
            <w:r>
              <w:rPr>
                <w:rFonts w:ascii="宋体" w:hAnsi="宋体"/>
                <w:szCs w:val="21"/>
                <w:lang w:eastAsia="zh-CN"/>
              </w:rPr>
              <w:t>2</w:t>
            </w:r>
            <w:r>
              <w:rPr>
                <w:rFonts w:hint="eastAsia" w:ascii="宋体" w:hAnsi="宋体"/>
                <w:szCs w:val="21"/>
                <w:lang w:eastAsia="zh-CN"/>
              </w:rPr>
              <w:t>）标书中明确系统所有组件的品牌、材质、型号，并且注明每一个组件的保修期</w:t>
            </w:r>
          </w:p>
        </w:tc>
        <w:tc>
          <w:tcPr>
            <w:tcW w:w="2125" w:type="dxa"/>
            <w:vAlign w:val="top"/>
          </w:tcPr>
          <w:p>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val="en-US" w:eastAsia="zh-CN"/>
              </w:rPr>
            </w:pPr>
            <w:r>
              <w:rPr>
                <w:rFonts w:hint="eastAsia" w:ascii="宋体" w:hAnsi="宋体"/>
                <w:szCs w:val="21"/>
                <w:lang w:val="en-US" w:eastAsia="zh-CN"/>
              </w:rPr>
              <w:t>上述条款规定的文件需提供电子版，并在设备开箱验收时将最终批准的电子版及纸质版全套资料交工程技术部存档</w:t>
            </w:r>
          </w:p>
        </w:tc>
        <w:tc>
          <w:tcPr>
            <w:tcW w:w="2125" w:type="dxa"/>
            <w:vAlign w:val="top"/>
          </w:tcPr>
          <w:p>
            <w:r>
              <w:rPr>
                <w:rFonts w:hint="eastAsia"/>
                <w:szCs w:val="21"/>
                <w:lang w:eastAsia="zh-CN"/>
              </w:rPr>
              <w:t>关键</w:t>
            </w:r>
          </w:p>
        </w:tc>
      </w:tr>
      <w:permEnd w:id="31"/>
    </w:tbl>
    <w:p>
      <w:pPr>
        <w:rPr>
          <w:szCs w:val="21"/>
          <w:lang w:eastAsia="zh-CN"/>
        </w:rPr>
      </w:pPr>
    </w:p>
    <w:p>
      <w:pPr>
        <w:pStyle w:val="26"/>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3"/>
        <w:spacing w:before="0" w:line="360" w:lineRule="auto"/>
        <w:ind w:left="357"/>
        <w:jc w:val="left"/>
        <w:rPr>
          <w:i/>
          <w:color w:val="4472C4"/>
          <w:szCs w:val="21"/>
          <w:lang w:eastAsia="zh-CN"/>
        </w:rPr>
      </w:pPr>
      <w:permStart w:id="32"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color w:val="0070C0"/>
                <w:szCs w:val="21"/>
                <w:lang w:eastAsia="zh-CN"/>
              </w:rPr>
            </w:pPr>
            <w:r>
              <w:rPr>
                <w:szCs w:val="21"/>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color w:val="0070C0"/>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lang w:eastAsia="zh-CN"/>
              </w:rPr>
            </w:pPr>
            <w:r>
              <w:rPr>
                <w:rFonts w:hint="eastAsia" w:ascii="宋体" w:hAnsi="宋体"/>
                <w:color w:val="000000"/>
                <w:szCs w:val="21"/>
                <w:lang w:eastAsia="zh-CN"/>
              </w:rPr>
              <w:t>验证范围包括：验证计划、满足</w:t>
            </w:r>
            <w:r>
              <w:rPr>
                <w:rFonts w:hint="eastAsia" w:ascii="宋体" w:hAnsi="宋体"/>
                <w:color w:val="000000"/>
                <w:szCs w:val="21"/>
                <w:lang w:val="en-US" w:eastAsia="zh-CN"/>
              </w:rPr>
              <w:t>GMP和GAMP5相关法规的评估文件、DQ、IQ、OQ</w:t>
            </w:r>
            <w:r>
              <w:rPr>
                <w:rFonts w:hint="eastAsia" w:ascii="宋体" w:hAnsi="宋体"/>
                <w:color w:val="000000"/>
                <w:szCs w:val="21"/>
                <w:lang w:eastAsia="zh-CN"/>
              </w:rPr>
              <w:t>等文件与服务，供应商必须派出具备集菌仪验证经验且熟练掌握验证文件起草、填写与审核工作的验证工程师开展验证相关工作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lang w:eastAsia="zh-CN"/>
              </w:rPr>
            </w:pPr>
            <w:r>
              <w:rPr>
                <w:rFonts w:hint="eastAsia"/>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lang w:eastAsia="zh-CN"/>
              </w:rPr>
              <w:t>设备保质期从确认验收的阶段就开始计算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设备质保期为6年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售后服务必须响应及时，要求设备出现须厂家维修的故障后，应在</w:t>
            </w:r>
            <w:r>
              <w:rPr>
                <w:lang w:eastAsia="zh-CN"/>
              </w:rPr>
              <w:t>4</w:t>
            </w:r>
            <w:r>
              <w:rPr>
                <w:rFonts w:hint="eastAsia"/>
                <w:lang w:eastAsia="zh-CN"/>
              </w:rPr>
              <w:t>小时内明确答复，当电话沟通无法解决时，须</w:t>
            </w:r>
            <w:r>
              <w:rPr>
                <w:lang w:eastAsia="zh-CN"/>
              </w:rPr>
              <w:t>24</w:t>
            </w:r>
            <w:r>
              <w:rPr>
                <w:rFonts w:hint="eastAsia"/>
                <w:lang w:eastAsia="zh-CN"/>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val="en-US" w:eastAsia="zh-CN"/>
              </w:rPr>
              <w:t>3</w:t>
            </w:r>
            <w:r>
              <w:rPr>
                <w:rFonts w:hint="eastAsia"/>
                <w:lang w:eastAsia="zh-CN"/>
              </w:rPr>
              <w:t>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26"/>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lang w:eastAsia="zh-CN"/>
              </w:rPr>
            </w:pPr>
            <w:r>
              <w:rPr>
                <w:rFonts w:hint="eastAsia"/>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供应商进厂施工需遵守安全和施工规定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2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1"/>
    </w:tbl>
    <w:p/>
    <w:p>
      <w:pPr>
        <w:pStyle w:val="26"/>
        <w:numPr>
          <w:ilvl w:val="0"/>
          <w:numId w:val="3"/>
        </w:numPr>
        <w:spacing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3"/>
        <w:spacing w:before="0" w:line="360" w:lineRule="auto"/>
        <w:ind w:left="357"/>
        <w:jc w:val="left"/>
        <w:rPr>
          <w:szCs w:val="21"/>
          <w:lang w:eastAsia="zh-CN"/>
        </w:rPr>
      </w:pPr>
      <w:permStart w:id="42" w:edGrp="everyone"/>
      <w:r>
        <w:rPr>
          <w:rFonts w:hint="eastAsia"/>
          <w:szCs w:val="21"/>
          <w:lang w:eastAsia="zh-CN"/>
        </w:rPr>
        <w:t>不适用</w:t>
      </w:r>
      <w:permEnd w:id="4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center"/>
      <w:rPr>
        <w:sz w:val="18"/>
        <w:szCs w:val="18"/>
      </w:rPr>
    </w:pPr>
    <w:r>
      <w:rPr>
        <w:rFonts w:ascii="Times New Roman" w:hAnsi="Times New Roman" w:eastAsia="宋体" w:cs="Times New Roman"/>
        <w:sz w:val="18"/>
        <w:szCs w:val="18"/>
        <w:lang w:val="en-US" w:eastAsia="zh-CN" w:bidi="ar-SA"/>
      </w:rPr>
      <w:pict>
        <v:line id="直线 1"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bullet"/>
      <w:lvlText w:val=""/>
      <w:lvlJc w:val="left"/>
      <w:pPr>
        <w:tabs>
          <w:tab w:val="left" w:pos="1440"/>
        </w:tabs>
        <w:ind w:left="1440" w:hanging="420"/>
      </w:pPr>
      <w:rPr>
        <w:rFonts w:hint="default" w:ascii="Wingdings" w:hAnsi="Wingdings"/>
      </w:r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704"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864367579">
    <w:nsid w:val="338533DB"/>
    <w:multiLevelType w:val="multilevel"/>
    <w:tmpl w:val="338533DB"/>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864367579"/>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408F"/>
    <w:rsid w:val="0000520B"/>
    <w:rsid w:val="000059AD"/>
    <w:rsid w:val="00005CB9"/>
    <w:rsid w:val="00005E76"/>
    <w:rsid w:val="00006273"/>
    <w:rsid w:val="00006FD5"/>
    <w:rsid w:val="0001160E"/>
    <w:rsid w:val="000117C7"/>
    <w:rsid w:val="00012C6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1A3"/>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2EF"/>
    <w:rsid w:val="0007673E"/>
    <w:rsid w:val="00077AE1"/>
    <w:rsid w:val="000818AC"/>
    <w:rsid w:val="00082C13"/>
    <w:rsid w:val="00083D58"/>
    <w:rsid w:val="000844A8"/>
    <w:rsid w:val="00084F90"/>
    <w:rsid w:val="00086CA0"/>
    <w:rsid w:val="00087002"/>
    <w:rsid w:val="00092C03"/>
    <w:rsid w:val="00094725"/>
    <w:rsid w:val="00094D22"/>
    <w:rsid w:val="000961C0"/>
    <w:rsid w:val="00096510"/>
    <w:rsid w:val="00097A7D"/>
    <w:rsid w:val="00097CA2"/>
    <w:rsid w:val="000A1D9E"/>
    <w:rsid w:val="000A2664"/>
    <w:rsid w:val="000A2C3C"/>
    <w:rsid w:val="000A41DA"/>
    <w:rsid w:val="000A55CC"/>
    <w:rsid w:val="000A5CEE"/>
    <w:rsid w:val="000A6423"/>
    <w:rsid w:val="000A6661"/>
    <w:rsid w:val="000A72AF"/>
    <w:rsid w:val="000B02ED"/>
    <w:rsid w:val="000B02FD"/>
    <w:rsid w:val="000B068C"/>
    <w:rsid w:val="000B417D"/>
    <w:rsid w:val="000B45E0"/>
    <w:rsid w:val="000B4EC4"/>
    <w:rsid w:val="000B5888"/>
    <w:rsid w:val="000B6B8B"/>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477"/>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A2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25D"/>
    <w:rsid w:val="00164CDC"/>
    <w:rsid w:val="00164E0D"/>
    <w:rsid w:val="00166311"/>
    <w:rsid w:val="00166478"/>
    <w:rsid w:val="00167B0E"/>
    <w:rsid w:val="00171A51"/>
    <w:rsid w:val="001746E7"/>
    <w:rsid w:val="001757AB"/>
    <w:rsid w:val="001769A8"/>
    <w:rsid w:val="001814FA"/>
    <w:rsid w:val="001815A9"/>
    <w:rsid w:val="00181B9C"/>
    <w:rsid w:val="00182A27"/>
    <w:rsid w:val="00184DDD"/>
    <w:rsid w:val="00184FFD"/>
    <w:rsid w:val="00185449"/>
    <w:rsid w:val="00186314"/>
    <w:rsid w:val="00187B04"/>
    <w:rsid w:val="00190000"/>
    <w:rsid w:val="001929C2"/>
    <w:rsid w:val="00192B8F"/>
    <w:rsid w:val="00193D66"/>
    <w:rsid w:val="00194BB7"/>
    <w:rsid w:val="00194C0A"/>
    <w:rsid w:val="00197FDA"/>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45E"/>
    <w:rsid w:val="002178C5"/>
    <w:rsid w:val="00220757"/>
    <w:rsid w:val="00222993"/>
    <w:rsid w:val="00222D5A"/>
    <w:rsid w:val="002231C4"/>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87DFC"/>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06E19"/>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1986"/>
    <w:rsid w:val="00333C91"/>
    <w:rsid w:val="0033695C"/>
    <w:rsid w:val="00341B2F"/>
    <w:rsid w:val="00342915"/>
    <w:rsid w:val="00344B04"/>
    <w:rsid w:val="00345847"/>
    <w:rsid w:val="003467E6"/>
    <w:rsid w:val="00347576"/>
    <w:rsid w:val="00347772"/>
    <w:rsid w:val="00347A51"/>
    <w:rsid w:val="00347B19"/>
    <w:rsid w:val="003531FA"/>
    <w:rsid w:val="0035416F"/>
    <w:rsid w:val="003549FE"/>
    <w:rsid w:val="00355AAC"/>
    <w:rsid w:val="00355D7D"/>
    <w:rsid w:val="003647CA"/>
    <w:rsid w:val="003649FF"/>
    <w:rsid w:val="00370514"/>
    <w:rsid w:val="0037056A"/>
    <w:rsid w:val="003726DF"/>
    <w:rsid w:val="0037345A"/>
    <w:rsid w:val="00373FFA"/>
    <w:rsid w:val="0037455F"/>
    <w:rsid w:val="00375927"/>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018"/>
    <w:rsid w:val="003A6DFE"/>
    <w:rsid w:val="003A6FCD"/>
    <w:rsid w:val="003B096A"/>
    <w:rsid w:val="003B0B6A"/>
    <w:rsid w:val="003B1FF2"/>
    <w:rsid w:val="003B2104"/>
    <w:rsid w:val="003B354C"/>
    <w:rsid w:val="003B355B"/>
    <w:rsid w:val="003B4A5D"/>
    <w:rsid w:val="003B5047"/>
    <w:rsid w:val="003B5E26"/>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5A6"/>
    <w:rsid w:val="003D77E5"/>
    <w:rsid w:val="003D7C5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0DC8"/>
    <w:rsid w:val="0044256D"/>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77ACF"/>
    <w:rsid w:val="00480286"/>
    <w:rsid w:val="00480C3B"/>
    <w:rsid w:val="00480FE3"/>
    <w:rsid w:val="00481C94"/>
    <w:rsid w:val="00484A8D"/>
    <w:rsid w:val="00485F58"/>
    <w:rsid w:val="00486A4E"/>
    <w:rsid w:val="00486B09"/>
    <w:rsid w:val="0049139F"/>
    <w:rsid w:val="00494F07"/>
    <w:rsid w:val="00496116"/>
    <w:rsid w:val="004965A0"/>
    <w:rsid w:val="00497335"/>
    <w:rsid w:val="00497D19"/>
    <w:rsid w:val="004A05A7"/>
    <w:rsid w:val="004A3F98"/>
    <w:rsid w:val="004A4A6F"/>
    <w:rsid w:val="004A5532"/>
    <w:rsid w:val="004A5958"/>
    <w:rsid w:val="004A76DF"/>
    <w:rsid w:val="004B0A75"/>
    <w:rsid w:val="004B2190"/>
    <w:rsid w:val="004B2EB9"/>
    <w:rsid w:val="004B605D"/>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FB"/>
    <w:rsid w:val="004E4C2D"/>
    <w:rsid w:val="004F0539"/>
    <w:rsid w:val="004F10A4"/>
    <w:rsid w:val="004F342E"/>
    <w:rsid w:val="004F4C63"/>
    <w:rsid w:val="004F5AE6"/>
    <w:rsid w:val="004F5C19"/>
    <w:rsid w:val="004F7B6A"/>
    <w:rsid w:val="0050090F"/>
    <w:rsid w:val="0050121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6298"/>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7E1"/>
    <w:rsid w:val="00577142"/>
    <w:rsid w:val="005773E5"/>
    <w:rsid w:val="0058046D"/>
    <w:rsid w:val="00581AD5"/>
    <w:rsid w:val="00581C4E"/>
    <w:rsid w:val="00582DB0"/>
    <w:rsid w:val="00584B8E"/>
    <w:rsid w:val="00586EFD"/>
    <w:rsid w:val="00587AC1"/>
    <w:rsid w:val="00587DE8"/>
    <w:rsid w:val="00590694"/>
    <w:rsid w:val="00590AA6"/>
    <w:rsid w:val="00591A70"/>
    <w:rsid w:val="00592624"/>
    <w:rsid w:val="00593AF8"/>
    <w:rsid w:val="00593EC9"/>
    <w:rsid w:val="005958B9"/>
    <w:rsid w:val="005964B1"/>
    <w:rsid w:val="005965FD"/>
    <w:rsid w:val="005973CF"/>
    <w:rsid w:val="00597FCC"/>
    <w:rsid w:val="005A132A"/>
    <w:rsid w:val="005A337C"/>
    <w:rsid w:val="005A34B0"/>
    <w:rsid w:val="005A3ECF"/>
    <w:rsid w:val="005A6821"/>
    <w:rsid w:val="005B2393"/>
    <w:rsid w:val="005B750A"/>
    <w:rsid w:val="005C0438"/>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21E"/>
    <w:rsid w:val="005F6CB3"/>
    <w:rsid w:val="005F7612"/>
    <w:rsid w:val="005F7663"/>
    <w:rsid w:val="005F7D63"/>
    <w:rsid w:val="006047DA"/>
    <w:rsid w:val="00607170"/>
    <w:rsid w:val="00607408"/>
    <w:rsid w:val="0061068D"/>
    <w:rsid w:val="00610AEE"/>
    <w:rsid w:val="00616BAC"/>
    <w:rsid w:val="00620598"/>
    <w:rsid w:val="00620FEC"/>
    <w:rsid w:val="006214DC"/>
    <w:rsid w:val="006215E2"/>
    <w:rsid w:val="0062168F"/>
    <w:rsid w:val="006221A2"/>
    <w:rsid w:val="00627113"/>
    <w:rsid w:val="00627162"/>
    <w:rsid w:val="00627B8B"/>
    <w:rsid w:val="0063106D"/>
    <w:rsid w:val="006312FF"/>
    <w:rsid w:val="00632136"/>
    <w:rsid w:val="00632C67"/>
    <w:rsid w:val="006331B6"/>
    <w:rsid w:val="00633310"/>
    <w:rsid w:val="00633315"/>
    <w:rsid w:val="006366CC"/>
    <w:rsid w:val="00637C16"/>
    <w:rsid w:val="0064048E"/>
    <w:rsid w:val="006405D7"/>
    <w:rsid w:val="00641320"/>
    <w:rsid w:val="00641E74"/>
    <w:rsid w:val="006434E3"/>
    <w:rsid w:val="0064366A"/>
    <w:rsid w:val="00646987"/>
    <w:rsid w:val="006506CF"/>
    <w:rsid w:val="00650A76"/>
    <w:rsid w:val="00650CD0"/>
    <w:rsid w:val="00650DA4"/>
    <w:rsid w:val="00651DA5"/>
    <w:rsid w:val="0065273D"/>
    <w:rsid w:val="00652D22"/>
    <w:rsid w:val="00654695"/>
    <w:rsid w:val="00656797"/>
    <w:rsid w:val="006571EC"/>
    <w:rsid w:val="0066086B"/>
    <w:rsid w:val="00660A8C"/>
    <w:rsid w:val="00661DBB"/>
    <w:rsid w:val="006632B2"/>
    <w:rsid w:val="00664084"/>
    <w:rsid w:val="0066445E"/>
    <w:rsid w:val="00666690"/>
    <w:rsid w:val="00667045"/>
    <w:rsid w:val="00670A00"/>
    <w:rsid w:val="00670C23"/>
    <w:rsid w:val="00672B86"/>
    <w:rsid w:val="00673031"/>
    <w:rsid w:val="00673EB3"/>
    <w:rsid w:val="00680BE8"/>
    <w:rsid w:val="00686409"/>
    <w:rsid w:val="00686D19"/>
    <w:rsid w:val="0068777F"/>
    <w:rsid w:val="00693018"/>
    <w:rsid w:val="00693F34"/>
    <w:rsid w:val="006A0059"/>
    <w:rsid w:val="006A7425"/>
    <w:rsid w:val="006B058A"/>
    <w:rsid w:val="006B1299"/>
    <w:rsid w:val="006B26D9"/>
    <w:rsid w:val="006B310C"/>
    <w:rsid w:val="006B664C"/>
    <w:rsid w:val="006C1125"/>
    <w:rsid w:val="006C125C"/>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13EF"/>
    <w:rsid w:val="007036CA"/>
    <w:rsid w:val="00703972"/>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4673"/>
    <w:rsid w:val="00726CB6"/>
    <w:rsid w:val="00727255"/>
    <w:rsid w:val="0072779B"/>
    <w:rsid w:val="00727CCF"/>
    <w:rsid w:val="007330CD"/>
    <w:rsid w:val="0073446D"/>
    <w:rsid w:val="007349FF"/>
    <w:rsid w:val="00734B45"/>
    <w:rsid w:val="00736FFB"/>
    <w:rsid w:val="00740080"/>
    <w:rsid w:val="00741A30"/>
    <w:rsid w:val="007445E5"/>
    <w:rsid w:val="007504DC"/>
    <w:rsid w:val="0075142F"/>
    <w:rsid w:val="00751965"/>
    <w:rsid w:val="007524EF"/>
    <w:rsid w:val="00752689"/>
    <w:rsid w:val="00756D1D"/>
    <w:rsid w:val="00760886"/>
    <w:rsid w:val="007615CA"/>
    <w:rsid w:val="00761ADD"/>
    <w:rsid w:val="00762B3A"/>
    <w:rsid w:val="00763D19"/>
    <w:rsid w:val="00765D6E"/>
    <w:rsid w:val="00765D7E"/>
    <w:rsid w:val="007674B6"/>
    <w:rsid w:val="00770E90"/>
    <w:rsid w:val="00772C42"/>
    <w:rsid w:val="0077302F"/>
    <w:rsid w:val="00773103"/>
    <w:rsid w:val="00773661"/>
    <w:rsid w:val="00773E6C"/>
    <w:rsid w:val="00774A61"/>
    <w:rsid w:val="00774E08"/>
    <w:rsid w:val="00774E72"/>
    <w:rsid w:val="0077746F"/>
    <w:rsid w:val="007775FE"/>
    <w:rsid w:val="00780A5F"/>
    <w:rsid w:val="00781592"/>
    <w:rsid w:val="00784913"/>
    <w:rsid w:val="00785B90"/>
    <w:rsid w:val="0078639C"/>
    <w:rsid w:val="007913D3"/>
    <w:rsid w:val="00793116"/>
    <w:rsid w:val="00795D65"/>
    <w:rsid w:val="0079790C"/>
    <w:rsid w:val="007A102A"/>
    <w:rsid w:val="007A1498"/>
    <w:rsid w:val="007A15E6"/>
    <w:rsid w:val="007A194B"/>
    <w:rsid w:val="007A4BCD"/>
    <w:rsid w:val="007A5714"/>
    <w:rsid w:val="007A5EFA"/>
    <w:rsid w:val="007A6821"/>
    <w:rsid w:val="007A75EF"/>
    <w:rsid w:val="007A78D4"/>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32DE"/>
    <w:rsid w:val="007D4994"/>
    <w:rsid w:val="007D4BB3"/>
    <w:rsid w:val="007D4F6E"/>
    <w:rsid w:val="007D5ECD"/>
    <w:rsid w:val="007D61CA"/>
    <w:rsid w:val="007D6DCF"/>
    <w:rsid w:val="007D6F0D"/>
    <w:rsid w:val="007D7963"/>
    <w:rsid w:val="007E274F"/>
    <w:rsid w:val="007E3532"/>
    <w:rsid w:val="007E4208"/>
    <w:rsid w:val="007E5FE3"/>
    <w:rsid w:val="007E64DF"/>
    <w:rsid w:val="007E657D"/>
    <w:rsid w:val="007E7119"/>
    <w:rsid w:val="007E71BB"/>
    <w:rsid w:val="007E7B90"/>
    <w:rsid w:val="007E7C13"/>
    <w:rsid w:val="007F2015"/>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6927"/>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333"/>
    <w:rsid w:val="00864BC6"/>
    <w:rsid w:val="00865EE6"/>
    <w:rsid w:val="00870D23"/>
    <w:rsid w:val="00872B72"/>
    <w:rsid w:val="00873022"/>
    <w:rsid w:val="00875C81"/>
    <w:rsid w:val="0087627F"/>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C76"/>
    <w:rsid w:val="008A4E05"/>
    <w:rsid w:val="008A56DB"/>
    <w:rsid w:val="008A6CFC"/>
    <w:rsid w:val="008B2125"/>
    <w:rsid w:val="008B25D4"/>
    <w:rsid w:val="008B38E5"/>
    <w:rsid w:val="008B49B1"/>
    <w:rsid w:val="008B58C4"/>
    <w:rsid w:val="008B6CD2"/>
    <w:rsid w:val="008B72DD"/>
    <w:rsid w:val="008C050B"/>
    <w:rsid w:val="008C1132"/>
    <w:rsid w:val="008C302A"/>
    <w:rsid w:val="008C3D9D"/>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E768A"/>
    <w:rsid w:val="008F297F"/>
    <w:rsid w:val="008F447E"/>
    <w:rsid w:val="00904BA9"/>
    <w:rsid w:val="00904E7E"/>
    <w:rsid w:val="0091086B"/>
    <w:rsid w:val="00911129"/>
    <w:rsid w:val="009128CC"/>
    <w:rsid w:val="00912EA3"/>
    <w:rsid w:val="00913C78"/>
    <w:rsid w:val="00914B6E"/>
    <w:rsid w:val="0091569F"/>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521"/>
    <w:rsid w:val="00950239"/>
    <w:rsid w:val="00950332"/>
    <w:rsid w:val="00955899"/>
    <w:rsid w:val="00955A03"/>
    <w:rsid w:val="009615BC"/>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97FA0"/>
    <w:rsid w:val="009A345F"/>
    <w:rsid w:val="009A4AE5"/>
    <w:rsid w:val="009A5218"/>
    <w:rsid w:val="009A6806"/>
    <w:rsid w:val="009B1717"/>
    <w:rsid w:val="009B22D2"/>
    <w:rsid w:val="009B2839"/>
    <w:rsid w:val="009B2F76"/>
    <w:rsid w:val="009B4C17"/>
    <w:rsid w:val="009B5BF6"/>
    <w:rsid w:val="009C1BA6"/>
    <w:rsid w:val="009C1C79"/>
    <w:rsid w:val="009C25F7"/>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E7141"/>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5680"/>
    <w:rsid w:val="00A40311"/>
    <w:rsid w:val="00A41032"/>
    <w:rsid w:val="00A4106C"/>
    <w:rsid w:val="00A428E7"/>
    <w:rsid w:val="00A43E49"/>
    <w:rsid w:val="00A44018"/>
    <w:rsid w:val="00A45DE9"/>
    <w:rsid w:val="00A47471"/>
    <w:rsid w:val="00A47E22"/>
    <w:rsid w:val="00A47ED0"/>
    <w:rsid w:val="00A50073"/>
    <w:rsid w:val="00A509EA"/>
    <w:rsid w:val="00A51476"/>
    <w:rsid w:val="00A526D2"/>
    <w:rsid w:val="00A537C1"/>
    <w:rsid w:val="00A54412"/>
    <w:rsid w:val="00A5498B"/>
    <w:rsid w:val="00A550C8"/>
    <w:rsid w:val="00A5564C"/>
    <w:rsid w:val="00A559EC"/>
    <w:rsid w:val="00A569F8"/>
    <w:rsid w:val="00A56E60"/>
    <w:rsid w:val="00A571B3"/>
    <w:rsid w:val="00A60C24"/>
    <w:rsid w:val="00A626B5"/>
    <w:rsid w:val="00A62DF0"/>
    <w:rsid w:val="00A63620"/>
    <w:rsid w:val="00A63ECE"/>
    <w:rsid w:val="00A6510A"/>
    <w:rsid w:val="00A66342"/>
    <w:rsid w:val="00A665C8"/>
    <w:rsid w:val="00A6749E"/>
    <w:rsid w:val="00A70D88"/>
    <w:rsid w:val="00A71142"/>
    <w:rsid w:val="00A72895"/>
    <w:rsid w:val="00A74194"/>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149"/>
    <w:rsid w:val="00AD23E3"/>
    <w:rsid w:val="00AD3559"/>
    <w:rsid w:val="00AD3B05"/>
    <w:rsid w:val="00AD3C8E"/>
    <w:rsid w:val="00AD470D"/>
    <w:rsid w:val="00AD5193"/>
    <w:rsid w:val="00AD7390"/>
    <w:rsid w:val="00AD7E6F"/>
    <w:rsid w:val="00AE191E"/>
    <w:rsid w:val="00AE1BD8"/>
    <w:rsid w:val="00AE2817"/>
    <w:rsid w:val="00AE304B"/>
    <w:rsid w:val="00AE3D3E"/>
    <w:rsid w:val="00AE49B2"/>
    <w:rsid w:val="00AE4A5D"/>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9BD"/>
    <w:rsid w:val="00B07418"/>
    <w:rsid w:val="00B11547"/>
    <w:rsid w:val="00B11EF0"/>
    <w:rsid w:val="00B1226C"/>
    <w:rsid w:val="00B12694"/>
    <w:rsid w:val="00B14B56"/>
    <w:rsid w:val="00B14F05"/>
    <w:rsid w:val="00B15D01"/>
    <w:rsid w:val="00B16535"/>
    <w:rsid w:val="00B20EBF"/>
    <w:rsid w:val="00B24F44"/>
    <w:rsid w:val="00B25428"/>
    <w:rsid w:val="00B255BB"/>
    <w:rsid w:val="00B25E24"/>
    <w:rsid w:val="00B2609A"/>
    <w:rsid w:val="00B301B1"/>
    <w:rsid w:val="00B353E7"/>
    <w:rsid w:val="00B35759"/>
    <w:rsid w:val="00B3619A"/>
    <w:rsid w:val="00B365B7"/>
    <w:rsid w:val="00B40BCA"/>
    <w:rsid w:val="00B415BE"/>
    <w:rsid w:val="00B4308D"/>
    <w:rsid w:val="00B440DA"/>
    <w:rsid w:val="00B4415A"/>
    <w:rsid w:val="00B503CD"/>
    <w:rsid w:val="00B548AB"/>
    <w:rsid w:val="00B54BBE"/>
    <w:rsid w:val="00B54C46"/>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E8C"/>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12C"/>
    <w:rsid w:val="00BD558D"/>
    <w:rsid w:val="00BD5CC3"/>
    <w:rsid w:val="00BE1F47"/>
    <w:rsid w:val="00BE2486"/>
    <w:rsid w:val="00BE24AD"/>
    <w:rsid w:val="00BE2787"/>
    <w:rsid w:val="00BE51BB"/>
    <w:rsid w:val="00BE5E07"/>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EB1"/>
    <w:rsid w:val="00C16542"/>
    <w:rsid w:val="00C22382"/>
    <w:rsid w:val="00C2355B"/>
    <w:rsid w:val="00C24886"/>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4BE2"/>
    <w:rsid w:val="00C66D15"/>
    <w:rsid w:val="00C671D0"/>
    <w:rsid w:val="00C70449"/>
    <w:rsid w:val="00C7071B"/>
    <w:rsid w:val="00C73904"/>
    <w:rsid w:val="00C73BAE"/>
    <w:rsid w:val="00C73F7B"/>
    <w:rsid w:val="00C74055"/>
    <w:rsid w:val="00C7421D"/>
    <w:rsid w:val="00C74C47"/>
    <w:rsid w:val="00C76481"/>
    <w:rsid w:val="00C76812"/>
    <w:rsid w:val="00C83D88"/>
    <w:rsid w:val="00C84961"/>
    <w:rsid w:val="00C84B06"/>
    <w:rsid w:val="00C87100"/>
    <w:rsid w:val="00C87CAC"/>
    <w:rsid w:val="00C913A1"/>
    <w:rsid w:val="00C950D6"/>
    <w:rsid w:val="00C97646"/>
    <w:rsid w:val="00C97672"/>
    <w:rsid w:val="00CA1E9A"/>
    <w:rsid w:val="00CA24F3"/>
    <w:rsid w:val="00CA55BD"/>
    <w:rsid w:val="00CB0837"/>
    <w:rsid w:val="00CB2BFA"/>
    <w:rsid w:val="00CB3888"/>
    <w:rsid w:val="00CB400E"/>
    <w:rsid w:val="00CB464C"/>
    <w:rsid w:val="00CB48F6"/>
    <w:rsid w:val="00CB5F04"/>
    <w:rsid w:val="00CB67F1"/>
    <w:rsid w:val="00CB7DC8"/>
    <w:rsid w:val="00CC0EC0"/>
    <w:rsid w:val="00CC1DBF"/>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1815"/>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794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098A"/>
    <w:rsid w:val="00DD2421"/>
    <w:rsid w:val="00DD3222"/>
    <w:rsid w:val="00DD3D81"/>
    <w:rsid w:val="00DD571C"/>
    <w:rsid w:val="00DD64E1"/>
    <w:rsid w:val="00DE039A"/>
    <w:rsid w:val="00DE0403"/>
    <w:rsid w:val="00DE34E6"/>
    <w:rsid w:val="00DE4811"/>
    <w:rsid w:val="00DE5458"/>
    <w:rsid w:val="00DE5EE6"/>
    <w:rsid w:val="00DE77EA"/>
    <w:rsid w:val="00DF0ABA"/>
    <w:rsid w:val="00DF1EEE"/>
    <w:rsid w:val="00DF6C58"/>
    <w:rsid w:val="00E001C1"/>
    <w:rsid w:val="00E039F3"/>
    <w:rsid w:val="00E03C30"/>
    <w:rsid w:val="00E05A58"/>
    <w:rsid w:val="00E078BD"/>
    <w:rsid w:val="00E078F8"/>
    <w:rsid w:val="00E1142B"/>
    <w:rsid w:val="00E11F10"/>
    <w:rsid w:val="00E1343E"/>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4DC"/>
    <w:rsid w:val="00E37BF1"/>
    <w:rsid w:val="00E428B3"/>
    <w:rsid w:val="00E449F8"/>
    <w:rsid w:val="00E44D19"/>
    <w:rsid w:val="00E46DD4"/>
    <w:rsid w:val="00E51372"/>
    <w:rsid w:val="00E51CAF"/>
    <w:rsid w:val="00E51E95"/>
    <w:rsid w:val="00E51F9D"/>
    <w:rsid w:val="00E5202F"/>
    <w:rsid w:val="00E5211A"/>
    <w:rsid w:val="00E53A9F"/>
    <w:rsid w:val="00E549AF"/>
    <w:rsid w:val="00E60540"/>
    <w:rsid w:val="00E61C74"/>
    <w:rsid w:val="00E637E3"/>
    <w:rsid w:val="00E63D8F"/>
    <w:rsid w:val="00E706B6"/>
    <w:rsid w:val="00E71F2D"/>
    <w:rsid w:val="00E76FF1"/>
    <w:rsid w:val="00E774FE"/>
    <w:rsid w:val="00E809A0"/>
    <w:rsid w:val="00E80AF7"/>
    <w:rsid w:val="00E84407"/>
    <w:rsid w:val="00E85E54"/>
    <w:rsid w:val="00E86146"/>
    <w:rsid w:val="00E863D7"/>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16CC"/>
    <w:rsid w:val="00EF5EC6"/>
    <w:rsid w:val="00EF646F"/>
    <w:rsid w:val="00EF791E"/>
    <w:rsid w:val="00EF7A63"/>
    <w:rsid w:val="00F00D58"/>
    <w:rsid w:val="00F0226C"/>
    <w:rsid w:val="00F02522"/>
    <w:rsid w:val="00F02AE0"/>
    <w:rsid w:val="00F02BFF"/>
    <w:rsid w:val="00F034DC"/>
    <w:rsid w:val="00F03953"/>
    <w:rsid w:val="00F04841"/>
    <w:rsid w:val="00F05248"/>
    <w:rsid w:val="00F0579A"/>
    <w:rsid w:val="00F0674D"/>
    <w:rsid w:val="00F10287"/>
    <w:rsid w:val="00F10C82"/>
    <w:rsid w:val="00F1245D"/>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7B3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5FC8"/>
    <w:rsid w:val="00FE602F"/>
    <w:rsid w:val="00FE7611"/>
    <w:rsid w:val="00FF0769"/>
    <w:rsid w:val="00FF0DB8"/>
    <w:rsid w:val="00FF1A76"/>
    <w:rsid w:val="00FF1C1D"/>
    <w:rsid w:val="00FF3330"/>
    <w:rsid w:val="00FF4080"/>
    <w:rsid w:val="00FF40A5"/>
    <w:rsid w:val="00FF48DA"/>
    <w:rsid w:val="00FF5E19"/>
    <w:rsid w:val="00FF61AD"/>
    <w:rsid w:val="00FF76BD"/>
    <w:rsid w:val="09480032"/>
    <w:rsid w:val="19917708"/>
    <w:rsid w:val="23A957AE"/>
    <w:rsid w:val="4B7B2407"/>
    <w:rsid w:val="4F6E77C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qFormat/>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47"/>
    <w:semiHidden/>
    <w:uiPriority w:val="0"/>
    <w:rPr>
      <w:sz w:val="24"/>
    </w:rPr>
  </w:style>
  <w:style w:type="paragraph" w:styleId="8">
    <w:name w:val="Body Text 3"/>
    <w:basedOn w:val="1"/>
    <w:link w:val="49"/>
    <w:qFormat/>
    <w:uiPriority w:val="99"/>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styleId="12">
    <w:name w:val="Date"/>
    <w:basedOn w:val="1"/>
    <w:next w:val="1"/>
    <w:link w:val="48"/>
    <w:qFormat/>
    <w:uiPriority w:val="99"/>
    <w:pPr>
      <w:widowControl w:val="0"/>
      <w:adjustRightInd/>
      <w:ind w:left="100" w:leftChars="2500"/>
      <w:jc w:val="both"/>
      <w:textAlignment w:val="auto"/>
    </w:pPr>
    <w:rPr>
      <w:kern w:val="2"/>
      <w:szCs w:val="24"/>
    </w:rPr>
  </w:style>
  <w:style w:type="paragraph" w:styleId="13">
    <w:name w:val="Body Text Indent 2"/>
    <w:basedOn w:val="1"/>
    <w:uiPriority w:val="0"/>
    <w:pPr>
      <w:spacing w:after="120" w:line="480" w:lineRule="auto"/>
      <w:ind w:left="420" w:leftChars="200"/>
    </w:pPr>
  </w:style>
  <w:style w:type="paragraph" w:styleId="14">
    <w:name w:val="Balloon Text"/>
    <w:basedOn w:val="1"/>
    <w:semiHidden/>
    <w:uiPriority w:val="0"/>
    <w:rPr>
      <w:sz w:val="18"/>
      <w:szCs w:val="18"/>
    </w:rPr>
  </w:style>
  <w:style w:type="paragraph" w:styleId="15">
    <w:name w:val="footer"/>
    <w:basedOn w:val="1"/>
    <w:link w:val="46"/>
    <w:uiPriority w:val="99"/>
    <w:pPr>
      <w:tabs>
        <w:tab w:val="center" w:pos="4320"/>
        <w:tab w:val="right" w:pos="8640"/>
      </w:tabs>
    </w:pPr>
    <w:rPr>
      <w:sz w:val="24"/>
    </w:rPr>
  </w:style>
  <w:style w:type="paragraph" w:styleId="16">
    <w:name w:val="header"/>
    <w:basedOn w:val="1"/>
    <w:link w:val="37"/>
    <w:uiPriority w:val="0"/>
    <w:pPr>
      <w:tabs>
        <w:tab w:val="center" w:pos="4320"/>
        <w:tab w:val="right" w:pos="8640"/>
      </w:tabs>
    </w:pPr>
    <w:rPr>
      <w:sz w:val="24"/>
    </w:rPr>
  </w:style>
  <w:style w:type="paragraph" w:styleId="17">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3"/>
    <w:qFormat/>
    <w:uiPriority w:val="0"/>
    <w:pPr>
      <w:spacing w:before="240" w:after="60"/>
      <w:jc w:val="center"/>
      <w:outlineLvl w:val="0"/>
    </w:pPr>
    <w:rPr>
      <w:rFonts w:ascii="Calibri Light" w:hAnsi="Calibri Light"/>
      <w:b/>
      <w:bCs/>
      <w:sz w:val="32"/>
      <w:szCs w:val="32"/>
    </w:rPr>
  </w:style>
  <w:style w:type="character" w:styleId="21">
    <w:name w:val="page number"/>
    <w:basedOn w:val="20"/>
    <w:uiPriority w:val="0"/>
    <w:rPr/>
  </w:style>
  <w:style w:type="character" w:styleId="22">
    <w:name w:val="Hyperlink"/>
    <w:uiPriority w:val="99"/>
    <w:rPr>
      <w:color w:val="0000FF"/>
      <w:u w:val="single"/>
    </w:rPr>
  </w:style>
  <w:style w:type="character" w:styleId="23">
    <w:name w:val="annotation reference"/>
    <w:semiHidden/>
    <w:uiPriority w:val="0"/>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27">
    <w:name w:val="Table text"/>
    <w:basedOn w:val="1"/>
    <w:qFormat/>
    <w:uiPriority w:val="0"/>
    <w:pPr>
      <w:adjustRightInd/>
      <w:spacing w:before="120" w:after="120"/>
      <w:jc w:val="both"/>
      <w:textAlignment w:val="auto"/>
    </w:pPr>
    <w:rPr>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semiHidden/>
    <w:uiPriority w:val="99"/>
    <w:rPr>
      <w:rFonts w:ascii="Times New Roman" w:hAnsi="Times New Roman" w:eastAsia="宋体" w:cs="Times New Roman"/>
      <w:sz w:val="24"/>
      <w:lang w:eastAsia="en-US" w:bidi="ar-SA"/>
    </w:rPr>
  </w:style>
  <w:style w:type="paragraph" w:customStyle="1" w:styleId="30">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1">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2">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33">
    <w:name w:val="Text"/>
    <w:basedOn w:val="1"/>
    <w:link w:val="42"/>
    <w:qFormat/>
    <w:uiPriority w:val="99"/>
    <w:pPr>
      <w:adjustRightInd/>
      <w:spacing w:before="120"/>
      <w:jc w:val="both"/>
      <w:textAlignment w:val="auto"/>
    </w:pPr>
    <w:rPr>
      <w:sz w:val="24"/>
    </w:rPr>
  </w:style>
  <w:style w:type="paragraph" w:customStyle="1" w:styleId="34">
    <w:name w:val="Default Text"/>
    <w:basedOn w:val="1"/>
    <w:uiPriority w:val="0"/>
    <w:pPr>
      <w:textAlignment w:val="auto"/>
    </w:pPr>
    <w:rPr>
      <w:rFonts w:ascii="Arial" w:hAnsi="Arial"/>
      <w:szCs w:val="24"/>
      <w:lang w:val="en-US"/>
    </w:rPr>
  </w:style>
  <w:style w:type="paragraph" w:customStyle="1" w:styleId="35">
    <w:name w:val="Style"/>
    <w:basedOn w:val="1"/>
    <w:uiPriority w:val="0"/>
    <w:pPr>
      <w:textAlignment w:val="auto"/>
    </w:pPr>
    <w:rPr>
      <w:rFonts w:ascii="Arial" w:hAnsi="Arial"/>
      <w:szCs w:val="24"/>
      <w:lang w:val="en-US"/>
    </w:rPr>
  </w:style>
  <w:style w:type="paragraph" w:customStyle="1" w:styleId="36">
    <w:name w:val="TOC Heading"/>
    <w:basedOn w:val="2"/>
    <w:next w:val="1"/>
    <w:qFormat/>
    <w:uiPriority w:val="39"/>
    <w:pPr>
      <w:numPr>
        <w:ilvl w:val="0"/>
        <w:numId w:val="0"/>
      </w:numPr>
      <w:outlineLvl w:val="9"/>
    </w:pPr>
  </w:style>
  <w:style w:type="character" w:customStyle="1" w:styleId="37">
    <w:name w:val="页眉 Char"/>
    <w:link w:val="16"/>
    <w:uiPriority w:val="0"/>
    <w:rPr>
      <w:rFonts w:eastAsia="宋体"/>
      <w:sz w:val="24"/>
      <w:lang w:eastAsia="en-US" w:bidi="ar-SA"/>
    </w:rPr>
  </w:style>
  <w:style w:type="character" w:customStyle="1" w:styleId="38">
    <w:name w:val="ordinary-span-edit2"/>
    <w:uiPriority w:val="0"/>
  </w:style>
  <w:style w:type="character" w:customStyle="1" w:styleId="39">
    <w:name w:val="instruction standard blue"/>
    <w:qFormat/>
    <w:uiPriority w:val="1"/>
    <w:rPr>
      <w:rFonts w:cs="Arial"/>
      <w:i/>
      <w:color w:val="0070C0"/>
    </w:rPr>
  </w:style>
  <w:style w:type="character" w:customStyle="1" w:styleId="40">
    <w:name w:val="Footer Char"/>
    <w:semiHidden/>
    <w:locked/>
    <w:uiPriority w:val="0"/>
    <w:rPr>
      <w:rFonts w:cs="Times New Roman"/>
      <w:sz w:val="18"/>
      <w:szCs w:val="18"/>
    </w:rPr>
  </w:style>
  <w:style w:type="character" w:customStyle="1" w:styleId="41">
    <w:name w:val="keyword"/>
    <w:basedOn w:val="20"/>
    <w:uiPriority w:val="0"/>
    <w:rPr/>
  </w:style>
  <w:style w:type="character" w:customStyle="1" w:styleId="42">
    <w:name w:val="Text Char"/>
    <w:link w:val="33"/>
    <w:qFormat/>
    <w:locked/>
    <w:uiPriority w:val="99"/>
    <w:rPr>
      <w:sz w:val="24"/>
      <w:lang w:eastAsia="en-US"/>
    </w:rPr>
  </w:style>
  <w:style w:type="character" w:customStyle="1" w:styleId="43">
    <w:name w:val="标题 Char"/>
    <w:link w:val="19"/>
    <w:uiPriority w:val="0"/>
    <w:rPr>
      <w:rFonts w:ascii="Calibri Light" w:hAnsi="Calibri Light" w:cs="Times New Roman"/>
      <w:b/>
      <w:bCs/>
      <w:sz w:val="32"/>
      <w:szCs w:val="32"/>
      <w:lang w:eastAsia="en-US"/>
    </w:rPr>
  </w:style>
  <w:style w:type="character" w:customStyle="1" w:styleId="44">
    <w:name w:val="apple-converted-space"/>
    <w:basedOn w:val="20"/>
    <w:uiPriority w:val="0"/>
    <w:rPr/>
  </w:style>
  <w:style w:type="character" w:customStyle="1" w:styleId="45">
    <w:name w:val="numbering blue Zchn"/>
    <w:link w:val="31"/>
    <w:uiPriority w:val="0"/>
    <w:rPr>
      <w:rFonts w:ascii="Arial" w:hAnsi="Arial" w:eastAsia="PMingLiU"/>
      <w:color w:val="0070C0"/>
      <w:lang w:eastAsia="zh-TW"/>
    </w:rPr>
  </w:style>
  <w:style w:type="character" w:customStyle="1" w:styleId="46">
    <w:name w:val="页脚 Char"/>
    <w:link w:val="15"/>
    <w:uiPriority w:val="99"/>
    <w:rPr>
      <w:sz w:val="24"/>
      <w:lang w:eastAsia="en-US"/>
    </w:rPr>
  </w:style>
  <w:style w:type="character" w:customStyle="1" w:styleId="47">
    <w:name w:val="批注文字 Char"/>
    <w:link w:val="7"/>
    <w:semiHidden/>
    <w:uiPriority w:val="0"/>
    <w:rPr>
      <w:sz w:val="24"/>
      <w:lang w:eastAsia="en-US"/>
    </w:rPr>
  </w:style>
  <w:style w:type="character" w:customStyle="1" w:styleId="48">
    <w:name w:val="日期 Char"/>
    <w:link w:val="12"/>
    <w:qFormat/>
    <w:uiPriority w:val="99"/>
    <w:rPr>
      <w:kern w:val="2"/>
      <w:sz w:val="21"/>
      <w:szCs w:val="24"/>
    </w:rPr>
  </w:style>
  <w:style w:type="character" w:customStyle="1" w:styleId="49">
    <w:name w:val="正文文本 3 Char"/>
    <w:link w:val="8"/>
    <w:qFormat/>
    <w:uiPriority w:val="99"/>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3523</Words>
  <Characters>1291</Characters>
  <Lines>10</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2020-04-23T13:14:00Z</dcterms:created>
  <dc:creator>Lilly</dc:creator>
  <cp:lastModifiedBy>汪洋</cp:lastModifiedBy>
  <cp:lastPrinted>2019-04-30T04:16:00Z</cp:lastPrinted>
  <dcterms:modified xsi:type="dcterms:W3CDTF">2020-11-23T03:37:15Z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