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bookmarkStart w:id="0" w:name="_Toc483400307"/>
      <w:bookmarkStart w:id="1" w:name="_Toc483666358"/>
      <w:bookmarkStart w:id="2" w:name="_Toc484532399"/>
      <w:bookmarkStart w:id="3" w:name="_Toc482717189"/>
      <w:bookmarkStart w:id="4" w:name="_Toc483227223"/>
    </w:p>
    <w:p>
      <w:pPr>
        <w:spacing w:after="158" w:afterLines="50"/>
        <w:jc w:val="center"/>
        <w:rPr>
          <w:b/>
          <w:szCs w:val="21"/>
          <w:lang w:eastAsia="zh-CN"/>
        </w:rPr>
      </w:pPr>
      <w:permStart w:id="0" w:edGrp="everyone"/>
      <w:r>
        <w:rPr>
          <w:rFonts w:hint="eastAsia"/>
          <w:b/>
          <w:sz w:val="28"/>
          <w:szCs w:val="28"/>
          <w:lang w:eastAsia="zh-CN"/>
        </w:rPr>
        <w:t>细菌类疫苗室联合疫苗楼白喉原液车间</w:t>
      </w:r>
      <w:r>
        <w:rPr>
          <w:rFonts w:hint="eastAsia"/>
          <w:b/>
          <w:color w:val="000000"/>
          <w:sz w:val="28"/>
          <w:szCs w:val="28"/>
          <w:lang w:eastAsia="zh-CN"/>
        </w:rPr>
        <w:t>显微镜</w:t>
      </w:r>
      <w:permEnd w:id="0"/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1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permStart w:id="1" w:edGrp="everyone"/>
      <w:permEnd w:id="1"/>
      <w:r>
        <w:rPr>
          <w:sz w:val="21"/>
          <w:szCs w:val="21"/>
          <w:lang w:val="zh-CN" w:eastAsia="zh-CN"/>
        </w:rPr>
        <w:t>目录</w:t>
      </w:r>
    </w:p>
    <w:p>
      <w:pPr>
        <w:rPr>
          <w:i/>
          <w:color w:val="00B0F0"/>
          <w:lang w:val="zh-CN" w:eastAsia="zh-CN"/>
        </w:rPr>
      </w:pPr>
      <w:permStart w:id="2" w:edGrp="everyone"/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HYPERLINK  \l "_Toc522716114" </w:instrText>
      </w:r>
      <w:r>
        <w:fldChar w:fldCharType="separate"/>
      </w:r>
      <w:r>
        <w:rPr>
          <w:rStyle w:val="21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"_Toc522716115" </w:instrText>
      </w:r>
      <w:r>
        <w:fldChar w:fldCharType="separate"/>
      </w:r>
      <w:r>
        <w:rPr>
          <w:rStyle w:val="21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"_Toc522716116" </w:instrText>
      </w:r>
      <w:r>
        <w:fldChar w:fldCharType="separate"/>
      </w:r>
      <w:r>
        <w:rPr>
          <w:rStyle w:val="21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"_Toc522716117" </w:instrText>
      </w:r>
      <w:r>
        <w:fldChar w:fldCharType="separate"/>
      </w:r>
      <w:r>
        <w:rPr>
          <w:rStyle w:val="21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"_Toc522716118" </w:instrText>
      </w:r>
      <w:r>
        <w:fldChar w:fldCharType="separate"/>
      </w:r>
      <w:r>
        <w:rPr>
          <w:rStyle w:val="21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"_Toc522716119" </w:instrText>
      </w:r>
      <w:r>
        <w:fldChar w:fldCharType="separate"/>
      </w:r>
      <w:r>
        <w:rPr>
          <w:rStyle w:val="21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"_Toc522716120" </w:instrText>
      </w:r>
      <w:r>
        <w:fldChar w:fldCharType="separate"/>
      </w:r>
      <w:r>
        <w:rPr>
          <w:rStyle w:val="21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"_Toc522716121" </w:instrText>
      </w:r>
      <w:r>
        <w:fldChar w:fldCharType="separate"/>
      </w:r>
      <w:r>
        <w:rPr>
          <w:rStyle w:val="21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"_Toc522716122" </w:instrText>
      </w:r>
      <w:r>
        <w:fldChar w:fldCharType="separate"/>
      </w:r>
      <w:r>
        <w:rPr>
          <w:rStyle w:val="21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"_Toc522716123" </w:instrText>
      </w:r>
      <w:r>
        <w:fldChar w:fldCharType="separate"/>
      </w:r>
      <w:r>
        <w:rPr>
          <w:rStyle w:val="21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"_Toc522716124" </w:instrText>
      </w:r>
      <w:r>
        <w:fldChar w:fldCharType="separate"/>
      </w:r>
      <w:r>
        <w:rPr>
          <w:rStyle w:val="21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"_Toc522716125" </w:instrText>
      </w:r>
      <w:r>
        <w:fldChar w:fldCharType="separate"/>
      </w:r>
      <w:r>
        <w:rPr>
          <w:rStyle w:val="21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HYPERLINK  \l "_Toc522716126" </w:instrText>
      </w:r>
      <w:r>
        <w:fldChar w:fldCharType="separate"/>
      </w:r>
      <w:r>
        <w:rPr>
          <w:rStyle w:val="21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1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r>
        <w:fldChar w:fldCharType="end"/>
      </w:r>
      <w:permEnd w:id="2"/>
    </w:p>
    <w:p>
      <w:pPr>
        <w:rPr>
          <w:lang w:val="en-US" w:eastAsia="zh-CN"/>
        </w:rPr>
      </w:pPr>
      <w:r>
        <w:rPr>
          <w:lang w:val="en-US" w:eastAsia="zh-CN"/>
        </w:rPr>
        <w:br w:type="page"/>
      </w:r>
      <w:bookmarkStart w:id="5" w:name="_Toc522107734"/>
    </w:p>
    <w:bookmarkEnd w:id="5"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6" w:name="_Toc522716115"/>
      <w:bookmarkStart w:id="7" w:name="_Toc522107735"/>
      <w:r>
        <w:rPr>
          <w:rFonts w:ascii="Times New Roman" w:hAnsi="Times New Roman"/>
          <w:b/>
        </w:rPr>
        <w:t>目的</w:t>
      </w:r>
      <w:bookmarkEnd w:id="6"/>
      <w:bookmarkEnd w:id="7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bookmarkStart w:id="8" w:name="_Toc482369805"/>
      <w:bookmarkStart w:id="9" w:name="_Toc481702475"/>
      <w:bookmarkStart w:id="10" w:name="_Toc482370061"/>
      <w:bookmarkStart w:id="11" w:name="_Toc482370757"/>
      <w:bookmarkStart w:id="12" w:name="_Toc482370141"/>
      <w:bookmarkStart w:id="13" w:name="_Toc482370349"/>
      <w:bookmarkStart w:id="14" w:name="_Toc482625279"/>
      <w:bookmarkStart w:id="15" w:name="_Toc482359936"/>
      <w:bookmarkStart w:id="16" w:name="_Toc482360281"/>
      <w:r>
        <w:rPr>
          <w:szCs w:val="21"/>
          <w:lang w:eastAsia="zh-CN"/>
        </w:rPr>
        <w:t>本文件的目的是描述武汉生物制品研究所有限责任公司</w:t>
      </w:r>
      <w:permStart w:id="3" w:edGrp="everyone"/>
      <w:r>
        <w:rPr>
          <w:rFonts w:hint="eastAsia"/>
          <w:szCs w:val="21"/>
          <w:lang w:eastAsia="zh-CN"/>
        </w:rPr>
        <w:t>细菌类疫苗室联合疫苗楼白喉疫苗原液车间显微镜</w:t>
      </w:r>
      <w:permEnd w:id="3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>
      <w:pPr>
        <w:pStyle w:val="34"/>
        <w:spacing w:before="0"/>
        <w:ind w:left="360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7" w:name="_Toc522716116"/>
      <w:bookmarkStart w:id="18" w:name="_Toc522107736"/>
      <w:r>
        <w:rPr>
          <w:rFonts w:ascii="Times New Roman" w:hAnsi="Times New Roman"/>
          <w:b/>
        </w:rPr>
        <w:t>范围</w:t>
      </w:r>
      <w:bookmarkEnd w:id="17"/>
      <w:bookmarkEnd w:id="18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permStart w:id="4" w:edGrp="everyone"/>
      <w:r>
        <w:rPr>
          <w:rFonts w:hint="eastAsia"/>
          <w:szCs w:val="21"/>
          <w:lang w:eastAsia="zh-CN"/>
        </w:rPr>
        <w:t>细菌类疫苗室联合疫苗楼白喉疫苗原液车间显微镜的购买</w:t>
      </w:r>
      <w:permEnd w:id="4"/>
      <w:r>
        <w:rPr>
          <w:szCs w:val="21"/>
          <w:lang w:eastAsia="zh-CN"/>
        </w:rPr>
        <w:t>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>
      <w:pPr>
        <w:pStyle w:val="34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9" w:name="_Toc522107737"/>
      <w:bookmarkStart w:id="20" w:name="_Toc522716117"/>
      <w:r>
        <w:rPr>
          <w:rFonts w:ascii="Times New Roman" w:hAnsi="Times New Roman"/>
          <w:b/>
        </w:rPr>
        <w:t>参考文件</w:t>
      </w:r>
      <w:bookmarkEnd w:id="19"/>
      <w:bookmarkEnd w:id="20"/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iCs/>
          <w:szCs w:val="21"/>
          <w:lang w:eastAsia="zh-CN"/>
        </w:rPr>
      </w:pPr>
      <w:permStart w:id="5" w:edGrp="everyone"/>
      <w:r>
        <w:rPr>
          <w:iCs/>
          <w:szCs w:val="21"/>
          <w:lang w:eastAsia="zh-CN"/>
        </w:rPr>
        <w:t>中国药典</w:t>
      </w:r>
      <w:r>
        <w:rPr>
          <w:iCs/>
          <w:szCs w:val="21"/>
        </w:rPr>
        <w:t>2015年版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《药品生产质量管理规范》（2010年修订版）及附录</w:t>
      </w:r>
    </w:p>
    <w:p>
      <w:pPr>
        <w:pStyle w:val="34"/>
        <w:numPr>
          <w:ilvl w:val="0"/>
          <w:numId w:val="5"/>
        </w:numPr>
        <w:spacing w:before="0" w:line="360" w:lineRule="auto"/>
        <w:ind w:left="777"/>
        <w:jc w:val="left"/>
        <w:rPr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kern w:val="2"/>
          <w:szCs w:val="24"/>
          <w:lang w:eastAsia="zh-CN"/>
        </w:rPr>
        <w:t>《药品G</w:t>
      </w:r>
      <w:r>
        <w:rPr>
          <w:rFonts w:ascii="宋体" w:hAnsi="宋体"/>
          <w:color w:val="000000"/>
          <w:kern w:val="2"/>
          <w:szCs w:val="24"/>
          <w:lang w:eastAsia="zh-CN"/>
        </w:rPr>
        <w:t>MP</w:t>
      </w:r>
      <w:r>
        <w:rPr>
          <w:rFonts w:hint="eastAsia" w:ascii="宋体" w:hAnsi="宋体"/>
          <w:color w:val="000000"/>
          <w:kern w:val="2"/>
          <w:szCs w:val="24"/>
          <w:lang w:eastAsia="zh-CN"/>
        </w:rPr>
        <w:t>指南》无菌药品（2011版）</w:t>
      </w:r>
    </w:p>
    <w:permEnd w:id="5"/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permStart w:id="6" w:edGrp="everyone"/>
      <w:r>
        <w:rPr>
          <w:color w:val="000000"/>
          <w:szCs w:val="21"/>
          <w:lang w:eastAsia="zh-CN"/>
        </w:rPr>
        <w:t>电气安全应符合GB4793.1和GB4793.4的要求。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有电气设备的电线和电缆必须依据</w:t>
      </w:r>
      <w:r>
        <w:rPr>
          <w:color w:val="000000"/>
          <w:szCs w:val="21"/>
          <w:lang w:eastAsia="zh-CN"/>
        </w:rPr>
        <w:t>ICE</w:t>
      </w:r>
      <w:r>
        <w:rPr>
          <w:rFonts w:hint="eastAsia"/>
          <w:color w:val="000000"/>
          <w:szCs w:val="21"/>
          <w:lang w:eastAsia="zh-CN"/>
        </w:rPr>
        <w:t>标准。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安全达到国内相关标准及</w:t>
      </w:r>
      <w:r>
        <w:rPr>
          <w:color w:val="000000"/>
          <w:szCs w:val="21"/>
          <w:lang w:eastAsia="zh-CN"/>
        </w:rPr>
        <w:t>CE</w:t>
      </w:r>
      <w:r>
        <w:rPr>
          <w:rFonts w:hint="eastAsia"/>
          <w:color w:val="000000"/>
          <w:szCs w:val="21"/>
          <w:lang w:eastAsia="zh-CN"/>
        </w:rPr>
        <w:t>标准要求</w:t>
      </w:r>
    </w:p>
    <w:p>
      <w:pPr>
        <w:pStyle w:val="34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rFonts w:hint="eastAsia"/>
          <w:color w:val="000000"/>
          <w:szCs w:val="21"/>
          <w:lang w:eastAsia="zh-CN"/>
        </w:rPr>
        <w:t>设备功能失调或者故障的情况下，必须配备所有必要的保护措施，保证设备和产品仍然处于一个安全状态。必须提供设施保证人员，产品和设备安全。</w:t>
      </w:r>
    </w:p>
    <w:permEnd w:id="6"/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1" w:name="_Toc522716119"/>
      <w:bookmarkStart w:id="22" w:name="_Toc522107739"/>
      <w:permStart w:id="7" w:edGrp="everyone"/>
      <w:permEnd w:id="7"/>
      <w:r>
        <w:rPr>
          <w:rFonts w:ascii="Times New Roman" w:hAnsi="Times New Roman"/>
          <w:b/>
        </w:rPr>
        <w:t>系统描述</w:t>
      </w:r>
      <w:bookmarkEnd w:id="21"/>
      <w:bookmarkEnd w:id="2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8" w:edGrp="everyone"/>
      <w:r>
        <w:rPr>
          <w:rFonts w:hint="eastAsia"/>
          <w:color w:val="000000"/>
          <w:kern w:val="2"/>
          <w:szCs w:val="21"/>
          <w:lang w:eastAsia="zh-CN"/>
        </w:rPr>
        <w:t>为及时掌握白喉菌种和大罐培养时菌体的生长情况，以及留存影像，需要显微镜辅助生产。</w:t>
      </w:r>
      <w:permEnd w:id="8"/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3" w:name="_Toc522716120"/>
      <w:r>
        <w:rPr>
          <w:rFonts w:ascii="Times New Roman" w:hAnsi="Times New Roman"/>
          <w:b/>
          <w:szCs w:val="21"/>
        </w:rPr>
        <w:t>安装要求</w:t>
      </w:r>
      <w:bookmarkEnd w:id="23"/>
    </w:p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  <w:permStart w:id="9" w:edGrp="everyone"/>
      <w:permEnd w:id="9"/>
      <w:bookmarkStart w:id="48" w:name="_GoBack"/>
      <w:bookmarkEnd w:id="48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4" w:name="OLE_LINK1"/>
            <w:bookmarkStart w:id="25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细菌类疫苗室联合疫苗大楼白喉原液车间</w:t>
            </w:r>
            <w:r>
              <w:rPr>
                <w:rFonts w:hint="eastAsia"/>
                <w:color w:val="000000"/>
                <w:szCs w:val="21"/>
                <w:lang w:eastAsia="zh-CN"/>
              </w:rPr>
              <w:t>D级区域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大罐间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外形尺寸(长*宽*高)不大于：300mm*300mm*500mm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供应商必须给出</w:t>
            </w:r>
            <w:r>
              <w:rPr>
                <w:rFonts w:hint="eastAsia"/>
                <w:color w:val="000000"/>
                <w:szCs w:val="21"/>
                <w:lang w:eastAsia="zh-CN"/>
              </w:rPr>
              <w:t>显微镜</w:t>
            </w:r>
            <w:r>
              <w:rPr>
                <w:color w:val="000000"/>
                <w:szCs w:val="21"/>
                <w:lang w:eastAsia="zh-CN"/>
              </w:rPr>
              <w:t>选型方案及相应附件选型方案，并交给我公司使用部门及工程类部门审核。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val="en-US" w:eastAsia="zh-CN"/>
              </w:rPr>
              <w:t>供应商应提供所需公用系统的参数要求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适用于我公司工作环境温度：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能适应18</w:t>
            </w:r>
            <w:r>
              <w:rPr>
                <w:color w:val="000000"/>
                <w:szCs w:val="21"/>
                <w:lang w:eastAsia="zh-CN"/>
              </w:rPr>
              <w:t>～</w:t>
            </w:r>
            <w:r>
              <w:rPr>
                <w:rFonts w:hint="eastAsia"/>
                <w:color w:val="000000"/>
                <w:szCs w:val="21"/>
                <w:lang w:eastAsia="zh-CN"/>
              </w:rPr>
              <w:t>26℃环境。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工作环境湿度：至少包括</w:t>
            </w:r>
            <w:r>
              <w:rPr>
                <w:lang w:eastAsia="zh-CN"/>
              </w:rPr>
              <w:t>45%～65%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适用于我公司工作环境洁净级别：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D级别区。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交流电电源</w:t>
            </w:r>
            <w:r>
              <w:rPr>
                <w:i/>
                <w:iCs/>
                <w:lang w:eastAsia="zh-CN"/>
              </w:rPr>
              <w:t>：</w:t>
            </w:r>
            <w:r>
              <w:rPr>
                <w:lang w:eastAsia="zh-CN"/>
              </w:rPr>
              <w:t>～220±10%V，50±1Hz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外表面光滑平整耐盐耐腐蚀不能生锈，可经受多次臭氧、甲醛、过氧化氢熏蒸而不腐蚀，且没有明显划痕、凹陷、脱落、裂纹、锈蚀以及其它肉眼可见的外观缺陷，易清洗消毒。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标识：至少应有以下永久贴牢和清楚易认的标识：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（1）制造/供应单位；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（2）产品注册号；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（3）型号；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（4）生产日期或编号；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（5）对设备必要的说明；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（6）安全标识。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7</w:t>
            </w:r>
            <w:r>
              <w:rPr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温度范围</w:t>
            </w:r>
            <w:r>
              <w:rPr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276" w:lineRule="auto"/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eastAsia="zh-CN"/>
              </w:rPr>
              <w:t>8</w:t>
            </w:r>
            <w:r>
              <w:rPr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lang w:eastAsia="zh-CN"/>
              </w:rPr>
              <w:t>内室规格</w:t>
            </w:r>
            <w:r>
              <w:rPr>
                <w:color w:val="000000"/>
                <w:szCs w:val="21"/>
                <w:lang w:eastAsia="zh-CN"/>
              </w:rPr>
              <w:t>。</w:t>
            </w:r>
          </w:p>
          <w:p>
            <w:pPr>
              <w:pStyle w:val="8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电压、电流、功率、频率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关键</w:t>
            </w:r>
          </w:p>
        </w:tc>
      </w:tr>
      <w:bookmarkEnd w:id="24"/>
      <w:bookmarkEnd w:id="25"/>
      <w:permEnd w:id="19"/>
    </w:tbl>
    <w:p>
      <w:pPr>
        <w:pStyle w:val="30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6" w:name="_Toc522107740"/>
      <w:bookmarkStart w:id="27" w:name="_Toc522716121"/>
      <w:r>
        <w:rPr>
          <w:rFonts w:ascii="Times New Roman" w:hAnsi="Times New Roman"/>
          <w:b/>
        </w:rPr>
        <w:t>运行要求</w:t>
      </w:r>
      <w:bookmarkEnd w:id="26"/>
      <w:bookmarkEnd w:id="27"/>
    </w:p>
    <w:p>
      <w:pPr>
        <w:pStyle w:val="34"/>
        <w:spacing w:before="0" w:line="360" w:lineRule="auto"/>
        <w:ind w:left="357"/>
        <w:jc w:val="left"/>
        <w:rPr>
          <w:bCs/>
          <w:i/>
          <w:color w:val="4472C4"/>
          <w:kern w:val="44"/>
          <w:szCs w:val="21"/>
          <w:lang w:eastAsia="zh-CN"/>
        </w:rPr>
      </w:pPr>
      <w:permStart w:id="20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0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适用于细菌的革兰氏染色结果观测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大视场目镜：具有可调节目镜筒的视度调节圈，配置10×目镜（3个），另配置25×目镜（3个）备用。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三目镜配置，两目镜用于人眼观察，第三目镜用于连接相机可拍照输出图像。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目镜为推拉式观察头，可水平拉伸进行瞳距调节，45°倾斜。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配置4X、10X、40X、100X195消色差物镜，成像应清晰锐利，效果逼真。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聚光镜的亮度可调节，也可通过升降手轮对图像亮度进行调节。配备光圈拨片可调节观察景深及视野层次感。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具有XY轴移动载物台，X轴移动行程不小于80mm，Y轴移动行程不小于50mm，可根据样品观察位置调节载物台。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带限位机构，调整好载物台与物镜的距离后，紧锁升降台，避免使用过程中调整升降台时物镜与观察样品发生撞击，从而起到保护物镜的作用。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配备调焦松紧调节，同轴粗微调焦结构，带松紧调节圈，顺时针或逆时针转动松紧调节圈可以调节粗动手轮的手感轻重。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相机参数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图像传感器：不小于2000万像素；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感光尺寸：1/2.3英寸；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像元尺寸：1.335μm×1.335μm；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输出接口：HDMI、USB、TF Card；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拍照分辨率：2100万像素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录像分辨率：K@30帧，1080p@60帧；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HDMI输出：逐行1920*1080 60帧，可与USB同时输出，支持4：3、16：9、16：10屏幕，保证图像不变形；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USB输出：具备USB3.0接口；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TF卡存储容量：不低于64GB;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辅助线：8条颜色粗细位置可调的十字线，2条带刻度的十字刻度线，2条颜色粗细位置可调的十字虚线；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黑白、负片：支持；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语言：中文；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数字缩放：支持；</w:t>
            </w:r>
            <w:r>
              <w:rPr>
                <w:szCs w:val="21"/>
                <w:lang w:val="en-US" w:eastAsia="zh-CN"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镜头接口：C/CS口。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可用HDMI接口或USB接口连接液晶屏进行图像观察等功能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输出的图像带标尺可直接观测菌体大致尺寸，输出图片具备300dpi 的TIFF格式以及JPEG格式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显示屏尺寸1</w:t>
            </w:r>
            <w:r>
              <w:rPr>
                <w:szCs w:val="21"/>
                <w:lang w:val="en-US" w:eastAsia="zh-CN"/>
              </w:rPr>
              <w:t>0-14</w:t>
            </w:r>
            <w:r>
              <w:rPr>
                <w:rFonts w:hint="eastAsia"/>
                <w:szCs w:val="21"/>
                <w:lang w:val="en-US" w:eastAsia="zh-CN"/>
              </w:rPr>
              <w:t>寸，分辨率不低于1</w:t>
            </w:r>
            <w:r>
              <w:rPr>
                <w:szCs w:val="21"/>
                <w:lang w:val="en-US" w:eastAsia="zh-CN"/>
              </w:rPr>
              <w:t>920</w:t>
            </w:r>
            <w:r>
              <w:rPr>
                <w:rFonts w:hint="eastAsia"/>
                <w:szCs w:val="21"/>
                <w:lang w:val="en-US" w:eastAsia="zh-CN"/>
              </w:rPr>
              <w:t>×</w:t>
            </w:r>
            <w:r>
              <w:rPr>
                <w:szCs w:val="21"/>
                <w:lang w:val="en-US" w:eastAsia="zh-CN"/>
              </w:rPr>
              <w:t>1080</w:t>
            </w:r>
            <w:r>
              <w:rPr>
                <w:rFonts w:hint="eastAsia"/>
                <w:szCs w:val="21"/>
                <w:lang w:val="en-US" w:eastAsia="zh-CN"/>
              </w:rPr>
              <w:t>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显示屏配备鼠标，可对显示屏上图像进行缩放等操作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随机配备3-5个显微镜配套使用的钨灯。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4"/>
    </w:tbl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8" w:name="_Toc522716122"/>
      <w:bookmarkStart w:id="29" w:name="_Toc522107742"/>
      <w:bookmarkStart w:id="30" w:name="_Toc482370767"/>
      <w:bookmarkStart w:id="31" w:name="_Toc482359946"/>
      <w:bookmarkStart w:id="32" w:name="_Toc481702480"/>
      <w:bookmarkStart w:id="33" w:name="_Toc482360291"/>
      <w:bookmarkStart w:id="34" w:name="_Toc482369815"/>
      <w:bookmarkStart w:id="35" w:name="_Toc482370359"/>
      <w:bookmarkStart w:id="36" w:name="_Toc483227237"/>
      <w:bookmarkStart w:id="37" w:name="_Toc482370071"/>
      <w:bookmarkStart w:id="38" w:name="_Toc482370151"/>
      <w:bookmarkStart w:id="39" w:name="_Toc482625289"/>
      <w:bookmarkStart w:id="40" w:name="_Toc482717202"/>
      <w:bookmarkStart w:id="41" w:name="_Toc483400317"/>
      <w:r>
        <w:rPr>
          <w:rFonts w:ascii="Times New Roman" w:hAnsi="Times New Roman"/>
          <w:b/>
        </w:rPr>
        <w:t>电气、自动控制要求</w:t>
      </w:r>
      <w:bookmarkEnd w:id="28"/>
    </w:p>
    <w:p>
      <w:pPr>
        <w:pStyle w:val="34"/>
        <w:spacing w:before="0" w:line="360" w:lineRule="auto"/>
        <w:ind w:left="425"/>
        <w:jc w:val="left"/>
        <w:rPr>
          <w:i/>
          <w:color w:val="4472C4"/>
          <w:szCs w:val="21"/>
          <w:lang w:eastAsia="zh-CN"/>
        </w:rPr>
      </w:pPr>
      <w:permStart w:id="2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掉电记忆：重新上电后可按照掉电前的状态继续进行工作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7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7"/>
    </w:tbl>
    <w:p>
      <w:pPr>
        <w:spacing w:after="158" w:afterLines="50"/>
        <w:rPr>
          <w:b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3"/>
      <w:r>
        <w:rPr>
          <w:rFonts w:ascii="Times New Roman" w:hAnsi="Times New Roman"/>
          <w:b/>
        </w:rPr>
        <w:t>安全要求</w:t>
      </w:r>
      <w:bookmarkEnd w:id="29"/>
      <w:bookmarkEnd w:id="42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28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28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ind w:firstLine="0" w:firstLineChars="0"/>
              <w:rPr>
                <w:rFonts w:ascii="Times New Roman" w:hAnsi="Times New Roman"/>
                <w:szCs w:val="21"/>
              </w:rPr>
            </w:pPr>
            <w:permStart w:id="29" w:edGrp="everyone"/>
          </w:p>
        </w:tc>
        <w:tc>
          <w:tcPr>
            <w:tcW w:w="9253" w:type="dxa"/>
            <w:gridSpan w:val="2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N/A</w:t>
            </w:r>
          </w:p>
        </w:tc>
      </w:tr>
      <w:permEnd w:id="2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0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电控系统所用部件和材料必须符合专业质量标准要求，且装配联接符合设计要求和相关专业质量标准要求，具有良好的绝缘和接地保护。安全保护接地需符合国家标准。</w:t>
            </w:r>
          </w:p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保护等级：NEMA4X/IP56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1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其他保护：设备热表面或发热部件上的明显部位必须设有警告标识。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1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3" w:name="_Toc522107743"/>
      <w:bookmarkStart w:id="44" w:name="_Toc522716124"/>
      <w:r>
        <w:rPr>
          <w:rFonts w:ascii="Times New Roman" w:hAnsi="Times New Roman"/>
          <w:b/>
        </w:rPr>
        <w:t>文件要求</w:t>
      </w:r>
      <w:bookmarkEnd w:id="43"/>
      <w:bookmarkEnd w:id="44"/>
    </w:p>
    <w:p>
      <w:pPr>
        <w:pStyle w:val="34"/>
        <w:spacing w:before="0" w:line="360" w:lineRule="auto"/>
        <w:ind w:left="357"/>
        <w:jc w:val="left"/>
        <w:rPr>
          <w:i/>
          <w:szCs w:val="21"/>
          <w:lang w:eastAsia="zh-CN"/>
        </w:rPr>
      </w:pPr>
      <w:permStart w:id="32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2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3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开箱验收时提供所有资料的电子版和纸质版，并将电子版全套资料交我公司工程技术部存档。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4" w:edGrp="everyone"/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投标文件、合同及订单。设备开箱验收。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卖方发运清单及相关检验报告。设备开箱验收。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hAnsi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图纸（如果有）：实物图；各种验证、维修等活动所需的电子版及打印版设备布局图、设备尺寸图、设备局部图（与功能相关细节图）、P&amp;ID图、控制原理图、计算机系统相关图纸（若涉及）、图纸清单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配件清单、易损件清单、备件、消耗品清单</w:t>
            </w:r>
            <w:r>
              <w:rPr>
                <w:rFonts w:hint="eastAsia" w:ascii="宋体" w:hAnsi="宋体"/>
                <w:lang w:eastAsia="zh-CN"/>
              </w:rPr>
              <w:t>：包括名称、编号、对应厂家名称、生产地、规格及必要说明。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设备厂家文件：出厂测试合格证、各组件说明书与合格证、相关检测报告、各种标示。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color w:val="000000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提供关键设备清单。不晚于IQ开始前。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设备操作手册（</w:t>
            </w:r>
            <w:r>
              <w:rPr>
                <w:rFonts w:ascii="宋体" w:hAnsi="宋体" w:cs="宋体"/>
                <w:lang w:eastAsia="zh-CN"/>
              </w:rPr>
              <w:t>SOP</w:t>
            </w:r>
            <w:r>
              <w:rPr>
                <w:rFonts w:hint="eastAsia" w:ascii="宋体" w:hAnsi="宋体" w:cs="宋体"/>
                <w:lang w:eastAsia="zh-CN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eastAsia="zh-CN"/>
              </w:rPr>
              <w:t>语言为中文，</w:t>
            </w:r>
            <w:r>
              <w:rPr>
                <w:rFonts w:hint="eastAsia" w:ascii="宋体" w:hAnsi="宋体"/>
                <w:lang w:eastAsia="zh-CN"/>
              </w:rPr>
              <w:t>应说明校准周期，并能提供校准服务。不晚于IQ开始前。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第三方或有计量资质的校验报告或计量证书。不晚于IQ开始前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安全报告。不晚于IQ开始前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材质证书（写明材料有效期）。不晚于IQ开始前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使用操作说明书及维护保养说明（即运行及维护手册）</w:t>
            </w:r>
            <w:r>
              <w:rPr>
                <w:rFonts w:ascii="宋体" w:hAnsi="宋体"/>
                <w:lang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份。不晚于IQ开始前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提供设备及其零部件使用寿命清单。不晚于IQ开始前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现场验收报告。不晚于IQ开始前。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文件具体要求：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（1）系统相关方案中，应明确本系统的配置、规格，并且分析阐述每一个系统环节的必要性；</w:t>
            </w:r>
          </w:p>
          <w:p>
            <w:pPr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（2）标书中明确系统所有组件的品牌、材质、型号，并且注明每一个组件的保修期；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4"/>
    </w:tbl>
    <w:p>
      <w:pPr>
        <w:rPr>
          <w:szCs w:val="21"/>
          <w:lang w:eastAsia="zh-CN"/>
        </w:rPr>
      </w:pPr>
    </w:p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5"/>
      <w:r>
        <w:rPr>
          <w:rFonts w:ascii="Times New Roman" w:hAnsi="Times New Roman"/>
          <w:b/>
          <w:szCs w:val="21"/>
        </w:rPr>
        <w:t>服务要求</w:t>
      </w:r>
      <w:bookmarkEnd w:id="45"/>
    </w:p>
    <w:p>
      <w:pPr>
        <w:pStyle w:val="34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35" w:edGrp="everyone"/>
    </w:p>
    <w:tbl>
      <w:tblPr>
        <w:tblStyle w:val="23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10"/>
        <w:gridCol w:w="7128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</w:t>
            </w:r>
            <w:permEnd w:id="35"/>
            <w:r>
              <w:rPr>
                <w:b/>
                <w:szCs w:val="21"/>
              </w:rPr>
              <w:t>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6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设备供应商应免费对设备使用方人员进行全面培训，包括对生产操作人员及设备维护、维修人员，并填写培训记录。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7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生产操作人员培训包括设备结构原理、性能、操作、清洗消毒、故障排除等基本</w:t>
            </w:r>
            <w:r>
              <w:rPr>
                <w:szCs w:val="21"/>
                <w:lang w:eastAsia="zh-CN"/>
              </w:rPr>
              <w:t>知识</w:t>
            </w:r>
            <w:r>
              <w:rPr>
                <w:lang w:eastAsia="zh-CN"/>
              </w:rPr>
              <w:t>。合格标准为用户参加培训人员能够独立正确操作设备，会排除常见故障。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8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lang w:eastAsia="zh-CN"/>
              </w:rPr>
              <w:t>设备维护、维修人员培训应包括设备结构原理、基本操作、维修、日常保养内容、故障排除等基本知识。合格标准为维修人员能对机械、电器部分进行基本维修，能够了解设备日常保养内容，能对造成常见故障的易损部件有明确认识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39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3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0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iCs/>
                <w:szCs w:val="21"/>
                <w:lang w:eastAsia="zh-CN"/>
              </w:rPr>
            </w:pPr>
            <w:r>
              <w:rPr>
                <w:rFonts w:hint="eastAsia"/>
                <w:iCs/>
                <w:szCs w:val="21"/>
                <w:lang w:eastAsia="zh-CN"/>
              </w:rPr>
              <w:t>提供IQ/OQ测试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1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设备保质期从确认验收的阶段就开始计算。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2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设备质保期为两年，两年内免费保修，两年后应提供良好的售后服务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售后服务必须响应及时，要求设备出现须厂家维修的故障后，应在4小时内明确答复，当电话沟通无法解决时，须24小时内派人至现场解决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两年免费保修期到期后，厂家应终生提供及时的维修、维护，厂家应定期回访，解决设备运行当中可能出现的疑问，排除潜在故障，使设备保持良好工作状态。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厂家应提供合格的备件，用于设备相应部件的维修、更换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0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3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货物到达买方使用现场后，由买卖双方共同验收，卖方工程师免费为买方提供调试。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44" w:edGrp="everyone"/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hAnsi="宋体"/>
                <w:szCs w:val="21"/>
                <w:lang w:eastAsia="zh-CN"/>
              </w:rPr>
              <w:t>供应商进厂安装需遵守安全和施工规定。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vAlign w:val="center"/>
          </w:tcPr>
          <w:p>
            <w:pPr>
              <w:pStyle w:val="30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vAlign w:val="center"/>
          </w:tcPr>
          <w:p>
            <w:pPr>
              <w:spacing w:line="276" w:lineRule="auto"/>
              <w:jc w:val="both"/>
              <w:rPr>
                <w:rFonts w:hAnsi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确认试车验收合格后，买卖双方签订验收报告。</w:t>
            </w:r>
          </w:p>
        </w:tc>
        <w:tc>
          <w:tcPr>
            <w:tcW w:w="2125" w:type="dxa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44"/>
    </w:tbl>
    <w:p/>
    <w:p>
      <w:pPr>
        <w:pStyle w:val="30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6" w:name="_Toc522716126"/>
      <w:bookmarkStart w:id="47" w:name="_Toc522107746"/>
      <w:r>
        <w:rPr>
          <w:rFonts w:ascii="Times New Roman" w:hAnsi="Times New Roman"/>
          <w:b/>
        </w:rPr>
        <w:t>附件</w:t>
      </w:r>
      <w:bookmarkEnd w:id="46"/>
      <w:bookmarkEnd w:id="47"/>
    </w:p>
    <w:tbl>
      <w:tblPr>
        <w:tblStyle w:val="23"/>
        <w:tblW w:w="102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155"/>
        <w:gridCol w:w="3794"/>
        <w:gridCol w:w="4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permStart w:id="45" w:edGrp="everyone"/>
            <w:r>
              <w:rPr>
                <w:rFonts w:ascii="宋体" w:hAnsi="宋体" w:eastAsia="宋体"/>
                <w:b/>
                <w:bCs/>
                <w:szCs w:val="21"/>
              </w:rPr>
              <w:t>设</w:t>
            </w:r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>
              <w:rPr>
                <w:rFonts w:ascii="宋体" w:hAnsi="宋体" w:eastAsia="宋体"/>
                <w:b/>
                <w:bCs/>
                <w:szCs w:val="21"/>
              </w:rPr>
              <w:t>备名称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品牌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范围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技术要求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显微镜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Olmpus，Zeiss,Nikon或者同等品牌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Cs w:val="21"/>
                <w:lang w:eastAsia="zh-CN"/>
              </w:rPr>
              <w:t>适用微生物观察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相机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Panasonic,Nikon或者同等品牌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成像清晰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显示屏</w:t>
            </w:r>
          </w:p>
        </w:tc>
        <w:tc>
          <w:tcPr>
            <w:tcW w:w="3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戴尔、三星或同等品牌</w:t>
            </w:r>
          </w:p>
        </w:tc>
        <w:tc>
          <w:tcPr>
            <w:tcW w:w="4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color w:val="FF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图像锐利清晰，色彩真实</w:t>
            </w:r>
          </w:p>
        </w:tc>
      </w:tr>
      <w:permEnd w:id="45"/>
    </w:tbl>
    <w:p>
      <w:pPr>
        <w:pStyle w:val="34"/>
        <w:numPr>
          <w:ilvl w:val="0"/>
          <w:numId w:val="3"/>
        </w:numPr>
        <w:spacing w:before="0" w:line="360" w:lineRule="auto"/>
        <w:jc w:val="left"/>
        <w:rPr>
          <w:color w:val="000000"/>
          <w:szCs w:val="21"/>
          <w:lang w:eastAsia="zh-CN"/>
        </w:rPr>
      </w:pPr>
    </w:p>
    <w:sectPr>
      <w:headerReference r:id="rId4" w:type="default"/>
      <w:footerReference r:id="rId5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4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51467757">
    <w:nsid w:val="686546ED"/>
    <w:multiLevelType w:val="multilevel"/>
    <w:tmpl w:val="686546ED"/>
    <w:lvl w:ilvl="0" w:tentative="1">
      <w:start w:val="1"/>
      <w:numFmt w:val="decimal"/>
      <w:pStyle w:val="32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4097956">
    <w:nsid w:val="23693724"/>
    <w:multiLevelType w:val="multilevel"/>
    <w:tmpl w:val="23693724"/>
    <w:lvl w:ilvl="0" w:tentative="1">
      <w:start w:val="1"/>
      <w:numFmt w:val="decimal"/>
      <w:lvlText w:val="%1"/>
      <w:lvlJc w:val="left"/>
      <w:pPr>
        <w:ind w:left="425" w:hanging="425"/>
      </w:pPr>
    </w:lvl>
    <w:lvl w:ilvl="1" w:tentative="1">
      <w:start w:val="1"/>
      <w:numFmt w:val="decimal"/>
      <w:lvlText w:val="%1.%2"/>
      <w:lvlJc w:val="left"/>
      <w:pPr>
        <w:ind w:left="992" w:hanging="567"/>
      </w:pPr>
    </w:lvl>
    <w:lvl w:ilvl="2" w:tentative="1">
      <w:start w:val="1"/>
      <w:numFmt w:val="decimal"/>
      <w:lvlText w:val="%1.%2.%3"/>
      <w:lvlJc w:val="left"/>
      <w:pPr>
        <w:ind w:left="1418" w:hanging="567"/>
      </w:pPr>
    </w:lvl>
    <w:lvl w:ilvl="3" w:tentative="1">
      <w:start w:val="1"/>
      <w:numFmt w:val="decimal"/>
      <w:lvlText w:val="%1.%2.%3.%4"/>
      <w:lvlJc w:val="left"/>
      <w:pPr>
        <w:ind w:left="1984" w:hanging="708"/>
      </w:pPr>
    </w:lvl>
    <w:lvl w:ilvl="4" w:tentative="1">
      <w:start w:val="1"/>
      <w:numFmt w:val="decimal"/>
      <w:lvlText w:val="%1.%2.%3.%4.%5"/>
      <w:lvlJc w:val="left"/>
      <w:pPr>
        <w:ind w:left="2551" w:hanging="850"/>
      </w:pPr>
    </w:lvl>
    <w:lvl w:ilvl="5" w:tentative="1">
      <w:start w:val="1"/>
      <w:numFmt w:val="decimal"/>
      <w:lvlText w:val="%1.%2.%3.%4.%5.%6"/>
      <w:lvlJc w:val="left"/>
      <w:pPr>
        <w:ind w:left="3260" w:hanging="1134"/>
      </w:pPr>
    </w:lvl>
    <w:lvl w:ilvl="6" w:tentative="1">
      <w:start w:val="1"/>
      <w:numFmt w:val="decimal"/>
      <w:lvlText w:val="%1.%2.%3.%4.%5.%6.%7"/>
      <w:lvlJc w:val="left"/>
      <w:pPr>
        <w:ind w:left="3827" w:hanging="1276"/>
      </w:pPr>
    </w:lvl>
    <w:lvl w:ilvl="7" w:tentative="1">
      <w:start w:val="1"/>
      <w:numFmt w:val="decimal"/>
      <w:lvlText w:val="%1.%2.%3.%4.%5.%6.%7.%8"/>
      <w:lvlJc w:val="left"/>
      <w:pPr>
        <w:ind w:left="4394" w:hanging="1418"/>
      </w:p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12037502">
    <w:nsid w:val="1E85127E"/>
    <w:multiLevelType w:val="multilevel"/>
    <w:tmpl w:val="1E85127E"/>
    <w:lvl w:ilvl="0" w:tentative="1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1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382943692">
    <w:nsid w:val="16D341CC"/>
    <w:multiLevelType w:val="multilevel"/>
    <w:tmpl w:val="16D341CC"/>
    <w:lvl w:ilvl="0" w:tentative="1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40" w:hanging="420"/>
      </w:pPr>
    </w:lvl>
    <w:lvl w:ilvl="2" w:tentative="1">
      <w:start w:val="1"/>
      <w:numFmt w:val="lowerRoman"/>
      <w:lvlText w:val="%3."/>
      <w:lvlJc w:val="right"/>
      <w:pPr>
        <w:ind w:left="1860" w:hanging="420"/>
      </w:pPr>
    </w:lvl>
    <w:lvl w:ilvl="3" w:tentative="1">
      <w:start w:val="1"/>
      <w:numFmt w:val="decimal"/>
      <w:lvlText w:val="%4."/>
      <w:lvlJc w:val="left"/>
      <w:pPr>
        <w:ind w:left="2280" w:hanging="420"/>
      </w:pPr>
    </w:lvl>
    <w:lvl w:ilvl="4" w:tentative="1">
      <w:start w:val="1"/>
      <w:numFmt w:val="lowerLetter"/>
      <w:lvlText w:val="%5)"/>
      <w:lvlJc w:val="left"/>
      <w:pPr>
        <w:ind w:left="2700" w:hanging="420"/>
      </w:pPr>
    </w:lvl>
    <w:lvl w:ilvl="5" w:tentative="1">
      <w:start w:val="1"/>
      <w:numFmt w:val="lowerRoman"/>
      <w:lvlText w:val="%6."/>
      <w:lvlJc w:val="right"/>
      <w:pPr>
        <w:ind w:left="3120" w:hanging="420"/>
      </w:pPr>
    </w:lvl>
    <w:lvl w:ilvl="6" w:tentative="1">
      <w:start w:val="1"/>
      <w:numFmt w:val="decimal"/>
      <w:lvlText w:val="%7."/>
      <w:lvlJc w:val="left"/>
      <w:pPr>
        <w:ind w:left="3540" w:hanging="420"/>
      </w:pPr>
    </w:lvl>
    <w:lvl w:ilvl="7" w:tentative="1">
      <w:start w:val="1"/>
      <w:numFmt w:val="lowerLetter"/>
      <w:lvlText w:val="%8)"/>
      <w:lvlJc w:val="left"/>
      <w:pPr>
        <w:ind w:left="3960" w:hanging="420"/>
      </w:pPr>
    </w:lvl>
    <w:lvl w:ilvl="8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87781897">
    <w:nsid w:val="11273409"/>
    <w:multiLevelType w:val="multilevel"/>
    <w:tmpl w:val="11273409"/>
    <w:lvl w:ilvl="0" w:tentative="1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3867252">
    <w:nsid w:val="629402F4"/>
    <w:multiLevelType w:val="multilevel"/>
    <w:tmpl w:val="629402F4"/>
    <w:lvl w:ilvl="0" w:tentative="1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9404300">
    <w:nsid w:val="549A640C"/>
    <w:multiLevelType w:val="multilevel"/>
    <w:tmpl w:val="549A640C"/>
    <w:lvl w:ilvl="0" w:tentative="1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9589741">
    <w:nsid w:val="320B1F6D"/>
    <w:multiLevelType w:val="multilevel"/>
    <w:tmpl w:val="320B1F6D"/>
    <w:lvl w:ilvl="0" w:tentative="1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6115971">
    <w:nsid w:val="0BB07E03"/>
    <w:multiLevelType w:val="multilevel"/>
    <w:tmpl w:val="0BB07E03"/>
    <w:lvl w:ilvl="0" w:tentative="1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755389">
    <w:nsid w:val="08FC583D"/>
    <w:multiLevelType w:val="multilevel"/>
    <w:tmpl w:val="08FC583D"/>
    <w:lvl w:ilvl="0" w:tentative="1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1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143812762">
    <w:nsid w:val="0892689A"/>
    <w:multiLevelType w:val="multilevel"/>
    <w:tmpl w:val="0892689A"/>
    <w:lvl w:ilvl="0" w:tentative="1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0755389"/>
  </w:num>
  <w:num w:numId="2">
    <w:abstractNumId w:val="1751467757"/>
  </w:num>
  <w:num w:numId="3">
    <w:abstractNumId w:val="594097956"/>
  </w:num>
  <w:num w:numId="4">
    <w:abstractNumId w:val="1653867252"/>
  </w:num>
  <w:num w:numId="5">
    <w:abstractNumId w:val="512037502"/>
  </w:num>
  <w:num w:numId="6">
    <w:abstractNumId w:val="143812762"/>
  </w:num>
  <w:num w:numId="7">
    <w:abstractNumId w:val="382943692"/>
  </w:num>
  <w:num w:numId="8">
    <w:abstractNumId w:val="287781897"/>
  </w:num>
  <w:num w:numId="9">
    <w:abstractNumId w:val="839589741"/>
  </w:num>
  <w:num w:numId="10">
    <w:abstractNumId w:val="196115971"/>
  </w:num>
  <w:num w:numId="11">
    <w:abstractNumId w:val="1419404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660"/>
    <w:rsid w:val="00031243"/>
    <w:rsid w:val="00031900"/>
    <w:rsid w:val="000355F3"/>
    <w:rsid w:val="000357CC"/>
    <w:rsid w:val="00037987"/>
    <w:rsid w:val="00037F15"/>
    <w:rsid w:val="00037F55"/>
    <w:rsid w:val="000404F1"/>
    <w:rsid w:val="00041104"/>
    <w:rsid w:val="00041A2A"/>
    <w:rsid w:val="00041D89"/>
    <w:rsid w:val="00043F92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3EF1"/>
    <w:rsid w:val="00064A43"/>
    <w:rsid w:val="000662D2"/>
    <w:rsid w:val="000663AB"/>
    <w:rsid w:val="00071DD4"/>
    <w:rsid w:val="00072340"/>
    <w:rsid w:val="00072945"/>
    <w:rsid w:val="00073B81"/>
    <w:rsid w:val="0007673E"/>
    <w:rsid w:val="00077AE1"/>
    <w:rsid w:val="0008047E"/>
    <w:rsid w:val="000807C4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02B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07BBF"/>
    <w:rsid w:val="00110A20"/>
    <w:rsid w:val="00110CF0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46AF5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0822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D6030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226"/>
    <w:rsid w:val="001F3552"/>
    <w:rsid w:val="001F473D"/>
    <w:rsid w:val="001F4BFD"/>
    <w:rsid w:val="001F7405"/>
    <w:rsid w:val="001F7E95"/>
    <w:rsid w:val="001F7F7E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DD2"/>
    <w:rsid w:val="002279A2"/>
    <w:rsid w:val="00227A0D"/>
    <w:rsid w:val="002320D9"/>
    <w:rsid w:val="00232668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422E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C85"/>
    <w:rsid w:val="002E1D21"/>
    <w:rsid w:val="002E3B36"/>
    <w:rsid w:val="002E59BF"/>
    <w:rsid w:val="002E63F6"/>
    <w:rsid w:val="002E69A1"/>
    <w:rsid w:val="002F07B5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36E92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1E9A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03CB"/>
    <w:rsid w:val="003E14A8"/>
    <w:rsid w:val="003E49F8"/>
    <w:rsid w:val="003E5109"/>
    <w:rsid w:val="003E60EE"/>
    <w:rsid w:val="003E6B48"/>
    <w:rsid w:val="003E7314"/>
    <w:rsid w:val="003E748F"/>
    <w:rsid w:val="003F3F47"/>
    <w:rsid w:val="003F6E0C"/>
    <w:rsid w:val="004003A8"/>
    <w:rsid w:val="0040240E"/>
    <w:rsid w:val="00402756"/>
    <w:rsid w:val="00404545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27E4A"/>
    <w:rsid w:val="00432568"/>
    <w:rsid w:val="00436C7C"/>
    <w:rsid w:val="00437440"/>
    <w:rsid w:val="00440378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5090"/>
    <w:rsid w:val="00486A4E"/>
    <w:rsid w:val="00486B09"/>
    <w:rsid w:val="0049139F"/>
    <w:rsid w:val="004928AC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5C0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92E"/>
    <w:rsid w:val="004D050F"/>
    <w:rsid w:val="004D0E3A"/>
    <w:rsid w:val="004D1A73"/>
    <w:rsid w:val="004D48C2"/>
    <w:rsid w:val="004D4C16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1A57"/>
    <w:rsid w:val="0050208D"/>
    <w:rsid w:val="0050284B"/>
    <w:rsid w:val="00502F99"/>
    <w:rsid w:val="00504B71"/>
    <w:rsid w:val="00507991"/>
    <w:rsid w:val="00507C94"/>
    <w:rsid w:val="00507EB2"/>
    <w:rsid w:val="00510111"/>
    <w:rsid w:val="0051067E"/>
    <w:rsid w:val="00511AB4"/>
    <w:rsid w:val="00512690"/>
    <w:rsid w:val="00512A4E"/>
    <w:rsid w:val="00514EA4"/>
    <w:rsid w:val="00516BB4"/>
    <w:rsid w:val="00517A5D"/>
    <w:rsid w:val="00517E1E"/>
    <w:rsid w:val="00517FA0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0EC6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070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2C6A"/>
    <w:rsid w:val="00593AF8"/>
    <w:rsid w:val="00593EC9"/>
    <w:rsid w:val="00594C53"/>
    <w:rsid w:val="005964B1"/>
    <w:rsid w:val="005965FD"/>
    <w:rsid w:val="00597FCC"/>
    <w:rsid w:val="005A132A"/>
    <w:rsid w:val="005A337C"/>
    <w:rsid w:val="005A34B0"/>
    <w:rsid w:val="005A3ECF"/>
    <w:rsid w:val="005A6821"/>
    <w:rsid w:val="005B2393"/>
    <w:rsid w:val="005B750A"/>
    <w:rsid w:val="005C2B89"/>
    <w:rsid w:val="005C2FA7"/>
    <w:rsid w:val="005C386F"/>
    <w:rsid w:val="005C42AC"/>
    <w:rsid w:val="005C4670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7612"/>
    <w:rsid w:val="005F7663"/>
    <w:rsid w:val="005F7D63"/>
    <w:rsid w:val="00607170"/>
    <w:rsid w:val="00607408"/>
    <w:rsid w:val="006103F2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4980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3206"/>
    <w:rsid w:val="00656797"/>
    <w:rsid w:val="006571EC"/>
    <w:rsid w:val="0066086B"/>
    <w:rsid w:val="00660A8C"/>
    <w:rsid w:val="006632B2"/>
    <w:rsid w:val="00664084"/>
    <w:rsid w:val="0066445E"/>
    <w:rsid w:val="00667045"/>
    <w:rsid w:val="0066776E"/>
    <w:rsid w:val="00667BF1"/>
    <w:rsid w:val="00670A00"/>
    <w:rsid w:val="00670C23"/>
    <w:rsid w:val="00672B86"/>
    <w:rsid w:val="00673031"/>
    <w:rsid w:val="00673EB3"/>
    <w:rsid w:val="00680BE8"/>
    <w:rsid w:val="00684441"/>
    <w:rsid w:val="00686337"/>
    <w:rsid w:val="00686409"/>
    <w:rsid w:val="00686D19"/>
    <w:rsid w:val="0068777F"/>
    <w:rsid w:val="00693018"/>
    <w:rsid w:val="00696AAE"/>
    <w:rsid w:val="006A0059"/>
    <w:rsid w:val="006A7425"/>
    <w:rsid w:val="006B058A"/>
    <w:rsid w:val="006B1299"/>
    <w:rsid w:val="006B26D9"/>
    <w:rsid w:val="006B310C"/>
    <w:rsid w:val="006B4CD7"/>
    <w:rsid w:val="006B53C9"/>
    <w:rsid w:val="006B664C"/>
    <w:rsid w:val="006C1125"/>
    <w:rsid w:val="006C1C83"/>
    <w:rsid w:val="006C3E78"/>
    <w:rsid w:val="006C54E6"/>
    <w:rsid w:val="006C5762"/>
    <w:rsid w:val="006C690D"/>
    <w:rsid w:val="006D0144"/>
    <w:rsid w:val="006D149F"/>
    <w:rsid w:val="006D3396"/>
    <w:rsid w:val="006D4AFE"/>
    <w:rsid w:val="006D5AFF"/>
    <w:rsid w:val="006E050C"/>
    <w:rsid w:val="006E152B"/>
    <w:rsid w:val="006E1732"/>
    <w:rsid w:val="006E36D1"/>
    <w:rsid w:val="006E4002"/>
    <w:rsid w:val="006E4DB6"/>
    <w:rsid w:val="006E5F4C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1836"/>
    <w:rsid w:val="0072295E"/>
    <w:rsid w:val="00723A0F"/>
    <w:rsid w:val="00726CB6"/>
    <w:rsid w:val="00727255"/>
    <w:rsid w:val="0072779B"/>
    <w:rsid w:val="00727CCF"/>
    <w:rsid w:val="0073446D"/>
    <w:rsid w:val="007349FF"/>
    <w:rsid w:val="00734B45"/>
    <w:rsid w:val="00736185"/>
    <w:rsid w:val="00736FFB"/>
    <w:rsid w:val="00737E73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6D21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4BCD"/>
    <w:rsid w:val="007A5714"/>
    <w:rsid w:val="007A5EFA"/>
    <w:rsid w:val="007A6300"/>
    <w:rsid w:val="007A6821"/>
    <w:rsid w:val="007A75EF"/>
    <w:rsid w:val="007B03B6"/>
    <w:rsid w:val="007B1257"/>
    <w:rsid w:val="007B2DE3"/>
    <w:rsid w:val="007B33CC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6B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1AD0"/>
    <w:rsid w:val="008343E7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3957"/>
    <w:rsid w:val="0085405E"/>
    <w:rsid w:val="008571DD"/>
    <w:rsid w:val="0085772E"/>
    <w:rsid w:val="008602FE"/>
    <w:rsid w:val="00860344"/>
    <w:rsid w:val="00860926"/>
    <w:rsid w:val="00860E2C"/>
    <w:rsid w:val="00860F6A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8F6E14"/>
    <w:rsid w:val="009042A2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4FC4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65E4"/>
    <w:rsid w:val="00987177"/>
    <w:rsid w:val="00987F11"/>
    <w:rsid w:val="00990C7E"/>
    <w:rsid w:val="009910D8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A1D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973"/>
    <w:rsid w:val="009E7B4E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2DE3"/>
    <w:rsid w:val="00A23314"/>
    <w:rsid w:val="00A235BB"/>
    <w:rsid w:val="00A23F10"/>
    <w:rsid w:val="00A23F72"/>
    <w:rsid w:val="00A26AB8"/>
    <w:rsid w:val="00A322BF"/>
    <w:rsid w:val="00A3373F"/>
    <w:rsid w:val="00A33A71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139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1A47"/>
    <w:rsid w:val="00A927A4"/>
    <w:rsid w:val="00A94CC0"/>
    <w:rsid w:val="00A94E88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A7934"/>
    <w:rsid w:val="00AB2D3E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2834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1B12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5F45"/>
    <w:rsid w:val="00B9634B"/>
    <w:rsid w:val="00B96E03"/>
    <w:rsid w:val="00BA0E37"/>
    <w:rsid w:val="00BA26D2"/>
    <w:rsid w:val="00BA5072"/>
    <w:rsid w:val="00BA5B65"/>
    <w:rsid w:val="00BA7BFE"/>
    <w:rsid w:val="00BB0ECA"/>
    <w:rsid w:val="00BB246B"/>
    <w:rsid w:val="00BB4F49"/>
    <w:rsid w:val="00BB60F7"/>
    <w:rsid w:val="00BB62F3"/>
    <w:rsid w:val="00BB6B2D"/>
    <w:rsid w:val="00BB7375"/>
    <w:rsid w:val="00BC0500"/>
    <w:rsid w:val="00BC104C"/>
    <w:rsid w:val="00BC1146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1CB8"/>
    <w:rsid w:val="00C02F31"/>
    <w:rsid w:val="00C04DA5"/>
    <w:rsid w:val="00C050FC"/>
    <w:rsid w:val="00C05D40"/>
    <w:rsid w:val="00C11905"/>
    <w:rsid w:val="00C14462"/>
    <w:rsid w:val="00C150C8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0361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69C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6D19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58F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17C75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86087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C70D5"/>
    <w:rsid w:val="00DD090A"/>
    <w:rsid w:val="00DD11E8"/>
    <w:rsid w:val="00DD2421"/>
    <w:rsid w:val="00DD3222"/>
    <w:rsid w:val="00DD3D81"/>
    <w:rsid w:val="00DD571C"/>
    <w:rsid w:val="00DD64E1"/>
    <w:rsid w:val="00DE039A"/>
    <w:rsid w:val="00DE0403"/>
    <w:rsid w:val="00DE4811"/>
    <w:rsid w:val="00DE4FE8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0102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1C63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15F0"/>
    <w:rsid w:val="00EB3C66"/>
    <w:rsid w:val="00EB4B03"/>
    <w:rsid w:val="00EB5DEE"/>
    <w:rsid w:val="00EB60C0"/>
    <w:rsid w:val="00EB64CB"/>
    <w:rsid w:val="00EB6D46"/>
    <w:rsid w:val="00EC07F3"/>
    <w:rsid w:val="00EC10C2"/>
    <w:rsid w:val="00EC3194"/>
    <w:rsid w:val="00EC518D"/>
    <w:rsid w:val="00EC71D3"/>
    <w:rsid w:val="00ED02FE"/>
    <w:rsid w:val="00ED1EC9"/>
    <w:rsid w:val="00ED3737"/>
    <w:rsid w:val="00ED3856"/>
    <w:rsid w:val="00ED3E2E"/>
    <w:rsid w:val="00ED45B3"/>
    <w:rsid w:val="00ED4CC8"/>
    <w:rsid w:val="00ED6A08"/>
    <w:rsid w:val="00EE05EE"/>
    <w:rsid w:val="00EE0AE2"/>
    <w:rsid w:val="00EE35B4"/>
    <w:rsid w:val="00EE5643"/>
    <w:rsid w:val="00EE6ABD"/>
    <w:rsid w:val="00EE7CEC"/>
    <w:rsid w:val="00EF056E"/>
    <w:rsid w:val="00EF09B3"/>
    <w:rsid w:val="00EF0A3E"/>
    <w:rsid w:val="00EF5AAC"/>
    <w:rsid w:val="00EF5EC6"/>
    <w:rsid w:val="00EF646F"/>
    <w:rsid w:val="00EF690C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5246"/>
    <w:rsid w:val="00F36D7F"/>
    <w:rsid w:val="00F37186"/>
    <w:rsid w:val="00F3752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590"/>
    <w:rsid w:val="00F67864"/>
    <w:rsid w:val="00F67E23"/>
    <w:rsid w:val="00F71601"/>
    <w:rsid w:val="00F72C75"/>
    <w:rsid w:val="00F74033"/>
    <w:rsid w:val="00F742E8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BA3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7611"/>
    <w:rsid w:val="00FF0769"/>
    <w:rsid w:val="00FF09AC"/>
    <w:rsid w:val="00FF0DB8"/>
    <w:rsid w:val="00FF1A76"/>
    <w:rsid w:val="00FF1C1D"/>
    <w:rsid w:val="00FF3330"/>
    <w:rsid w:val="00FF4080"/>
    <w:rsid w:val="00FF40A5"/>
    <w:rsid w:val="00FF48DA"/>
    <w:rsid w:val="00FF5E19"/>
    <w:rsid w:val="00FF61AD"/>
    <w:rsid w:val="00FF76BD"/>
    <w:rsid w:val="2699303E"/>
    <w:rsid w:val="366B4D66"/>
    <w:rsid w:val="52B678EB"/>
    <w:rsid w:val="56AE22AC"/>
    <w:rsid w:val="59D34C4A"/>
    <w:rsid w:val="794D666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6">
    <w:name w:val="annotation subject"/>
    <w:basedOn w:val="7"/>
    <w:next w:val="7"/>
    <w:semiHidden/>
    <w:qFormat/>
    <w:uiPriority w:val="0"/>
    <w:rPr>
      <w:b/>
      <w:bCs/>
    </w:rPr>
  </w:style>
  <w:style w:type="paragraph" w:styleId="7">
    <w:name w:val="annotation text"/>
    <w:basedOn w:val="1"/>
    <w:link w:val="37"/>
    <w:semiHidden/>
    <w:qFormat/>
    <w:uiPriority w:val="0"/>
  </w:style>
  <w:style w:type="paragraph" w:styleId="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uiPriority w:val="0"/>
    <w:pPr>
      <w:ind w:right="56"/>
    </w:pPr>
    <w:rPr>
      <w:b/>
      <w:sz w:val="2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2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13">
    <w:name w:val="Balloon Text"/>
    <w:basedOn w:val="1"/>
    <w:semiHidden/>
    <w:uiPriority w:val="0"/>
    <w:rPr>
      <w:sz w:val="18"/>
      <w:szCs w:val="18"/>
    </w:rPr>
  </w:style>
  <w:style w:type="paragraph" w:styleId="14">
    <w:name w:val="footer"/>
    <w:basedOn w:val="1"/>
    <w:link w:val="38"/>
    <w:uiPriority w:val="99"/>
    <w:pPr>
      <w:tabs>
        <w:tab w:val="center" w:pos="4320"/>
        <w:tab w:val="right" w:pos="8640"/>
      </w:tabs>
    </w:pPr>
  </w:style>
  <w:style w:type="paragraph" w:styleId="15">
    <w:name w:val="header"/>
    <w:basedOn w:val="1"/>
    <w:link w:val="36"/>
    <w:uiPriority w:val="0"/>
    <w:pPr>
      <w:tabs>
        <w:tab w:val="center" w:pos="4320"/>
        <w:tab w:val="right" w:pos="8640"/>
      </w:tabs>
    </w:pPr>
  </w:style>
  <w:style w:type="paragraph" w:styleId="16">
    <w:name w:val="toc 1"/>
    <w:basedOn w:val="1"/>
    <w:next w:val="1"/>
    <w:uiPriority w:val="39"/>
    <w:pPr>
      <w:widowControl w:val="0"/>
      <w:tabs>
        <w:tab w:val="left" w:pos="840"/>
        <w:tab w:val="right" w:leader="dot" w:pos="10080"/>
      </w:tabs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7">
    <w:name w:val="toc 2"/>
    <w:basedOn w:val="1"/>
    <w:next w:val="1"/>
    <w:uiPriority w:val="39"/>
    <w:pPr>
      <w:widowControl w:val="0"/>
      <w:tabs>
        <w:tab w:val="right" w:leader="dot" w:pos="8302"/>
      </w:tabs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8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20">
    <w:name w:val="page number"/>
    <w:basedOn w:val="19"/>
    <w:uiPriority w:val="0"/>
    <w:rPr/>
  </w:style>
  <w:style w:type="character" w:styleId="21">
    <w:name w:val="Hyperlink"/>
    <w:uiPriority w:val="99"/>
    <w:rPr>
      <w:color w:val="0000FF"/>
      <w:u w:val="single"/>
    </w:rPr>
  </w:style>
  <w:style w:type="character" w:styleId="22">
    <w:name w:val="annotation reference"/>
    <w:semiHidden/>
    <w:uiPriority w:val="0"/>
    <w:rPr>
      <w:sz w:val="21"/>
      <w:szCs w:val="21"/>
    </w:rPr>
  </w:style>
  <w:style w:type="table" w:styleId="24">
    <w:name w:val="Table Grid"/>
    <w:basedOn w:val="23"/>
    <w:uiPriority w:val="59"/>
    <w:pPr>
      <w:overflowPunct w:val="0"/>
      <w:autoSpaceDE w:val="0"/>
      <w:autoSpaceDN w:val="0"/>
      <w:adjustRightInd w:val="0"/>
      <w:textAlignment w:val="baseline"/>
    </w:p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paragraph" w:customStyle="1" w:styleId="26">
    <w:name w:val="Default Text"/>
    <w:basedOn w:val="1"/>
    <w:qFormat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7">
    <w:name w:val="Style"/>
    <w:basedOn w:val="1"/>
    <w:uiPriority w:val="0"/>
    <w:pPr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正文1"/>
    <w:basedOn w:val="1"/>
    <w:uiPriority w:val="0"/>
    <w:pPr>
      <w:textAlignment w:val="auto"/>
    </w:pPr>
    <w:rPr>
      <w:rFonts w:ascii="Arial" w:hAnsi="Arial"/>
      <w:sz w:val="20"/>
      <w:lang w:val="en-US"/>
    </w:rPr>
  </w:style>
  <w:style w:type="paragraph" w:customStyle="1" w:styleId="29">
    <w:name w:val="修订1"/>
    <w:hidden/>
    <w:semiHidden/>
    <w:uiPriority w:val="99"/>
    <w:rPr>
      <w:rFonts w:ascii="Times New Roman" w:hAnsi="Times New Roman" w:eastAsia="宋体" w:cs="Times New Roman"/>
      <w:sz w:val="24"/>
      <w:lang w:eastAsia="en-US" w:bidi="ar-SA"/>
    </w:rPr>
  </w:style>
  <w:style w:type="paragraph" w:customStyle="1" w:styleId="30">
    <w:name w:val="List Paragraph"/>
    <w:basedOn w:val="1"/>
    <w:qFormat/>
    <w:uiPriority w:val="34"/>
    <w:pPr>
      <w:widowControl w:val="0"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paragraph" w:customStyle="1" w:styleId="31">
    <w:name w:val="TOC 标题1"/>
    <w:basedOn w:val="2"/>
    <w:next w:val="1"/>
    <w:qFormat/>
    <w:uiPriority w:val="39"/>
    <w:pPr>
      <w:numPr>
        <w:ilvl w:val="0"/>
        <w:numId w:val="0"/>
      </w:numPr>
      <w:outlineLvl w:val="9"/>
    </w:pPr>
  </w:style>
  <w:style w:type="paragraph" w:customStyle="1" w:styleId="32">
    <w:name w:val="numbering blue"/>
    <w:basedOn w:val="1"/>
    <w:link w:val="41"/>
    <w:qFormat/>
    <w:uiPriority w:val="0"/>
    <w:pPr>
      <w:numPr>
        <w:ilvl w:val="0"/>
        <w:numId w:val="2"/>
      </w:numPr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paragraph" w:customStyle="1" w:styleId="33">
    <w:name w:val="Default"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paragraph" w:customStyle="1" w:styleId="34">
    <w:name w:val="Text"/>
    <w:basedOn w:val="1"/>
    <w:link w:val="42"/>
    <w:qFormat/>
    <w:uiPriority w:val="0"/>
    <w:pPr>
      <w:adjustRightInd/>
      <w:spacing w:before="120"/>
      <w:jc w:val="both"/>
      <w:textAlignment w:val="auto"/>
    </w:pPr>
    <w:rPr>
      <w:lang w:val="en-US"/>
    </w:rPr>
  </w:style>
  <w:style w:type="paragraph" w:customStyle="1" w:styleId="35">
    <w:name w:val="Table text"/>
    <w:basedOn w:val="1"/>
    <w:qFormat/>
    <w:uiPriority w:val="0"/>
    <w:pPr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36">
    <w:name w:val="页眉 字符"/>
    <w:link w:val="15"/>
    <w:qFormat/>
    <w:uiPriority w:val="0"/>
    <w:rPr>
      <w:rFonts w:eastAsia="宋体"/>
      <w:sz w:val="24"/>
      <w:lang w:eastAsia="en-US" w:bidi="ar-SA"/>
    </w:rPr>
  </w:style>
  <w:style w:type="character" w:customStyle="1" w:styleId="37">
    <w:name w:val="批注文字 字符"/>
    <w:link w:val="7"/>
    <w:semiHidden/>
    <w:uiPriority w:val="0"/>
    <w:rPr>
      <w:sz w:val="24"/>
      <w:lang w:eastAsia="en-US"/>
    </w:rPr>
  </w:style>
  <w:style w:type="character" w:customStyle="1" w:styleId="38">
    <w:name w:val="页脚 字符"/>
    <w:link w:val="14"/>
    <w:uiPriority w:val="99"/>
    <w:rPr>
      <w:sz w:val="24"/>
      <w:lang w:eastAsia="en-US"/>
    </w:rPr>
  </w:style>
  <w:style w:type="character" w:customStyle="1" w:styleId="39">
    <w:name w:val="instruction standard blue"/>
    <w:qFormat/>
    <w:uiPriority w:val="1"/>
    <w:rPr>
      <w:rFonts w:cs="Arial"/>
      <w:i/>
      <w:color w:val="0070C0"/>
    </w:rPr>
  </w:style>
  <w:style w:type="character" w:customStyle="1" w:styleId="40">
    <w:name w:val="keyword"/>
    <w:basedOn w:val="19"/>
    <w:uiPriority w:val="0"/>
    <w:rPr/>
  </w:style>
  <w:style w:type="character" w:customStyle="1" w:styleId="41">
    <w:name w:val="numbering blue Zchn"/>
    <w:link w:val="32"/>
    <w:uiPriority w:val="0"/>
    <w:rPr>
      <w:rFonts w:ascii="Arial" w:hAnsi="Arial" w:eastAsia="PMingLiU"/>
      <w:color w:val="0070C0"/>
      <w:lang w:eastAsia="zh-TW"/>
    </w:rPr>
  </w:style>
  <w:style w:type="character" w:customStyle="1" w:styleId="42">
    <w:name w:val="Text Char"/>
    <w:link w:val="34"/>
    <w:qFormat/>
    <w:locked/>
    <w:uiPriority w:val="0"/>
    <w:rPr>
      <w:sz w:val="24"/>
      <w:lang w:eastAsia="en-US"/>
    </w:rPr>
  </w:style>
  <w:style w:type="character" w:customStyle="1" w:styleId="43">
    <w:name w:val="ordinary-span-edit2"/>
    <w:uiPriority w:val="0"/>
  </w:style>
  <w:style w:type="character" w:customStyle="1" w:styleId="44">
    <w:name w:val="apple-converted-space"/>
    <w:basedOn w:val="19"/>
    <w:uiPriority w:val="0"/>
    <w:rPr/>
  </w:style>
  <w:style w:type="character" w:customStyle="1" w:styleId="45">
    <w:name w:val="标题 字符"/>
    <w:link w:val="18"/>
    <w:uiPriority w:val="0"/>
    <w:rPr>
      <w:rFonts w:ascii="Calibri Light" w:hAnsi="Calibri Light" w:cs="Times New Roman"/>
      <w:b/>
      <w:bCs/>
      <w:sz w:val="32"/>
      <w:szCs w:val="32"/>
      <w:lang w:eastAsia="en-US"/>
    </w:rPr>
  </w:style>
  <w:style w:type="character" w:customStyle="1" w:styleId="46">
    <w:name w:val="Footer Char"/>
    <w:basedOn w:val="19"/>
    <w:semiHidden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3630</Words>
  <Characters>1591</Characters>
  <Lines>13</Lines>
  <Paragraphs>10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2020-04-24T07:16:00Z</dcterms:created>
  <dc:creator>Lilly</dc:creator>
  <cp:lastModifiedBy>汪洋</cp:lastModifiedBy>
  <cp:lastPrinted>2017-06-22T01:53:00Z</cp:lastPrinted>
  <dcterms:modified xsi:type="dcterms:W3CDTF">2020-11-25T06:03:56Z</dcterms:modified>
  <dc:title>生效期：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