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3400307"/>
      <w:bookmarkStart w:id="2" w:name="_Toc483666358"/>
      <w:bookmarkStart w:id="3" w:name="_Toc483227223"/>
      <w:bookmarkStart w:id="4" w:name="_Toc484532399"/>
    </w:p>
    <w:p>
      <w:pPr>
        <w:spacing w:after="158" w:afterLines="50"/>
        <w:jc w:val="center"/>
        <w:rPr>
          <w:b/>
          <w:szCs w:val="21"/>
          <w:lang w:eastAsia="zh-CN"/>
        </w:rPr>
      </w:pPr>
      <w:permStart w:id="0" w:edGrp="everyone"/>
      <w:r>
        <w:rPr>
          <w:rFonts w:hint="eastAsia"/>
          <w:b/>
          <w:sz w:val="28"/>
          <w:szCs w:val="28"/>
          <w:lang w:val="en-US" w:eastAsia="zh-CN"/>
        </w:rPr>
        <w:t>抗体研究室1000L超滤系统</w:t>
      </w:r>
      <w:permEnd w:id="0"/>
      <w:r>
        <w:rPr>
          <w:b/>
          <w:sz w:val="28"/>
          <w:szCs w:val="28"/>
          <w:lang w:eastAsia="zh-CN"/>
        </w:rPr>
        <w:t>用户需求说明（URS</w:t>
      </w:r>
      <w:r>
        <w:rPr>
          <w:b/>
          <w:szCs w:val="21"/>
          <w:lang w:eastAsia="zh-CN"/>
        </w:rPr>
        <w:t>）</w:t>
      </w:r>
      <w:bookmarkEnd w:id="0"/>
      <w:bookmarkEnd w:id="1"/>
      <w:bookmarkEnd w:id="2"/>
      <w:bookmarkEnd w:id="3"/>
      <w:bookmarkEnd w:id="4"/>
    </w:p>
    <w:p>
      <w:pPr>
        <w:tabs>
          <w:tab w:val="left" w:pos="1365"/>
        </w:tabs>
        <w:spacing w:after="158" w:afterLines="50"/>
        <w:jc w:val="center"/>
        <w:rPr>
          <w:b/>
          <w:i/>
          <w:color w:val="4472C4"/>
          <w:szCs w:val="21"/>
          <w:lang w:eastAsia="zh-CN"/>
        </w:rPr>
      </w:pPr>
      <w:bookmarkStart w:id="5" w:name="OLE_LINK4"/>
      <w:permStart w:id="1" w:edGrp="everyone"/>
      <w:permEnd w:id="1"/>
    </w:p>
    <w:bookmarkEnd w:id="5"/>
    <w:p>
      <w:pPr>
        <w:pStyle w:val="31"/>
        <w:widowControl w:val="0"/>
        <w:spacing w:after="158" w:afterLines="50" w:line="240" w:lineRule="auto"/>
        <w:jc w:val="center"/>
        <w:rPr>
          <w:sz w:val="21"/>
          <w:szCs w:val="21"/>
          <w:lang w:val="zh-CN" w:eastAsia="zh-CN"/>
        </w:rPr>
      </w:pPr>
      <w:r>
        <w:rPr>
          <w:sz w:val="21"/>
          <w:szCs w:val="21"/>
          <w:lang w:val="zh-CN" w:eastAsia="zh-CN"/>
        </w:rPr>
        <w:t xml:space="preserve">目录 </w:t>
      </w:r>
    </w:p>
    <w:p>
      <w:pPr>
        <w:rPr>
          <w:i/>
          <w:color w:val="00B0F0"/>
          <w:lang w:val="zh-CN" w:eastAsia="zh-CN"/>
        </w:rPr>
      </w:pPr>
      <w:permStart w:id="2" w:edGrp="everyone"/>
    </w:p>
    <w:p>
      <w:pPr>
        <w:pStyle w:val="16"/>
        <w:rPr>
          <w:b w:val="0"/>
          <w:bCs w:val="0"/>
          <w:caps w:val="0"/>
          <w:szCs w:val="22"/>
        </w:rPr>
      </w:pPr>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1"/>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Pr>
        <w:t>电气、自动控制要求</w:t>
      </w:r>
      <w:r>
        <w:tab/>
      </w:r>
      <w:r>
        <w:fldChar w:fldCharType="begin"/>
      </w:r>
      <w:r>
        <w:instrText xml:space="preserve"> PAGEREF _Toc522716122 \h </w:instrText>
      </w:r>
      <w:r>
        <w:fldChar w:fldCharType="separate"/>
      </w:r>
      <w:r>
        <w:t>10</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Pr>
        <w:t>安全要求</w:t>
      </w:r>
      <w:r>
        <w:tab/>
      </w:r>
      <w:r>
        <w:fldChar w:fldCharType="begin"/>
      </w:r>
      <w:r>
        <w:instrText xml:space="preserve"> PAGEREF _Toc522716123 \h </w:instrText>
      </w:r>
      <w:r>
        <w:fldChar w:fldCharType="separate"/>
      </w:r>
      <w:r>
        <w:t>12</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Pr>
        <w:t>文件要求</w:t>
      </w:r>
      <w:r>
        <w:tab/>
      </w:r>
      <w:r>
        <w:fldChar w:fldCharType="begin"/>
      </w:r>
      <w:r>
        <w:instrText xml:space="preserve"> PAGEREF _Toc522716124 \h </w:instrText>
      </w:r>
      <w:r>
        <w:fldChar w:fldCharType="separate"/>
      </w:r>
      <w:r>
        <w:t>13</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Pr>
        <w:t>服务要求</w:t>
      </w:r>
      <w:r>
        <w:tab/>
      </w:r>
      <w:r>
        <w:fldChar w:fldCharType="begin"/>
      </w:r>
      <w:r>
        <w:instrText xml:space="preserve"> PAGEREF _Toc522716125 \h </w:instrText>
      </w:r>
      <w:r>
        <w:fldChar w:fldCharType="separate"/>
      </w:r>
      <w:r>
        <w:t>15</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16</w:t>
      </w:r>
      <w:r>
        <w:fldChar w:fldCharType="end"/>
      </w:r>
      <w:r>
        <w:fldChar w:fldCharType="end"/>
      </w:r>
    </w:p>
    <w:p>
      <w:r>
        <w:fldChar w:fldCharType="end"/>
      </w:r>
      <w:permEnd w:id="2"/>
    </w:p>
    <w:p>
      <w:pPr>
        <w:rPr>
          <w:b/>
          <w:bCs/>
          <w:caps/>
          <w:kern w:val="2"/>
          <w:szCs w:val="21"/>
          <w:lang w:eastAsia="zh-CN"/>
        </w:rPr>
      </w:pPr>
      <w:r>
        <w:rPr>
          <w:lang w:val="en-US" w:eastAsia="zh-CN"/>
        </w:rPr>
        <w:br w:type="page"/>
      </w:r>
    </w:p>
    <w:p>
      <w:pPr>
        <w:pStyle w:val="30"/>
        <w:numPr>
          <w:ilvl w:val="0"/>
          <w:numId w:val="3"/>
        </w:numPr>
        <w:spacing w:after="158"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34"/>
        <w:spacing w:before="0" w:line="360" w:lineRule="auto"/>
        <w:ind w:left="357"/>
        <w:jc w:val="left"/>
        <w:rPr>
          <w:szCs w:val="21"/>
          <w:lang w:eastAsia="zh-CN"/>
        </w:rPr>
      </w:pPr>
      <w:bookmarkStart w:id="8" w:name="_Toc482360281"/>
      <w:bookmarkStart w:id="9" w:name="_Toc482625279"/>
      <w:bookmarkStart w:id="10" w:name="_Toc482359936"/>
      <w:bookmarkStart w:id="11" w:name="_Toc482369805"/>
      <w:bookmarkStart w:id="12" w:name="_Toc482370349"/>
      <w:bookmarkStart w:id="13" w:name="_Toc482370141"/>
      <w:bookmarkStart w:id="14" w:name="_Toc482370757"/>
      <w:bookmarkStart w:id="15" w:name="_Toc482370061"/>
      <w:bookmarkStart w:id="16" w:name="_Toc481702475"/>
      <w:r>
        <w:rPr>
          <w:szCs w:val="21"/>
          <w:lang w:eastAsia="zh-CN"/>
        </w:rPr>
        <w:t>本文件的目的是描述武汉生物制品研究所有限责任公司</w:t>
      </w:r>
      <w:permStart w:id="3" w:edGrp="everyone"/>
      <w:r>
        <w:rPr>
          <w:rFonts w:hint="eastAsia"/>
          <w:iCs/>
          <w:szCs w:val="21"/>
          <w:lang w:eastAsia="zh-CN"/>
        </w:rPr>
        <w:t>抗体研究室1000L超滤系统</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7" w:name="_Toc522716116"/>
      <w:bookmarkStart w:id="18" w:name="_Toc522107736"/>
      <w:r>
        <w:rPr>
          <w:rFonts w:ascii="Times New Roman" w:hAnsi="Times New Roman"/>
          <w:b/>
        </w:rPr>
        <w:t>范围</w:t>
      </w:r>
      <w:bookmarkEnd w:id="17"/>
      <w:bookmarkEnd w:id="18"/>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iCs/>
          <w:szCs w:val="21"/>
          <w:lang w:eastAsia="zh-CN"/>
        </w:rPr>
        <w:t>抗体研究室1000L超滤系统</w:t>
      </w:r>
      <w:permEnd w:id="4"/>
      <w:r>
        <w:rPr>
          <w:szCs w:val="21"/>
          <w:lang w:eastAsia="zh-CN"/>
        </w:rPr>
        <w:t>。</w:t>
      </w:r>
      <w:bookmarkEnd w:id="8"/>
      <w:bookmarkEnd w:id="9"/>
      <w:bookmarkEnd w:id="10"/>
      <w:bookmarkEnd w:id="11"/>
      <w:bookmarkEnd w:id="12"/>
      <w:bookmarkEnd w:id="13"/>
      <w:bookmarkEnd w:id="14"/>
      <w:bookmarkEnd w:id="15"/>
      <w:bookmarkEnd w:id="16"/>
    </w:p>
    <w:p>
      <w:pPr>
        <w:pStyle w:val="34"/>
        <w:spacing w:before="0" w:line="360" w:lineRule="auto"/>
        <w:ind w:left="357"/>
        <w:jc w:val="left"/>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9" w:name="_Toc522107737"/>
      <w:bookmarkStart w:id="20" w:name="_Toc522716117"/>
      <w:r>
        <w:rPr>
          <w:rFonts w:ascii="Times New Roman" w:hAnsi="Times New Roman"/>
          <w:b/>
        </w:rPr>
        <w:t>参考文件</w:t>
      </w:r>
      <w:bookmarkEnd w:id="19"/>
      <w:bookmarkEnd w:id="20"/>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5"/>
        </w:numPr>
        <w:spacing w:before="0" w:line="360" w:lineRule="auto"/>
        <w:ind w:left="777"/>
        <w:jc w:val="left"/>
        <w:rPr>
          <w:iCs/>
          <w:szCs w:val="21"/>
          <w:lang w:eastAsia="zh-CN"/>
        </w:rPr>
      </w:pPr>
      <w:permStart w:id="5" w:edGrp="everyone"/>
      <w:r>
        <w:rPr>
          <w:rFonts w:hint="eastAsia"/>
          <w:lang w:eastAsia="zh-CN"/>
        </w:rPr>
        <w:t>《药品生产质量管理规范》（2</w:t>
      </w:r>
      <w:r>
        <w:rPr>
          <w:lang w:eastAsia="zh-CN"/>
        </w:rPr>
        <w:t>010</w:t>
      </w:r>
      <w:r>
        <w:rPr>
          <w:rFonts w:hint="eastAsia"/>
          <w:lang w:eastAsia="zh-CN"/>
        </w:rPr>
        <w:t>修订版）</w:t>
      </w:r>
    </w:p>
    <w:p>
      <w:pPr>
        <w:pStyle w:val="34"/>
        <w:numPr>
          <w:ilvl w:val="0"/>
          <w:numId w:val="5"/>
        </w:numPr>
        <w:spacing w:line="360" w:lineRule="auto"/>
        <w:rPr>
          <w:iCs/>
          <w:szCs w:val="21"/>
          <w:lang w:eastAsia="zh-CN"/>
        </w:rPr>
      </w:pPr>
      <w:r>
        <w:rPr>
          <w:rFonts w:hint="eastAsia"/>
          <w:iCs/>
          <w:szCs w:val="21"/>
          <w:lang w:eastAsia="zh-CN"/>
        </w:rPr>
        <w:t>国家标准及欧盟现行版GMP相关法规要求和准则，符合FDA 的要求</w:t>
      </w:r>
    </w:p>
    <w:p>
      <w:pPr>
        <w:pStyle w:val="34"/>
        <w:numPr>
          <w:ilvl w:val="0"/>
          <w:numId w:val="5"/>
        </w:numPr>
        <w:spacing w:line="360" w:lineRule="auto"/>
        <w:rPr>
          <w:iCs/>
          <w:szCs w:val="21"/>
          <w:lang w:eastAsia="zh-CN"/>
        </w:rPr>
      </w:pPr>
      <w:r>
        <w:rPr>
          <w:rFonts w:hint="eastAsia"/>
          <w:iCs/>
          <w:szCs w:val="21"/>
          <w:lang w:eastAsia="zh-CN"/>
        </w:rPr>
        <w:t>GMP附件1《计算机化系统》（2015版）</w:t>
      </w:r>
    </w:p>
    <w:p>
      <w:pPr>
        <w:pStyle w:val="34"/>
        <w:numPr>
          <w:ilvl w:val="0"/>
          <w:numId w:val="5"/>
        </w:numPr>
        <w:spacing w:line="360" w:lineRule="auto"/>
        <w:rPr>
          <w:iCs/>
          <w:szCs w:val="21"/>
          <w:lang w:eastAsia="zh-CN"/>
        </w:rPr>
      </w:pPr>
      <w:r>
        <w:rPr>
          <w:rFonts w:hint="eastAsia"/>
          <w:iCs/>
          <w:szCs w:val="21"/>
          <w:lang w:eastAsia="zh-CN"/>
        </w:rPr>
        <w:t>GMP附件2《确认与验证》（2015版）</w:t>
      </w:r>
    </w:p>
    <w:p>
      <w:pPr>
        <w:pStyle w:val="34"/>
        <w:numPr>
          <w:ilvl w:val="0"/>
          <w:numId w:val="5"/>
        </w:numPr>
        <w:spacing w:line="360" w:lineRule="auto"/>
        <w:rPr>
          <w:iCs/>
          <w:szCs w:val="21"/>
          <w:lang w:eastAsia="zh-CN"/>
        </w:rPr>
      </w:pPr>
      <w:r>
        <w:rPr>
          <w:iCs/>
          <w:szCs w:val="21"/>
          <w:lang w:eastAsia="zh-CN"/>
        </w:rPr>
        <w:t>GAMP5</w:t>
      </w:r>
    </w:p>
    <w:p>
      <w:pPr>
        <w:pStyle w:val="34"/>
        <w:numPr>
          <w:ilvl w:val="0"/>
          <w:numId w:val="5"/>
        </w:numPr>
        <w:spacing w:line="360" w:lineRule="auto"/>
        <w:rPr>
          <w:iCs/>
          <w:szCs w:val="21"/>
          <w:lang w:eastAsia="zh-CN"/>
        </w:rPr>
      </w:pPr>
      <w:r>
        <w:rPr>
          <w:iCs/>
          <w:szCs w:val="21"/>
          <w:lang w:eastAsia="zh-CN"/>
        </w:rPr>
        <w:t>CFR Part 11</w:t>
      </w:r>
    </w:p>
    <w:p>
      <w:pPr>
        <w:pStyle w:val="34"/>
        <w:numPr>
          <w:ilvl w:val="0"/>
          <w:numId w:val="5"/>
        </w:numPr>
        <w:spacing w:line="360" w:lineRule="auto"/>
        <w:rPr>
          <w:iCs/>
          <w:szCs w:val="21"/>
          <w:lang w:eastAsia="zh-CN"/>
        </w:rPr>
      </w:pPr>
      <w:r>
        <w:rPr>
          <w:rFonts w:hint="eastAsia"/>
          <w:iCs/>
          <w:szCs w:val="21"/>
          <w:lang w:eastAsia="zh-CN"/>
        </w:rPr>
        <w:t>符合数据完整性相关法规要求</w:t>
      </w:r>
    </w:p>
    <w:permEnd w:id="5"/>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numPr>
          <w:ilvl w:val="0"/>
          <w:numId w:val="5"/>
        </w:numPr>
        <w:spacing w:before="0" w:line="360" w:lineRule="auto"/>
        <w:ind w:left="777"/>
        <w:jc w:val="left"/>
        <w:rPr>
          <w:i/>
          <w:color w:val="0070C0"/>
          <w:szCs w:val="21"/>
          <w:lang w:eastAsia="zh-CN"/>
        </w:rPr>
      </w:pPr>
      <w:permStart w:id="6" w:edGrp="everyone"/>
      <w:r>
        <w:rPr>
          <w:iCs/>
          <w:szCs w:val="21"/>
          <w:lang w:eastAsia="zh-CN"/>
        </w:rPr>
        <w:t>电气安全应符合GB4793.1和GB4793.4的要求</w:t>
      </w:r>
      <w:r>
        <w:rPr>
          <w:i/>
          <w:color w:val="0070C0"/>
          <w:szCs w:val="21"/>
          <w:lang w:eastAsia="zh-CN"/>
        </w:rPr>
        <w:t>。</w:t>
      </w:r>
    </w:p>
    <w:p>
      <w:pPr>
        <w:pStyle w:val="30"/>
        <w:numPr>
          <w:ilvl w:val="0"/>
          <w:numId w:val="5"/>
        </w:numPr>
        <w:ind w:firstLineChars="0"/>
        <w:rPr>
          <w:rFonts w:ascii="Times New Roman" w:hAnsi="Times New Roman"/>
          <w:iCs/>
          <w:kern w:val="0"/>
          <w:szCs w:val="21"/>
        </w:rPr>
      </w:pPr>
      <w:r>
        <w:rPr>
          <w:rFonts w:hint="eastAsia" w:ascii="Times New Roman" w:hAnsi="Times New Roman"/>
          <w:iCs/>
          <w:kern w:val="0"/>
          <w:szCs w:val="21"/>
        </w:rPr>
        <w:t>所有的电气设备和电缆必须根据IEC标准。</w:t>
      </w:r>
    </w:p>
    <w:permEnd w:id="6"/>
    <w:p>
      <w:pPr>
        <w:pStyle w:val="34"/>
        <w:spacing w:before="0" w:line="360" w:lineRule="auto"/>
        <w:ind w:left="357"/>
        <w:jc w:val="left"/>
        <w:rPr>
          <w:i/>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21" w:name="_Toc522716119"/>
      <w:bookmarkStart w:id="22" w:name="_Toc522107739"/>
      <w:permStart w:id="7" w:edGrp="everyone"/>
      <w:permEnd w:id="7"/>
      <w:bookmarkStart w:id="48" w:name="_GoBack"/>
      <w:bookmarkEnd w:id="48"/>
      <w:r>
        <w:rPr>
          <w:rFonts w:ascii="Times New Roman" w:hAnsi="Times New Roman"/>
          <w:b/>
        </w:rPr>
        <w:t>系统描述</w:t>
      </w:r>
      <w:bookmarkEnd w:id="21"/>
      <w:bookmarkEnd w:id="22"/>
    </w:p>
    <w:p>
      <w:pPr>
        <w:rPr>
          <w:rFonts w:ascii="宋体" w:hAnsi="宋体" w:cs="宋体"/>
          <w:szCs w:val="21"/>
          <w:lang w:eastAsia="zh-CN"/>
        </w:rPr>
      </w:pPr>
      <w:permStart w:id="8" w:edGrp="everyone"/>
      <w:r>
        <w:rPr>
          <w:rFonts w:hint="eastAsia" w:ascii="宋体" w:hAnsi="宋体" w:cs="宋体"/>
          <w:color w:val="595757"/>
          <w:szCs w:val="21"/>
          <w:lang w:val="en-US" w:eastAsia="zh-CN"/>
        </w:rPr>
        <w:t>抗体研究室需购买一台超滤设备以满足1000L抗体生产需求。</w:t>
      </w:r>
    </w:p>
    <w:permEnd w:id="8"/>
    <w:p>
      <w:pPr>
        <w:pStyle w:val="34"/>
        <w:spacing w:before="0" w:line="360" w:lineRule="auto"/>
        <w:ind w:left="357"/>
        <w:jc w:val="left"/>
        <w:rPr>
          <w:i/>
          <w:color w:val="4472C4"/>
          <w:szCs w:val="21"/>
          <w:lang w:eastAsia="zh-CN"/>
        </w:rPr>
      </w:pPr>
    </w:p>
    <w:p>
      <w:pPr>
        <w:pStyle w:val="30"/>
        <w:numPr>
          <w:ilvl w:val="0"/>
          <w:numId w:val="3"/>
        </w:numPr>
        <w:spacing w:after="158" w:afterLines="50"/>
        <w:ind w:left="426" w:hanging="426" w:hangingChars="202"/>
        <w:outlineLvl w:val="0"/>
        <w:rPr>
          <w:rFonts w:ascii="Times New Roman" w:hAnsi="Times New Roman"/>
          <w:b/>
          <w:szCs w:val="21"/>
        </w:rPr>
      </w:pPr>
      <w:bookmarkStart w:id="23" w:name="_Toc522716120"/>
      <w:r>
        <w:rPr>
          <w:rFonts w:ascii="Times New Roman" w:hAnsi="Times New Roman"/>
          <w:b/>
          <w:szCs w:val="21"/>
        </w:rPr>
        <w:t>安装要求</w:t>
      </w:r>
      <w:bookmarkEnd w:id="23"/>
    </w:p>
    <w:p>
      <w:pPr>
        <w:pStyle w:val="30"/>
        <w:spacing w:after="158" w:afterLines="50"/>
        <w:ind w:left="425" w:firstLine="0" w:firstLineChars="0"/>
        <w:rPr>
          <w:rFonts w:ascii="Times New Roman" w:hAnsi="Times New Roman"/>
          <w:szCs w:val="21"/>
        </w:rPr>
      </w:pPr>
      <w:permStart w:id="9" w:edGrp="everyone"/>
      <w:permEnd w:id="9"/>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2"/>
        <w:gridCol w:w="7124"/>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2" w:type="dxa"/>
            <w:shd w:val="clear" w:color="auto" w:fill="D9D9D9"/>
            <w:vAlign w:val="center"/>
          </w:tcPr>
          <w:p>
            <w:pPr>
              <w:jc w:val="center"/>
              <w:rPr>
                <w:b/>
                <w:szCs w:val="21"/>
              </w:rPr>
            </w:pPr>
            <w:bookmarkStart w:id="24" w:name="OLE_LINK1"/>
            <w:bookmarkStart w:id="25" w:name="OLE_LINK2"/>
            <w:r>
              <w:rPr>
                <w:b/>
                <w:szCs w:val="21"/>
              </w:rPr>
              <w:t>编号</w:t>
            </w:r>
          </w:p>
        </w:tc>
        <w:tc>
          <w:tcPr>
            <w:tcW w:w="7124" w:type="dxa"/>
            <w:shd w:val="clear" w:color="auto" w:fill="D9D9D9"/>
            <w:vAlign w:val="center"/>
          </w:tcPr>
          <w:p>
            <w:pPr>
              <w:jc w:val="center"/>
              <w:rPr>
                <w:b/>
                <w:szCs w:val="21"/>
                <w:lang w:eastAsia="zh-CN"/>
              </w:rPr>
            </w:pPr>
            <w:r>
              <w:rPr>
                <w:b/>
                <w:szCs w:val="21"/>
                <w:lang w:eastAsia="zh-CN"/>
              </w:rPr>
              <w:t>需求</w:t>
            </w:r>
          </w:p>
        </w:tc>
        <w:tc>
          <w:tcPr>
            <w:tcW w:w="2127"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shd w:val="clear" w:color="auto" w:fill="D9D9D9"/>
            <w:vAlign w:val="center"/>
          </w:tcPr>
          <w:p>
            <w:pPr>
              <w:pStyle w:val="30"/>
              <w:numPr>
                <w:ilvl w:val="0"/>
                <w:numId w:val="6"/>
              </w:numPr>
              <w:ind w:firstLineChars="0"/>
              <w:rPr>
                <w:rFonts w:ascii="Times New Roman" w:hAnsi="Times New Roman"/>
                <w:szCs w:val="21"/>
              </w:rPr>
            </w:pPr>
          </w:p>
        </w:tc>
        <w:tc>
          <w:tcPr>
            <w:tcW w:w="9251"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highlight w:val="yellow"/>
              </w:rPr>
            </w:pPr>
            <w:permStart w:id="10" w:edGrp="everyone"/>
          </w:p>
        </w:tc>
        <w:tc>
          <w:tcPr>
            <w:tcW w:w="7124" w:type="dxa"/>
            <w:vAlign w:val="center"/>
          </w:tcPr>
          <w:p>
            <w:pPr>
              <w:spacing w:line="276" w:lineRule="auto"/>
              <w:jc w:val="both"/>
              <w:rPr>
                <w:iCs/>
                <w:szCs w:val="21"/>
                <w:highlight w:val="yellow"/>
                <w:lang w:eastAsia="zh-CN"/>
              </w:rPr>
            </w:pPr>
            <w:r>
              <w:rPr>
                <w:iCs/>
                <w:szCs w:val="21"/>
                <w:highlight w:val="yellow"/>
                <w:lang w:eastAsia="zh-CN"/>
              </w:rPr>
              <w:t>抗体研究室</w:t>
            </w:r>
            <w:r>
              <w:rPr>
                <w:rFonts w:hint="eastAsia"/>
                <w:iCs/>
                <w:szCs w:val="21"/>
                <w:highlight w:val="yellow"/>
                <w:lang w:eastAsia="zh-CN"/>
              </w:rPr>
              <w:t>生产车间</w:t>
            </w:r>
          </w:p>
        </w:tc>
        <w:tc>
          <w:tcPr>
            <w:tcW w:w="2127" w:type="dxa"/>
            <w:vAlign w:val="center"/>
          </w:tcPr>
          <w:p>
            <w:pPr>
              <w:jc w:val="both"/>
              <w:rPr>
                <w:iCs/>
                <w:szCs w:val="21"/>
                <w:lang w:eastAsia="zh-CN"/>
              </w:rPr>
            </w:pPr>
            <w:r>
              <w:rPr>
                <w:iCs/>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shd w:val="clear" w:color="auto" w:fill="D9D9D9"/>
            <w:vAlign w:val="center"/>
          </w:tcPr>
          <w:p>
            <w:pPr>
              <w:pStyle w:val="30"/>
              <w:numPr>
                <w:ilvl w:val="0"/>
                <w:numId w:val="6"/>
              </w:numPr>
              <w:ind w:firstLineChars="0"/>
              <w:rPr>
                <w:rFonts w:ascii="Times New Roman" w:hAnsi="Times New Roman"/>
                <w:szCs w:val="21"/>
              </w:rPr>
            </w:pPr>
          </w:p>
        </w:tc>
        <w:tc>
          <w:tcPr>
            <w:tcW w:w="9251"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rPr>
            </w:pPr>
            <w:permStart w:id="11" w:edGrp="everyone"/>
          </w:p>
        </w:tc>
        <w:tc>
          <w:tcPr>
            <w:tcW w:w="7124" w:type="dxa"/>
            <w:vAlign w:val="center"/>
          </w:tcPr>
          <w:p>
            <w:pPr>
              <w:spacing w:line="276" w:lineRule="auto"/>
              <w:jc w:val="both"/>
              <w:rPr>
                <w:szCs w:val="21"/>
                <w:lang w:val="en-US" w:eastAsia="zh-CN"/>
              </w:rPr>
            </w:pPr>
            <w:r>
              <w:rPr>
                <w:szCs w:val="21"/>
                <w:lang w:eastAsia="zh-CN"/>
              </w:rPr>
              <w:t>设备的形式尺寸应符合制造商说明书及技术文件规定的要求。</w:t>
            </w:r>
          </w:p>
        </w:tc>
        <w:tc>
          <w:tcPr>
            <w:tcW w:w="2127" w:type="dxa"/>
            <w:vAlign w:val="center"/>
          </w:tcPr>
          <w:p>
            <w:pPr>
              <w:jc w:val="both"/>
              <w:rPr>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rPr>
            </w:pPr>
          </w:p>
        </w:tc>
        <w:tc>
          <w:tcPr>
            <w:tcW w:w="7124" w:type="dxa"/>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127" w:type="dxa"/>
            <w:vAlign w:val="center"/>
          </w:tcPr>
          <w:p>
            <w:pPr>
              <w:jc w:val="both"/>
              <w:rPr>
                <w:szCs w:val="21"/>
                <w:lang w:eastAsia="zh-CN"/>
              </w:rPr>
            </w:pPr>
            <w:r>
              <w:rPr>
                <w:iCs/>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shd w:val="clear" w:color="auto" w:fill="D9D9D9"/>
            <w:vAlign w:val="center"/>
          </w:tcPr>
          <w:p>
            <w:pPr>
              <w:pStyle w:val="30"/>
              <w:numPr>
                <w:ilvl w:val="0"/>
                <w:numId w:val="6"/>
              </w:numPr>
              <w:ind w:firstLineChars="0"/>
              <w:rPr>
                <w:rFonts w:ascii="Times New Roman" w:hAnsi="Times New Roman"/>
                <w:szCs w:val="21"/>
              </w:rPr>
            </w:pPr>
          </w:p>
        </w:tc>
        <w:tc>
          <w:tcPr>
            <w:tcW w:w="9251"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rPr>
            </w:pPr>
            <w:permStart w:id="12" w:edGrp="everyone"/>
          </w:p>
        </w:tc>
        <w:tc>
          <w:tcPr>
            <w:tcW w:w="7124" w:type="dxa"/>
            <w:vAlign w:val="center"/>
          </w:tcPr>
          <w:p>
            <w:pPr>
              <w:spacing w:line="276" w:lineRule="auto"/>
              <w:jc w:val="both"/>
              <w:rPr>
                <w:iCs/>
                <w:szCs w:val="21"/>
                <w:lang w:val="en-US" w:eastAsia="zh-CN"/>
              </w:rPr>
            </w:pPr>
            <w:r>
              <w:rPr>
                <w:rFonts w:hint="eastAsia"/>
                <w:iCs/>
                <w:szCs w:val="21"/>
                <w:lang w:val="en-US" w:eastAsia="zh-CN"/>
              </w:rPr>
              <w:t>不超过房间地面承重</w:t>
            </w:r>
          </w:p>
        </w:tc>
        <w:tc>
          <w:tcPr>
            <w:tcW w:w="2127" w:type="dxa"/>
            <w:vAlign w:val="center"/>
          </w:tcPr>
          <w:p>
            <w:pPr>
              <w:jc w:val="both"/>
              <w:rPr>
                <w:szCs w:val="21"/>
                <w:lang w:eastAsia="zh-CN"/>
              </w:rPr>
            </w:pPr>
            <w:r>
              <w:rPr>
                <w:iCs/>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shd w:val="clear" w:color="auto" w:fill="D9D9D9"/>
            <w:vAlign w:val="center"/>
          </w:tcPr>
          <w:p>
            <w:pPr>
              <w:pStyle w:val="30"/>
              <w:numPr>
                <w:ilvl w:val="0"/>
                <w:numId w:val="6"/>
              </w:numPr>
              <w:ind w:firstLineChars="0"/>
              <w:rPr>
                <w:rFonts w:ascii="Times New Roman" w:hAnsi="Times New Roman"/>
                <w:szCs w:val="21"/>
              </w:rPr>
            </w:pPr>
          </w:p>
        </w:tc>
        <w:tc>
          <w:tcPr>
            <w:tcW w:w="9251"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rPr>
            </w:pPr>
            <w:permStart w:id="13" w:edGrp="everyone"/>
          </w:p>
        </w:tc>
        <w:tc>
          <w:tcPr>
            <w:tcW w:w="7124" w:type="dxa"/>
            <w:vAlign w:val="center"/>
          </w:tcPr>
          <w:p>
            <w:pPr>
              <w:rPr>
                <w:iCs/>
                <w:szCs w:val="21"/>
                <w:lang w:val="en-US" w:eastAsia="zh-CN"/>
              </w:rPr>
            </w:pPr>
            <w:r>
              <w:rPr>
                <w:iCs/>
                <w:szCs w:val="21"/>
                <w:lang w:val="en-US" w:eastAsia="zh-CN"/>
              </w:rPr>
              <w:t>生产商应在投标时注明设备所需要的公用工程介质的种类和参数</w:t>
            </w:r>
          </w:p>
        </w:tc>
        <w:tc>
          <w:tcPr>
            <w:tcW w:w="2127" w:type="dxa"/>
            <w:vAlign w:val="center"/>
          </w:tcPr>
          <w:p>
            <w:pPr>
              <w:jc w:val="both"/>
              <w:rPr>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rPr>
            </w:pPr>
          </w:p>
        </w:tc>
        <w:tc>
          <w:tcPr>
            <w:tcW w:w="7124" w:type="dxa"/>
            <w:vAlign w:val="center"/>
          </w:tcPr>
          <w:p>
            <w:pPr>
              <w:rPr>
                <w:iCs/>
                <w:szCs w:val="21"/>
                <w:lang w:val="en-US" w:eastAsia="zh-CN"/>
              </w:rPr>
            </w:pPr>
            <w:r>
              <w:rPr>
                <w:iCs/>
                <w:szCs w:val="21"/>
                <w:lang w:val="en-US" w:eastAsia="zh-CN"/>
              </w:rPr>
              <w:t>要求设备接口及工艺连线设备按照ASME BPE 标准设计制作</w:t>
            </w:r>
            <w:r>
              <w:rPr>
                <w:rFonts w:hint="eastAsia"/>
                <w:iCs/>
                <w:szCs w:val="21"/>
                <w:lang w:val="en-US" w:eastAsia="zh-CN"/>
              </w:rPr>
              <w:t>，洁净压缩空气、注射用水、纯化水、冷冻水、公用系统外接管道与设备管道接口必须精确对接。</w:t>
            </w:r>
          </w:p>
        </w:tc>
        <w:tc>
          <w:tcPr>
            <w:tcW w:w="2127" w:type="dxa"/>
            <w:vAlign w:val="center"/>
          </w:tcPr>
          <w:p>
            <w:pPr>
              <w:jc w:val="both"/>
              <w:rPr>
                <w:iCs/>
                <w:szCs w:val="21"/>
                <w:lang w:eastAsia="zh-CN"/>
              </w:rPr>
            </w:pPr>
            <w:r>
              <w:rPr>
                <w:iCs/>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shd w:val="clear" w:color="auto" w:fill="D9D9D9"/>
            <w:vAlign w:val="center"/>
          </w:tcPr>
          <w:p>
            <w:pPr>
              <w:pStyle w:val="30"/>
              <w:numPr>
                <w:ilvl w:val="0"/>
                <w:numId w:val="6"/>
              </w:numPr>
              <w:ind w:firstLineChars="0"/>
              <w:rPr>
                <w:rFonts w:ascii="Times New Roman" w:hAnsi="Times New Roman"/>
                <w:szCs w:val="21"/>
              </w:rPr>
            </w:pPr>
            <w:permStart w:id="14" w:edGrp="everyone"/>
            <w:permEnd w:id="14"/>
          </w:p>
        </w:tc>
        <w:tc>
          <w:tcPr>
            <w:tcW w:w="9251"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rPr>
            </w:pPr>
            <w:permStart w:id="15" w:edGrp="everyone"/>
          </w:p>
        </w:tc>
        <w:tc>
          <w:tcPr>
            <w:tcW w:w="7124" w:type="dxa"/>
            <w:vAlign w:val="center"/>
          </w:tcPr>
          <w:p>
            <w:pPr>
              <w:spacing w:line="276" w:lineRule="auto"/>
              <w:jc w:val="both"/>
              <w:rPr>
                <w:szCs w:val="21"/>
                <w:lang w:eastAsia="zh-CN"/>
              </w:rPr>
            </w:pPr>
            <w:r>
              <w:rPr>
                <w:rFonts w:hint="eastAsia"/>
                <w:iCs/>
                <w:lang w:eastAsia="zh-CN"/>
              </w:rPr>
              <w:t>适应于我公司</w:t>
            </w:r>
            <w:r>
              <w:rPr>
                <w:iCs/>
                <w:lang w:eastAsia="zh-CN"/>
              </w:rPr>
              <w:t>工作环境</w:t>
            </w:r>
            <w:r>
              <w:rPr>
                <w:color w:val="000000"/>
                <w:lang w:eastAsia="zh-CN"/>
              </w:rPr>
              <w:t>温度：能适应</w:t>
            </w:r>
            <w:r>
              <w:rPr>
                <w:lang w:eastAsia="zh-CN"/>
              </w:rPr>
              <w:t>1</w:t>
            </w:r>
            <w:r>
              <w:rPr>
                <w:rFonts w:hint="eastAsia"/>
                <w:lang w:eastAsia="zh-CN"/>
              </w:rPr>
              <w:t>8</w:t>
            </w:r>
            <w:r>
              <w:rPr>
                <w:rFonts w:hint="eastAsia" w:ascii="宋体" w:hAnsi="宋体" w:cs="宋体"/>
                <w:color w:val="000000"/>
                <w:lang w:eastAsia="zh-CN"/>
              </w:rPr>
              <w:t>℃</w:t>
            </w:r>
            <w:r>
              <w:rPr>
                <w:color w:val="000000"/>
                <w:lang w:eastAsia="zh-CN"/>
              </w:rPr>
              <w:t>～</w:t>
            </w:r>
            <w:r>
              <w:rPr>
                <w:rFonts w:hint="eastAsia"/>
                <w:color w:val="000000"/>
                <w:lang w:eastAsia="zh-CN"/>
              </w:rPr>
              <w:t>26</w:t>
            </w:r>
            <w:r>
              <w:rPr>
                <w:rFonts w:hint="eastAsia" w:ascii="宋体" w:hAnsi="宋体" w:cs="宋体"/>
                <w:color w:val="000000"/>
                <w:lang w:eastAsia="zh-CN"/>
              </w:rPr>
              <w:t>℃</w:t>
            </w:r>
            <w:r>
              <w:rPr>
                <w:color w:val="000000"/>
                <w:lang w:eastAsia="zh-CN"/>
              </w:rPr>
              <w:t>环境</w:t>
            </w:r>
          </w:p>
        </w:tc>
        <w:tc>
          <w:tcPr>
            <w:tcW w:w="2127" w:type="dxa"/>
            <w:vAlign w:val="center"/>
          </w:tcPr>
          <w:p>
            <w:pPr>
              <w:jc w:val="both"/>
              <w:rPr>
                <w:szCs w:val="21"/>
                <w:lang w:eastAsia="zh-CN"/>
              </w:rPr>
            </w:pPr>
            <w:r>
              <w:rPr>
                <w:iCs/>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rPr>
            </w:pPr>
            <w:permStart w:id="16" w:edGrp="everyone"/>
          </w:p>
        </w:tc>
        <w:tc>
          <w:tcPr>
            <w:tcW w:w="7124" w:type="dxa"/>
            <w:vAlign w:val="center"/>
          </w:tcPr>
          <w:p>
            <w:pPr>
              <w:spacing w:line="276" w:lineRule="auto"/>
              <w:jc w:val="both"/>
              <w:rPr>
                <w:szCs w:val="21"/>
                <w:lang w:eastAsia="zh-CN"/>
              </w:rPr>
            </w:pPr>
            <w:r>
              <w:rPr>
                <w:rFonts w:hint="eastAsia"/>
                <w:color w:val="000000"/>
                <w:lang w:eastAsia="zh-CN"/>
              </w:rPr>
              <w:t>适应于我公司</w:t>
            </w:r>
            <w:r>
              <w:rPr>
                <w:color w:val="000000"/>
                <w:lang w:eastAsia="zh-CN"/>
              </w:rPr>
              <w:t>工作环境湿度：至少包括</w:t>
            </w:r>
            <w:r>
              <w:rPr>
                <w:lang w:eastAsia="zh-CN"/>
              </w:rPr>
              <w:t>45%～65</w:t>
            </w:r>
            <w:r>
              <w:rPr>
                <w:color w:val="000000"/>
                <w:lang w:eastAsia="zh-CN"/>
              </w:rPr>
              <w:t>%</w:t>
            </w:r>
          </w:p>
        </w:tc>
        <w:tc>
          <w:tcPr>
            <w:tcW w:w="2127" w:type="dxa"/>
            <w:vAlign w:val="center"/>
          </w:tcPr>
          <w:p>
            <w:pPr>
              <w:jc w:val="both"/>
              <w:rPr>
                <w:szCs w:val="21"/>
                <w:lang w:eastAsia="zh-CN"/>
              </w:rPr>
            </w:pPr>
            <w:r>
              <w:rPr>
                <w:iCs/>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rPr>
            </w:pPr>
            <w:permStart w:id="17" w:edGrp="everyone"/>
          </w:p>
        </w:tc>
        <w:tc>
          <w:tcPr>
            <w:tcW w:w="7124" w:type="dxa"/>
            <w:vAlign w:val="center"/>
          </w:tcPr>
          <w:p>
            <w:pPr>
              <w:spacing w:line="276" w:lineRule="auto"/>
              <w:jc w:val="both"/>
              <w:rPr>
                <w:lang w:eastAsia="zh-CN"/>
              </w:rPr>
            </w:pPr>
            <w:r>
              <w:rPr>
                <w:rFonts w:hint="eastAsia"/>
                <w:color w:val="000000"/>
                <w:lang w:eastAsia="zh-CN"/>
              </w:rPr>
              <w:t>适应于我公司</w:t>
            </w:r>
            <w:r>
              <w:rPr>
                <w:color w:val="000000"/>
                <w:lang w:eastAsia="zh-CN"/>
              </w:rPr>
              <w:t>工作环境湿度：至少包括</w:t>
            </w:r>
            <w:r>
              <w:rPr>
                <w:lang w:eastAsia="zh-CN"/>
              </w:rPr>
              <w:t>45%～65</w:t>
            </w:r>
            <w:r>
              <w:rPr>
                <w:color w:val="000000"/>
                <w:lang w:eastAsia="zh-CN"/>
              </w:rPr>
              <w:t>%</w:t>
            </w:r>
          </w:p>
        </w:tc>
        <w:tc>
          <w:tcPr>
            <w:tcW w:w="2127" w:type="dxa"/>
            <w:vAlign w:val="center"/>
          </w:tcPr>
          <w:p>
            <w:pPr>
              <w:jc w:val="both"/>
              <w:rPr>
                <w:szCs w:val="21"/>
                <w:lang w:eastAsia="zh-CN"/>
              </w:rPr>
            </w:pPr>
            <w:r>
              <w:rPr>
                <w:iCs/>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shd w:val="clear" w:color="auto" w:fill="D9D9D9"/>
            <w:vAlign w:val="center"/>
          </w:tcPr>
          <w:p>
            <w:pPr>
              <w:pStyle w:val="30"/>
              <w:numPr>
                <w:ilvl w:val="0"/>
                <w:numId w:val="6"/>
              </w:numPr>
              <w:ind w:firstLineChars="0"/>
              <w:rPr>
                <w:rFonts w:ascii="Times New Roman" w:hAnsi="Times New Roman"/>
                <w:szCs w:val="21"/>
              </w:rPr>
            </w:pPr>
          </w:p>
        </w:tc>
        <w:tc>
          <w:tcPr>
            <w:tcW w:w="9251"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rPr>
            </w:pPr>
            <w:permStart w:id="18" w:edGrp="everyone"/>
          </w:p>
        </w:tc>
        <w:tc>
          <w:tcPr>
            <w:tcW w:w="7124" w:type="dxa"/>
            <w:vAlign w:val="center"/>
          </w:tcPr>
          <w:p>
            <w:pPr>
              <w:spacing w:line="276" w:lineRule="auto"/>
              <w:jc w:val="both"/>
              <w:rPr>
                <w:color w:val="000000"/>
                <w:lang w:eastAsia="zh-CN"/>
              </w:rPr>
            </w:pPr>
            <w:r>
              <w:rPr>
                <w:rFonts w:hint="eastAsia"/>
                <w:color w:val="000000"/>
                <w:lang w:eastAsia="zh-CN"/>
              </w:rPr>
              <w:t>交流电电源： 380V</w:t>
            </w:r>
            <w:r>
              <w:rPr>
                <w:rFonts w:hint="eastAsia"/>
                <w:bCs/>
                <w:lang w:eastAsia="zh-CN"/>
              </w:rPr>
              <w:t>±</w:t>
            </w:r>
            <w:r>
              <w:rPr>
                <w:bCs/>
                <w:lang w:eastAsia="zh-CN"/>
              </w:rPr>
              <w:t>10%</w:t>
            </w:r>
            <w:r>
              <w:rPr>
                <w:rFonts w:hint="eastAsia"/>
                <w:color w:val="000000"/>
                <w:lang w:eastAsia="zh-CN"/>
              </w:rPr>
              <w:t>，3 相5 线制，50Hz</w:t>
            </w:r>
          </w:p>
        </w:tc>
        <w:tc>
          <w:tcPr>
            <w:tcW w:w="2127" w:type="dxa"/>
            <w:vAlign w:val="center"/>
          </w:tcPr>
          <w:p>
            <w:pPr>
              <w:jc w:val="both"/>
              <w:rPr>
                <w:szCs w:val="21"/>
                <w:lang w:eastAsia="zh-CN"/>
              </w:rPr>
            </w:pPr>
            <w:r>
              <w:rPr>
                <w:iCs/>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shd w:val="clear" w:color="auto" w:fill="D9D9D9"/>
            <w:vAlign w:val="center"/>
          </w:tcPr>
          <w:p>
            <w:pPr>
              <w:pStyle w:val="30"/>
              <w:numPr>
                <w:ilvl w:val="0"/>
                <w:numId w:val="6"/>
              </w:numPr>
              <w:ind w:firstLineChars="0"/>
              <w:rPr>
                <w:rFonts w:ascii="Times New Roman" w:hAnsi="Times New Roman"/>
                <w:szCs w:val="21"/>
              </w:rPr>
            </w:pPr>
          </w:p>
        </w:tc>
        <w:tc>
          <w:tcPr>
            <w:tcW w:w="9251"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rPr>
            </w:pPr>
            <w:permStart w:id="19" w:edGrp="everyone"/>
          </w:p>
        </w:tc>
        <w:tc>
          <w:tcPr>
            <w:tcW w:w="7124" w:type="dxa"/>
            <w:vAlign w:val="center"/>
          </w:tcPr>
          <w:p>
            <w:pPr>
              <w:spacing w:line="276" w:lineRule="auto"/>
              <w:jc w:val="both"/>
              <w:rPr>
                <w:iCs/>
                <w:color w:val="000000"/>
                <w:lang w:val="en-US" w:eastAsia="zh-CN"/>
              </w:rPr>
            </w:pPr>
            <w:r>
              <w:rPr>
                <w:rFonts w:hint="eastAsia"/>
                <w:iCs/>
                <w:color w:val="000000"/>
                <w:lang w:val="en-US" w:eastAsia="zh-CN"/>
              </w:rPr>
              <w:t>设备应外观端正、整齐，不得有明显的偏歪、毛刺和锈蚀等缺陷</w:t>
            </w:r>
          </w:p>
        </w:tc>
        <w:tc>
          <w:tcPr>
            <w:tcW w:w="2127" w:type="dxa"/>
            <w:vAlign w:val="center"/>
          </w:tcPr>
          <w:p>
            <w:pPr>
              <w:jc w:val="both"/>
              <w:rPr>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rPr>
            </w:pPr>
          </w:p>
        </w:tc>
        <w:tc>
          <w:tcPr>
            <w:tcW w:w="7124" w:type="dxa"/>
            <w:vAlign w:val="center"/>
          </w:tcPr>
          <w:p>
            <w:pPr>
              <w:spacing w:line="276" w:lineRule="auto"/>
              <w:jc w:val="both"/>
              <w:rPr>
                <w:iCs/>
                <w:color w:val="000000"/>
                <w:lang w:val="en-US" w:eastAsia="zh-CN"/>
              </w:rPr>
            </w:pPr>
            <w:r>
              <w:rPr>
                <w:rFonts w:hint="eastAsia"/>
                <w:iCs/>
                <w:color w:val="000000"/>
                <w:lang w:val="en-US" w:eastAsia="zh-CN"/>
              </w:rPr>
              <w:t>超滤系统内、外部表面不得有凹陷、毛刺和锈蚀等缺陷：</w:t>
            </w:r>
          </w:p>
          <w:p>
            <w:pPr>
              <w:spacing w:line="276" w:lineRule="auto"/>
              <w:jc w:val="both"/>
              <w:rPr>
                <w:iCs/>
                <w:color w:val="000000"/>
                <w:lang w:val="en-US" w:eastAsia="zh-CN"/>
              </w:rPr>
            </w:pPr>
            <w:r>
              <w:rPr>
                <w:rFonts w:hint="eastAsia"/>
                <w:iCs/>
                <w:color w:val="000000"/>
                <w:lang w:val="en-US" w:eastAsia="zh-CN"/>
              </w:rPr>
              <w:t xml:space="preserve">（1）材质：所有制造用材料都应符合中国和WHO/GMP的要求，所有材料应当是新的，无缺陷，完全符合于目标用途。所有洁净管路内壁都必须酸洗、钝化，并有相关记录。 </w:t>
            </w:r>
          </w:p>
          <w:p>
            <w:pPr>
              <w:spacing w:line="276" w:lineRule="auto"/>
              <w:jc w:val="both"/>
              <w:rPr>
                <w:iCs/>
                <w:color w:val="000000"/>
                <w:lang w:val="en-US" w:eastAsia="zh-CN"/>
              </w:rPr>
            </w:pPr>
            <w:r>
              <w:rPr>
                <w:rFonts w:hint="eastAsia"/>
                <w:iCs/>
                <w:color w:val="000000"/>
                <w:lang w:val="en-US" w:eastAsia="zh-CN"/>
              </w:rPr>
              <w:t>（2）系统与产品或洁净介质接触的非金属部件材质，应易清洗、无毒、化学稳定性高、无污染、无脱落且能耐受SIP过程。符合FDA或USP class VI的规定，并提供相关材质证明。</w:t>
            </w:r>
          </w:p>
          <w:p>
            <w:pPr>
              <w:spacing w:line="276" w:lineRule="auto"/>
              <w:jc w:val="both"/>
              <w:rPr>
                <w:iCs/>
                <w:color w:val="000000"/>
                <w:lang w:val="en-US" w:eastAsia="zh-CN"/>
              </w:rPr>
            </w:pPr>
            <w:r>
              <w:rPr>
                <w:rFonts w:hint="eastAsia"/>
                <w:iCs/>
                <w:color w:val="000000"/>
                <w:lang w:val="en-US" w:eastAsia="zh-CN"/>
              </w:rPr>
              <w:t>（3）焊接：所有管道采用自动氩弧焊，提供焊样及焊样的焊接参数，焊接报告及焊工资质等，自动氩弧焊随机抽样提供30%管道内窥镜检查报告及照片，手工焊接部分100%提供。</w:t>
            </w:r>
          </w:p>
        </w:tc>
        <w:tc>
          <w:tcPr>
            <w:tcW w:w="2127"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rPr>
            </w:pPr>
          </w:p>
        </w:tc>
        <w:tc>
          <w:tcPr>
            <w:tcW w:w="7124" w:type="dxa"/>
            <w:vAlign w:val="center"/>
          </w:tcPr>
          <w:p>
            <w:pPr>
              <w:spacing w:line="276" w:lineRule="auto"/>
              <w:jc w:val="both"/>
              <w:rPr>
                <w:color w:val="000000"/>
                <w:szCs w:val="21"/>
                <w:lang w:eastAsia="zh-CN"/>
              </w:rPr>
            </w:pPr>
            <w:r>
              <w:rPr>
                <w:rFonts w:hint="eastAsia"/>
                <w:color w:val="000000"/>
                <w:szCs w:val="21"/>
                <w:lang w:eastAsia="zh-CN"/>
              </w:rPr>
              <w:t xml:space="preserve">系统要求： </w:t>
            </w:r>
          </w:p>
          <w:p>
            <w:pPr>
              <w:spacing w:line="276" w:lineRule="auto"/>
              <w:rPr>
                <w:color w:val="000000"/>
                <w:szCs w:val="21"/>
                <w:lang w:eastAsia="zh-CN"/>
              </w:rPr>
            </w:pPr>
            <w:r>
              <w:rPr>
                <w:rFonts w:hint="eastAsia"/>
                <w:color w:val="000000"/>
                <w:szCs w:val="21"/>
                <w:lang w:eastAsia="zh-CN"/>
              </w:rPr>
              <w:t>（1）超滤器必须保证至少10年之内不得腐蚀、穿孔。超滤器的各部件应悬挂标识牌。</w:t>
            </w:r>
          </w:p>
          <w:p>
            <w:pPr>
              <w:spacing w:line="276" w:lineRule="auto"/>
              <w:rPr>
                <w:color w:val="000000"/>
                <w:szCs w:val="21"/>
                <w:lang w:eastAsia="zh-CN"/>
              </w:rPr>
            </w:pPr>
            <w:r>
              <w:rPr>
                <w:rFonts w:hint="eastAsia"/>
                <w:color w:val="000000"/>
                <w:szCs w:val="21"/>
                <w:lang w:eastAsia="zh-CN"/>
              </w:rPr>
              <w:t>（2）超滤器控制系统、变频器的生产商要用进口知名品牌；其他电子元器件、电机、传感器等也必须选用进口优质品牌，应在配置文件中标明。</w:t>
            </w:r>
          </w:p>
          <w:p>
            <w:pPr>
              <w:spacing w:line="276" w:lineRule="auto"/>
              <w:rPr>
                <w:color w:val="000000"/>
                <w:szCs w:val="21"/>
                <w:lang w:eastAsia="zh-CN"/>
              </w:rPr>
            </w:pPr>
            <w:r>
              <w:rPr>
                <w:rFonts w:hint="eastAsia"/>
                <w:color w:val="000000"/>
                <w:szCs w:val="21"/>
                <w:lang w:eastAsia="zh-CN"/>
              </w:rPr>
              <w:t>（3）半自动超滤系统，应由输液泵、补液泵、检测仪表、管道、控制系统及支架等组成，整体设计模块化，便于移动固定；结构紧凑，缩小循环体积。系统具备自动CIP及SIP功能。</w:t>
            </w:r>
          </w:p>
        </w:tc>
        <w:tc>
          <w:tcPr>
            <w:tcW w:w="2127"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rPr>
            </w:pPr>
          </w:p>
        </w:tc>
        <w:tc>
          <w:tcPr>
            <w:tcW w:w="7124" w:type="dxa"/>
            <w:vAlign w:val="center"/>
          </w:tcPr>
          <w:p>
            <w:pPr>
              <w:spacing w:line="276" w:lineRule="auto"/>
              <w:jc w:val="both"/>
              <w:rPr>
                <w:color w:val="000000"/>
                <w:szCs w:val="21"/>
                <w:lang w:eastAsia="zh-CN"/>
              </w:rPr>
            </w:pPr>
            <w:r>
              <w:rPr>
                <w:rFonts w:hint="eastAsia"/>
                <w:color w:val="000000"/>
                <w:szCs w:val="21"/>
                <w:lang w:eastAsia="zh-CN"/>
              </w:rPr>
              <w:t>超滤夹具要求：</w:t>
            </w:r>
          </w:p>
          <w:p>
            <w:pPr>
              <w:spacing w:line="276" w:lineRule="auto"/>
              <w:jc w:val="both"/>
              <w:rPr>
                <w:color w:val="000000"/>
                <w:szCs w:val="21"/>
                <w:lang w:eastAsia="zh-CN"/>
              </w:rPr>
            </w:pPr>
            <w:r>
              <w:rPr>
                <w:rFonts w:hint="eastAsia"/>
                <w:color w:val="000000"/>
                <w:szCs w:val="21"/>
                <w:lang w:eastAsia="zh-CN"/>
              </w:rPr>
              <w:t>（1）夹具材质为SS316L医用不锈钢制作，并经酸洗钝化处理，符合生物制药卫生级要求。可至少安装2.5㎡膜包8块。</w:t>
            </w:r>
          </w:p>
          <w:p>
            <w:pPr>
              <w:spacing w:line="276" w:lineRule="auto"/>
              <w:jc w:val="both"/>
              <w:rPr>
                <w:color w:val="000000"/>
                <w:szCs w:val="21"/>
                <w:lang w:eastAsia="zh-CN"/>
              </w:rPr>
            </w:pPr>
            <w:r>
              <w:rPr>
                <w:rFonts w:hint="eastAsia"/>
                <w:color w:val="000000"/>
                <w:szCs w:val="21"/>
                <w:lang w:eastAsia="zh-CN"/>
              </w:rPr>
              <w:t>（2）夹具主板源于一块完整的不锈钢，无焊接，无卫生死角，有助于通过 cGMP 清洗验证要求，抛光 Ra≤0.4 μm</w:t>
            </w:r>
          </w:p>
          <w:p>
            <w:pPr>
              <w:spacing w:line="276" w:lineRule="auto"/>
              <w:jc w:val="both"/>
              <w:rPr>
                <w:color w:val="000000"/>
                <w:szCs w:val="21"/>
                <w:lang w:eastAsia="zh-CN"/>
              </w:rPr>
            </w:pPr>
            <w:r>
              <w:rPr>
                <w:rFonts w:hint="eastAsia"/>
                <w:color w:val="000000"/>
                <w:szCs w:val="21"/>
                <w:lang w:eastAsia="zh-CN"/>
              </w:rPr>
              <w:t>（3）夹具采用切向流设计，夹具接口能与膜包很好对接，易安装、易拆卸、最大压力6bar运行时无泄漏，无清洗死角。</w:t>
            </w:r>
          </w:p>
          <w:p>
            <w:pPr>
              <w:spacing w:line="276" w:lineRule="auto"/>
              <w:jc w:val="both"/>
              <w:rPr>
                <w:color w:val="000000"/>
                <w:szCs w:val="21"/>
                <w:lang w:eastAsia="zh-CN"/>
              </w:rPr>
            </w:pPr>
            <w:r>
              <w:rPr>
                <w:rFonts w:hint="eastAsia"/>
                <w:color w:val="000000"/>
                <w:szCs w:val="21"/>
                <w:lang w:eastAsia="zh-CN"/>
              </w:rPr>
              <w:t>（4）夹具采用PALL的2.5平米膜包的C15夹具设计，进、回口流道与膜包孔吻合，减小超滤过程中的压力。</w:t>
            </w:r>
          </w:p>
          <w:p>
            <w:pPr>
              <w:spacing w:line="276" w:lineRule="auto"/>
              <w:jc w:val="both"/>
              <w:rPr>
                <w:iCs/>
                <w:color w:val="000000"/>
                <w:lang w:val="en-US" w:eastAsia="zh-CN"/>
              </w:rPr>
            </w:pPr>
            <w:r>
              <w:rPr>
                <w:rFonts w:hint="eastAsia"/>
                <w:color w:val="000000"/>
                <w:szCs w:val="21"/>
                <w:lang w:eastAsia="zh-CN"/>
              </w:rPr>
              <w:t>（5）膜包采用竖直放置方式，液体自下而上流动，易排气、低残留、无卫生死角。</w:t>
            </w:r>
          </w:p>
        </w:tc>
        <w:tc>
          <w:tcPr>
            <w:tcW w:w="2127"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rPr>
            </w:pPr>
          </w:p>
        </w:tc>
        <w:tc>
          <w:tcPr>
            <w:tcW w:w="7124" w:type="dxa"/>
            <w:vAlign w:val="center"/>
          </w:tcPr>
          <w:p>
            <w:pPr>
              <w:spacing w:line="276" w:lineRule="auto"/>
              <w:jc w:val="both"/>
              <w:rPr>
                <w:color w:val="000000"/>
                <w:szCs w:val="21"/>
                <w:lang w:eastAsia="zh-CN"/>
              </w:rPr>
            </w:pPr>
            <w:r>
              <w:rPr>
                <w:rFonts w:hint="eastAsia"/>
                <w:color w:val="000000"/>
                <w:szCs w:val="21"/>
                <w:lang w:eastAsia="zh-CN"/>
              </w:rPr>
              <w:t xml:space="preserve">管道要求： </w:t>
            </w:r>
          </w:p>
          <w:p>
            <w:pPr>
              <w:spacing w:line="276" w:lineRule="auto"/>
              <w:jc w:val="both"/>
              <w:rPr>
                <w:color w:val="000000"/>
                <w:szCs w:val="21"/>
                <w:lang w:eastAsia="zh-CN"/>
              </w:rPr>
            </w:pPr>
            <w:r>
              <w:rPr>
                <w:rFonts w:hint="eastAsia"/>
                <w:color w:val="000000"/>
                <w:szCs w:val="21"/>
                <w:lang w:eastAsia="zh-CN"/>
              </w:rPr>
              <w:t>（1）管道：与物料接触的金属部分材质为316L不锈钢，管道有坡度和最低点排放设计，并符合现行版ASME BPE的相关要求，清洗后可排空、无死角。非金属部分为EPDM/PTFE，可以耐受消毒剂消毒，符合FDA、欧盟及美国药典要求；316L不锈钢要求内表面电抛小于0.4μm，外表面小于1.2μm，提供管道抛光证书，以及系统实测抛光报告（随机抽取10点）。</w:t>
            </w:r>
          </w:p>
          <w:p>
            <w:pPr>
              <w:spacing w:line="276" w:lineRule="auto"/>
              <w:jc w:val="both"/>
              <w:rPr>
                <w:color w:val="000000"/>
                <w:szCs w:val="21"/>
                <w:lang w:eastAsia="zh-CN"/>
              </w:rPr>
            </w:pPr>
            <w:r>
              <w:rPr>
                <w:rFonts w:hint="eastAsia"/>
                <w:color w:val="000000"/>
                <w:szCs w:val="21"/>
                <w:lang w:eastAsia="zh-CN"/>
              </w:rPr>
              <w:t>（2）系统中所有的交叉管路均采用圆弧弯道连接，分流管路采用三叉管（分流支路间夹角小于90度），避免90度接头；各仪表元件的接入点管路都符合现行版ASME BPE的关于死角和MIN的要求，并在图纸上标明MIN的具体数值。便于清洗，无残留。</w:t>
            </w:r>
          </w:p>
          <w:p>
            <w:pPr>
              <w:spacing w:line="276" w:lineRule="auto"/>
              <w:jc w:val="both"/>
              <w:rPr>
                <w:color w:val="000000"/>
                <w:szCs w:val="21"/>
                <w:lang w:eastAsia="zh-CN"/>
              </w:rPr>
            </w:pPr>
            <w:r>
              <w:rPr>
                <w:rFonts w:hint="eastAsia"/>
                <w:color w:val="000000"/>
                <w:szCs w:val="21"/>
                <w:lang w:eastAsia="zh-CN"/>
              </w:rPr>
              <w:t>（3）系统中不与物料直接接触的管路（例如排废管路）采用316L（ISO标准）。</w:t>
            </w:r>
          </w:p>
          <w:p>
            <w:pPr>
              <w:spacing w:line="276" w:lineRule="auto"/>
              <w:jc w:val="both"/>
              <w:rPr>
                <w:color w:val="000000"/>
                <w:szCs w:val="21"/>
                <w:lang w:eastAsia="zh-CN"/>
              </w:rPr>
            </w:pPr>
            <w:r>
              <w:rPr>
                <w:rFonts w:hint="eastAsia"/>
                <w:color w:val="000000"/>
                <w:szCs w:val="21"/>
                <w:lang w:eastAsia="zh-CN"/>
              </w:rPr>
              <w:t>（4）系统需配备膜完整性检测通路和清洗旁路。</w:t>
            </w:r>
          </w:p>
          <w:p>
            <w:pPr>
              <w:spacing w:line="276" w:lineRule="auto"/>
              <w:jc w:val="both"/>
              <w:rPr>
                <w:color w:val="000000"/>
                <w:szCs w:val="21"/>
                <w:lang w:eastAsia="zh-CN"/>
              </w:rPr>
            </w:pPr>
            <w:r>
              <w:rPr>
                <w:rFonts w:hint="eastAsia"/>
                <w:color w:val="000000"/>
                <w:szCs w:val="21"/>
                <w:lang w:eastAsia="zh-CN"/>
              </w:rPr>
              <w:t>（5）进液泵管道内径1.5英寸（具体尺寸以泵头为准），回流管道内径1.0英寸，透过端管道内径1.0英寸。</w:t>
            </w:r>
          </w:p>
          <w:p>
            <w:pPr>
              <w:spacing w:line="276" w:lineRule="auto"/>
              <w:jc w:val="both"/>
              <w:rPr>
                <w:color w:val="000000"/>
                <w:szCs w:val="21"/>
                <w:lang w:eastAsia="zh-CN"/>
              </w:rPr>
            </w:pPr>
            <w:r>
              <w:rPr>
                <w:rFonts w:hint="eastAsia"/>
                <w:color w:val="000000"/>
                <w:szCs w:val="21"/>
                <w:lang w:eastAsia="zh-CN"/>
              </w:rPr>
              <w:t>（6）进泵端管道设计：需要1根内径1.5英寸非金属材质管道连接超滤中间罐，要求耐高压、强碱；柔韧性好、抗形变；另配一根同材质的1.5英寸管道，长度约3米。</w:t>
            </w:r>
          </w:p>
          <w:p>
            <w:pPr>
              <w:spacing w:line="276" w:lineRule="auto"/>
              <w:jc w:val="both"/>
              <w:rPr>
                <w:color w:val="000000"/>
                <w:szCs w:val="21"/>
                <w:lang w:eastAsia="zh-CN"/>
              </w:rPr>
            </w:pPr>
            <w:r>
              <w:rPr>
                <w:rFonts w:hint="eastAsia"/>
                <w:color w:val="000000"/>
                <w:szCs w:val="21"/>
                <w:lang w:eastAsia="zh-CN"/>
              </w:rPr>
              <w:t>（7）回流管道设计：回流管进罐需连接1.0寸内衬管，内衬管出口端需尽量贴近罐内壁确保回流无气泡且不影响流速，需要1根内径1.0英寸非金属材质管道连接超滤中间罐，要求耐高压、强碱，柔韧性好、抗形变；另配四根同材质的1.0英寸管道，长度分别为3米。</w:t>
            </w:r>
          </w:p>
          <w:p>
            <w:pPr>
              <w:spacing w:line="276" w:lineRule="auto"/>
              <w:jc w:val="both"/>
              <w:rPr>
                <w:color w:val="000000"/>
                <w:szCs w:val="21"/>
                <w:lang w:eastAsia="zh-CN"/>
              </w:rPr>
            </w:pPr>
            <w:r>
              <w:rPr>
                <w:rFonts w:hint="eastAsia"/>
                <w:color w:val="000000"/>
                <w:szCs w:val="21"/>
                <w:lang w:eastAsia="zh-CN"/>
              </w:rPr>
              <w:t>（8）收获管道设计：收获端口位于回流端与超滤中间罐回流口之间有手动隔膜阀控制，超滤完成后可将浓缩液压空收集。</w:t>
            </w:r>
          </w:p>
          <w:p>
            <w:pPr>
              <w:spacing w:line="276" w:lineRule="auto"/>
              <w:jc w:val="both"/>
              <w:rPr>
                <w:iCs/>
                <w:color w:val="000000"/>
                <w:lang w:eastAsia="zh-CN"/>
              </w:rPr>
            </w:pPr>
            <w:r>
              <w:rPr>
                <w:rFonts w:hint="eastAsia"/>
                <w:color w:val="000000"/>
                <w:szCs w:val="21"/>
                <w:lang w:eastAsia="zh-CN"/>
              </w:rPr>
              <w:t>（9）补液管道设计：需要1根内径1.0英寸非金属材质管道连接超滤中间罐，要求耐高压、强碱，柔韧性好、抗形变，长度为2米。</w:t>
            </w:r>
          </w:p>
        </w:tc>
        <w:tc>
          <w:tcPr>
            <w:tcW w:w="2127"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rPr>
            </w:pPr>
          </w:p>
        </w:tc>
        <w:tc>
          <w:tcPr>
            <w:tcW w:w="7124" w:type="dxa"/>
            <w:vAlign w:val="center"/>
          </w:tcPr>
          <w:p>
            <w:pPr>
              <w:spacing w:line="276" w:lineRule="auto"/>
              <w:jc w:val="both"/>
              <w:rPr>
                <w:color w:val="000000"/>
                <w:szCs w:val="21"/>
                <w:lang w:eastAsia="zh-CN"/>
              </w:rPr>
            </w:pPr>
            <w:r>
              <w:rPr>
                <w:rFonts w:hint="eastAsia"/>
                <w:color w:val="000000"/>
                <w:szCs w:val="21"/>
                <w:lang w:eastAsia="zh-CN"/>
              </w:rPr>
              <w:t>阀门要求：</w:t>
            </w:r>
          </w:p>
          <w:p>
            <w:pPr>
              <w:spacing w:line="276" w:lineRule="auto"/>
              <w:rPr>
                <w:color w:val="000000"/>
                <w:szCs w:val="21"/>
                <w:lang w:eastAsia="zh-CN"/>
              </w:rPr>
            </w:pPr>
            <w:r>
              <w:rPr>
                <w:rFonts w:hint="eastAsia"/>
                <w:color w:val="000000"/>
                <w:szCs w:val="21"/>
                <w:lang w:eastAsia="zh-CN"/>
              </w:rPr>
              <w:t>（1）系统阀门除回流端压力调节阀外均使用手动隔膜阀（全部采用GEMU品牌或同等其他知名品牌），316L材质，EPDM膜片或PTFE，内表面电抛小于0.4</w:t>
            </w:r>
            <w:r>
              <w:rPr>
                <w:rFonts w:hint="eastAsia"/>
                <w:color w:val="000000"/>
                <w:szCs w:val="21"/>
              </w:rPr>
              <w:t>μ</w:t>
            </w:r>
            <w:r>
              <w:rPr>
                <w:rFonts w:hint="eastAsia"/>
                <w:color w:val="000000"/>
                <w:szCs w:val="21"/>
                <w:lang w:eastAsia="zh-CN"/>
              </w:rPr>
              <w:t>m，提供材质证明和抛光报告。</w:t>
            </w:r>
          </w:p>
          <w:p>
            <w:pPr>
              <w:spacing w:line="276" w:lineRule="auto"/>
              <w:rPr>
                <w:color w:val="000000"/>
                <w:szCs w:val="21"/>
                <w:lang w:eastAsia="zh-CN"/>
              </w:rPr>
            </w:pPr>
            <w:r>
              <w:rPr>
                <w:rFonts w:hint="eastAsia"/>
                <w:color w:val="000000"/>
                <w:szCs w:val="21"/>
                <w:lang w:eastAsia="zh-CN"/>
              </w:rPr>
              <w:t>（2）压力调节阀为气动调节阀，调压阀调节压力时应足够迅速、灵敏，不能出现压力滞后调节，导致压力波动</w:t>
            </w:r>
          </w:p>
          <w:p>
            <w:pPr>
              <w:spacing w:line="276" w:lineRule="auto"/>
              <w:jc w:val="both"/>
              <w:rPr>
                <w:iCs/>
                <w:color w:val="000000"/>
                <w:lang w:val="en-US" w:eastAsia="zh-CN"/>
              </w:rPr>
            </w:pPr>
            <w:r>
              <w:rPr>
                <w:rFonts w:hint="eastAsia"/>
                <w:iCs/>
                <w:color w:val="000000"/>
                <w:lang w:val="en-US" w:eastAsia="zh-CN"/>
              </w:rPr>
              <w:t>（2）所有阀门不得漏水，不得使用劣质阀门，必须保证至少5年内不得滴水，如果漏水必须更换新阀门直到符合标准为止。</w:t>
            </w:r>
          </w:p>
        </w:tc>
        <w:tc>
          <w:tcPr>
            <w:tcW w:w="2127"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rPr>
            </w:pPr>
          </w:p>
        </w:tc>
        <w:tc>
          <w:tcPr>
            <w:tcW w:w="7124" w:type="dxa"/>
            <w:vAlign w:val="center"/>
          </w:tcPr>
          <w:p>
            <w:pPr>
              <w:spacing w:line="276" w:lineRule="auto"/>
              <w:jc w:val="both"/>
              <w:rPr>
                <w:iCs/>
                <w:color w:val="000000"/>
                <w:lang w:val="en-US" w:eastAsia="zh-CN"/>
              </w:rPr>
            </w:pPr>
            <w:r>
              <w:rPr>
                <w:rFonts w:hint="eastAsia"/>
                <w:iCs/>
                <w:color w:val="000000"/>
                <w:lang w:val="en-US" w:eastAsia="zh-CN"/>
              </w:rPr>
              <w:t>仪表要求：</w:t>
            </w:r>
          </w:p>
          <w:p>
            <w:pPr>
              <w:spacing w:line="276" w:lineRule="auto"/>
              <w:jc w:val="both"/>
              <w:rPr>
                <w:iCs/>
                <w:color w:val="000000"/>
                <w:lang w:val="en-US" w:eastAsia="zh-CN"/>
              </w:rPr>
            </w:pPr>
            <w:r>
              <w:rPr>
                <w:rFonts w:hint="eastAsia"/>
                <w:iCs/>
                <w:color w:val="000000"/>
                <w:lang w:val="en-US" w:eastAsia="zh-CN"/>
              </w:rPr>
              <w:t>（1）在线监测进样口、回流口、滤出口的系统压力，超滤系统进液端、回流端及透过端各配备一个压力传感器。压力传感器量程0~10 barg, 精度±0.5%。</w:t>
            </w:r>
          </w:p>
          <w:p>
            <w:pPr>
              <w:spacing w:line="276" w:lineRule="auto"/>
              <w:jc w:val="both"/>
              <w:rPr>
                <w:iCs/>
                <w:color w:val="000000"/>
                <w:lang w:val="en-US" w:eastAsia="zh-CN"/>
              </w:rPr>
            </w:pPr>
            <w:r>
              <w:rPr>
                <w:rFonts w:hint="eastAsia"/>
                <w:iCs/>
                <w:color w:val="000000"/>
                <w:lang w:val="en-US" w:eastAsia="zh-CN"/>
              </w:rPr>
              <w:t>（2）在线监测滤出液的UV值、pH、电导。</w:t>
            </w:r>
          </w:p>
          <w:p>
            <w:pPr>
              <w:spacing w:line="276" w:lineRule="auto"/>
              <w:jc w:val="both"/>
              <w:rPr>
                <w:iCs/>
                <w:color w:val="000000"/>
                <w:lang w:val="en-US" w:eastAsia="zh-CN"/>
              </w:rPr>
            </w:pPr>
            <w:r>
              <w:rPr>
                <w:rFonts w:hint="eastAsia"/>
                <w:iCs/>
                <w:color w:val="000000"/>
                <w:lang w:val="en-US" w:eastAsia="zh-CN"/>
              </w:rPr>
              <w:t>（3）在滤出口和回流口均使用可现场显示流量值的质量流量计。</w:t>
            </w:r>
          </w:p>
          <w:p>
            <w:pPr>
              <w:spacing w:line="276" w:lineRule="auto"/>
              <w:jc w:val="both"/>
              <w:rPr>
                <w:iCs/>
                <w:color w:val="000000"/>
                <w:lang w:val="en-US" w:eastAsia="zh-CN"/>
              </w:rPr>
            </w:pPr>
            <w:r>
              <w:rPr>
                <w:rFonts w:hint="eastAsia"/>
                <w:iCs/>
                <w:color w:val="000000"/>
                <w:lang w:val="en-US" w:eastAsia="zh-CN"/>
              </w:rPr>
              <w:t>（4）在线监测回流液的温度、PH、电导。</w:t>
            </w:r>
          </w:p>
          <w:p>
            <w:pPr>
              <w:spacing w:line="276" w:lineRule="auto"/>
              <w:jc w:val="both"/>
              <w:rPr>
                <w:iCs/>
                <w:color w:val="000000"/>
                <w:lang w:val="en-US" w:eastAsia="zh-CN"/>
              </w:rPr>
            </w:pPr>
            <w:r>
              <w:rPr>
                <w:rFonts w:hint="eastAsia"/>
                <w:iCs/>
                <w:color w:val="000000"/>
                <w:lang w:val="en-US" w:eastAsia="zh-CN"/>
              </w:rPr>
              <w:t>（5）紫外检测器精度±1%，280nm，光径量程可选。</w:t>
            </w:r>
          </w:p>
          <w:p>
            <w:pPr>
              <w:spacing w:line="276" w:lineRule="auto"/>
              <w:jc w:val="both"/>
              <w:rPr>
                <w:iCs/>
                <w:color w:val="000000"/>
                <w:lang w:val="en-US" w:eastAsia="zh-CN"/>
              </w:rPr>
            </w:pPr>
            <w:r>
              <w:rPr>
                <w:rFonts w:hint="eastAsia"/>
                <w:iCs/>
                <w:color w:val="000000"/>
                <w:lang w:val="en-US" w:eastAsia="zh-CN"/>
              </w:rPr>
              <w:t>（6）pH量程0-14，精度要求2-12范围内±0.05。</w:t>
            </w:r>
          </w:p>
          <w:p>
            <w:pPr>
              <w:spacing w:line="276" w:lineRule="auto"/>
              <w:jc w:val="both"/>
              <w:rPr>
                <w:iCs/>
                <w:color w:val="000000"/>
                <w:lang w:val="en-US" w:eastAsia="zh-CN"/>
              </w:rPr>
            </w:pPr>
            <w:r>
              <w:rPr>
                <w:rFonts w:hint="eastAsia"/>
                <w:iCs/>
                <w:color w:val="000000"/>
                <w:lang w:val="en-US" w:eastAsia="zh-CN"/>
              </w:rPr>
              <w:t>（7）电导回流端量程0-300ms/cm，0-100ms/cm范围内精度±3%；透过端量程0-100ms/cm，精度±1%，可用作CIP终点判断。</w:t>
            </w:r>
          </w:p>
        </w:tc>
        <w:tc>
          <w:tcPr>
            <w:tcW w:w="2127"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rPr>
            </w:pPr>
          </w:p>
        </w:tc>
        <w:tc>
          <w:tcPr>
            <w:tcW w:w="7124" w:type="dxa"/>
            <w:vAlign w:val="center"/>
          </w:tcPr>
          <w:p>
            <w:pPr>
              <w:spacing w:line="276" w:lineRule="auto"/>
              <w:jc w:val="both"/>
              <w:rPr>
                <w:iCs/>
                <w:color w:val="000000"/>
                <w:lang w:val="en-US" w:eastAsia="zh-CN"/>
              </w:rPr>
            </w:pPr>
            <w:r>
              <w:rPr>
                <w:rFonts w:hint="eastAsia"/>
                <w:iCs/>
                <w:color w:val="000000"/>
                <w:lang w:val="en-US" w:eastAsia="zh-CN"/>
              </w:rPr>
              <w:t>隔膜泵要求：采用进口QuattroFlow四元隔膜泵，可适配20㎡膜包工作时120L/min流速需求。泵头材质SS316L，需电抛光Ra≤0.4 μm；泵头和电机置于不锈钢支架上，安装要牢固，连接部位有防护罩。</w:t>
            </w:r>
          </w:p>
          <w:p>
            <w:pPr>
              <w:spacing w:line="276" w:lineRule="auto"/>
              <w:jc w:val="both"/>
              <w:rPr>
                <w:iCs/>
                <w:color w:val="000000"/>
                <w:lang w:val="en-US" w:eastAsia="zh-CN"/>
              </w:rPr>
            </w:pPr>
            <w:r>
              <w:rPr>
                <w:rFonts w:hint="eastAsia"/>
                <w:iCs/>
                <w:color w:val="000000"/>
                <w:lang w:val="en-US" w:eastAsia="zh-CN"/>
              </w:rPr>
              <w:t>补液泵要求：采用进口品牌补液泵，要求补液流速达到工艺流速12-15L/min</w:t>
            </w:r>
          </w:p>
        </w:tc>
        <w:tc>
          <w:tcPr>
            <w:tcW w:w="2127"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rPr>
            </w:pPr>
          </w:p>
        </w:tc>
        <w:tc>
          <w:tcPr>
            <w:tcW w:w="7124" w:type="dxa"/>
            <w:vAlign w:val="center"/>
          </w:tcPr>
          <w:p>
            <w:pPr>
              <w:spacing w:line="276" w:lineRule="auto"/>
              <w:jc w:val="both"/>
              <w:rPr>
                <w:color w:val="000000"/>
                <w:szCs w:val="21"/>
                <w:lang w:val="en-US" w:eastAsia="zh-CN"/>
              </w:rPr>
            </w:pPr>
            <w:r>
              <w:rPr>
                <w:rFonts w:hint="eastAsia"/>
                <w:color w:val="000000"/>
                <w:szCs w:val="21"/>
                <w:lang w:val="en-US" w:eastAsia="zh-CN"/>
              </w:rPr>
              <w:t>标识：至少应有以下永久贴牢和清楚易认的标识：</w:t>
            </w:r>
          </w:p>
          <w:p>
            <w:pPr>
              <w:spacing w:line="276" w:lineRule="auto"/>
              <w:jc w:val="both"/>
              <w:rPr>
                <w:color w:val="000000"/>
                <w:szCs w:val="21"/>
                <w:lang w:val="en-US" w:eastAsia="zh-CN"/>
              </w:rPr>
            </w:pPr>
            <w:r>
              <w:rPr>
                <w:rFonts w:hint="eastAsia"/>
                <w:color w:val="000000"/>
                <w:szCs w:val="21"/>
                <w:lang w:val="en-US" w:eastAsia="zh-CN"/>
              </w:rPr>
              <w:t>（1）制造/供应单位；</w:t>
            </w:r>
          </w:p>
          <w:p>
            <w:pPr>
              <w:spacing w:line="276" w:lineRule="auto"/>
              <w:jc w:val="both"/>
              <w:rPr>
                <w:color w:val="000000"/>
                <w:szCs w:val="21"/>
                <w:lang w:val="en-US" w:eastAsia="zh-CN"/>
              </w:rPr>
            </w:pPr>
            <w:r>
              <w:rPr>
                <w:rFonts w:hint="eastAsia"/>
                <w:color w:val="000000"/>
                <w:szCs w:val="21"/>
                <w:lang w:val="en-US" w:eastAsia="zh-CN"/>
              </w:rPr>
              <w:t>（2）产品注册号；</w:t>
            </w:r>
          </w:p>
          <w:p>
            <w:pPr>
              <w:spacing w:line="276" w:lineRule="auto"/>
              <w:jc w:val="both"/>
              <w:rPr>
                <w:color w:val="000000"/>
                <w:szCs w:val="21"/>
                <w:lang w:val="en-US" w:eastAsia="zh-CN"/>
              </w:rPr>
            </w:pPr>
            <w:r>
              <w:rPr>
                <w:rFonts w:hint="eastAsia"/>
                <w:color w:val="000000"/>
                <w:szCs w:val="21"/>
                <w:lang w:val="en-US" w:eastAsia="zh-CN"/>
              </w:rPr>
              <w:t>（3）型号；</w:t>
            </w:r>
          </w:p>
          <w:p>
            <w:pPr>
              <w:spacing w:line="276" w:lineRule="auto"/>
              <w:jc w:val="both"/>
              <w:rPr>
                <w:color w:val="000000"/>
                <w:szCs w:val="21"/>
                <w:lang w:val="en-US" w:eastAsia="zh-CN"/>
              </w:rPr>
            </w:pPr>
            <w:r>
              <w:rPr>
                <w:rFonts w:hint="eastAsia"/>
                <w:color w:val="000000"/>
                <w:szCs w:val="21"/>
                <w:lang w:val="en-US" w:eastAsia="zh-CN"/>
              </w:rPr>
              <w:t>（4）生产日期或编号；</w:t>
            </w:r>
          </w:p>
          <w:p>
            <w:pPr>
              <w:spacing w:line="276" w:lineRule="auto"/>
              <w:jc w:val="both"/>
              <w:rPr>
                <w:color w:val="000000"/>
                <w:szCs w:val="21"/>
                <w:lang w:val="en-US" w:eastAsia="zh-CN"/>
              </w:rPr>
            </w:pPr>
            <w:r>
              <w:rPr>
                <w:rFonts w:hint="eastAsia"/>
                <w:color w:val="000000"/>
                <w:szCs w:val="21"/>
                <w:lang w:val="en-US" w:eastAsia="zh-CN"/>
              </w:rPr>
              <w:t>（5）对设备必要的说明，包括设计压力、工作压力、类别，耐压试验、工作介质、容器净重、设计温度、工作温度、系统体积</w:t>
            </w:r>
          </w:p>
          <w:p>
            <w:pPr>
              <w:spacing w:line="276" w:lineRule="auto"/>
              <w:jc w:val="both"/>
              <w:rPr>
                <w:color w:val="000000"/>
                <w:szCs w:val="21"/>
                <w:lang w:val="en-US" w:eastAsia="zh-CN"/>
              </w:rPr>
            </w:pPr>
            <w:r>
              <w:rPr>
                <w:rFonts w:hint="eastAsia"/>
                <w:color w:val="000000"/>
                <w:szCs w:val="21"/>
                <w:lang w:val="en-US" w:eastAsia="zh-CN"/>
              </w:rPr>
              <w:t>（6）产品标准、许可证编号</w:t>
            </w:r>
          </w:p>
          <w:p>
            <w:pPr>
              <w:spacing w:line="276" w:lineRule="auto"/>
              <w:jc w:val="both"/>
              <w:rPr>
                <w:color w:val="000000"/>
                <w:szCs w:val="21"/>
                <w:lang w:val="en-US" w:eastAsia="zh-CN"/>
              </w:rPr>
            </w:pPr>
            <w:r>
              <w:rPr>
                <w:rFonts w:hint="eastAsia"/>
                <w:color w:val="000000"/>
                <w:szCs w:val="21"/>
                <w:lang w:val="en-US" w:eastAsia="zh-CN"/>
              </w:rPr>
              <w:t>（7）安全标识</w:t>
            </w:r>
          </w:p>
        </w:tc>
        <w:tc>
          <w:tcPr>
            <w:tcW w:w="2127"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rPr>
            </w:pPr>
          </w:p>
        </w:tc>
        <w:tc>
          <w:tcPr>
            <w:tcW w:w="7124" w:type="dxa"/>
            <w:vAlign w:val="center"/>
          </w:tcPr>
          <w:p>
            <w:pPr>
              <w:spacing w:line="276" w:lineRule="auto"/>
              <w:jc w:val="both"/>
              <w:rPr>
                <w:color w:val="000000"/>
                <w:szCs w:val="21"/>
                <w:lang w:val="en-US" w:eastAsia="zh-CN"/>
              </w:rPr>
            </w:pPr>
            <w:r>
              <w:rPr>
                <w:rFonts w:hint="eastAsia"/>
                <w:color w:val="000000"/>
                <w:szCs w:val="21"/>
                <w:lang w:val="en-US" w:eastAsia="zh-CN"/>
              </w:rPr>
              <w:t>电气要求</w:t>
            </w:r>
          </w:p>
          <w:p>
            <w:pPr>
              <w:spacing w:line="276" w:lineRule="auto"/>
              <w:jc w:val="both"/>
              <w:rPr>
                <w:color w:val="000000"/>
                <w:szCs w:val="21"/>
                <w:lang w:val="en-US" w:eastAsia="zh-CN"/>
              </w:rPr>
            </w:pPr>
            <w:r>
              <w:rPr>
                <w:rFonts w:hint="eastAsia"/>
                <w:color w:val="000000"/>
                <w:szCs w:val="21"/>
                <w:lang w:val="en-US" w:eastAsia="zh-CN"/>
              </w:rPr>
              <w:t>（1）所有电气元件的材质和安装必须符合中国的相关标准和要求。</w:t>
            </w:r>
          </w:p>
          <w:p>
            <w:pPr>
              <w:spacing w:line="276" w:lineRule="auto"/>
              <w:jc w:val="both"/>
              <w:rPr>
                <w:color w:val="000000"/>
                <w:szCs w:val="21"/>
                <w:lang w:val="en-US" w:eastAsia="zh-CN"/>
              </w:rPr>
            </w:pPr>
            <w:r>
              <w:rPr>
                <w:rFonts w:hint="eastAsia"/>
                <w:color w:val="000000"/>
                <w:szCs w:val="21"/>
                <w:lang w:val="en-US" w:eastAsia="zh-CN"/>
              </w:rPr>
              <w:t>（2）所有的线路应采用密闭线槽配线。</w:t>
            </w:r>
          </w:p>
          <w:p>
            <w:pPr>
              <w:spacing w:line="276" w:lineRule="auto"/>
              <w:jc w:val="both"/>
              <w:rPr>
                <w:color w:val="000000"/>
                <w:szCs w:val="21"/>
                <w:lang w:val="en-US" w:eastAsia="zh-CN"/>
              </w:rPr>
            </w:pPr>
            <w:r>
              <w:rPr>
                <w:rFonts w:hint="eastAsia"/>
                <w:color w:val="000000"/>
                <w:szCs w:val="21"/>
                <w:lang w:val="en-US" w:eastAsia="zh-CN"/>
              </w:rPr>
              <w:t>（3）电气柜设计符合国家相关规范要求，合理、防尘、防潮、防锈，密封良好。电气元器件选用国际著名品牌产品。</w:t>
            </w:r>
          </w:p>
          <w:p>
            <w:pPr>
              <w:spacing w:line="276" w:lineRule="auto"/>
              <w:jc w:val="both"/>
              <w:rPr>
                <w:color w:val="000000"/>
                <w:szCs w:val="21"/>
                <w:lang w:val="en-US" w:eastAsia="zh-CN"/>
              </w:rPr>
            </w:pPr>
            <w:r>
              <w:rPr>
                <w:rFonts w:hint="eastAsia"/>
                <w:color w:val="000000"/>
                <w:szCs w:val="21"/>
                <w:lang w:val="en-US" w:eastAsia="zh-CN"/>
              </w:rPr>
              <w:t>（4）导线的规格应根据应用情况和载流量表决定。所有的导线应为退火铜绞线，不允许采用铝导线。</w:t>
            </w:r>
          </w:p>
          <w:p>
            <w:pPr>
              <w:spacing w:line="276" w:lineRule="auto"/>
              <w:jc w:val="both"/>
              <w:rPr>
                <w:color w:val="000000"/>
                <w:szCs w:val="21"/>
                <w:lang w:val="en-US" w:eastAsia="zh-CN"/>
              </w:rPr>
            </w:pPr>
            <w:r>
              <w:rPr>
                <w:rFonts w:hint="eastAsia"/>
                <w:color w:val="000000"/>
                <w:szCs w:val="21"/>
                <w:lang w:val="en-US" w:eastAsia="zh-CN"/>
              </w:rPr>
              <w:t>（5）电气元器件和接线编号（二端）标签要采用打印方式，不得用手写，字迹清晰，编号与提供的电气线路图编号、名称完全一致。</w:t>
            </w:r>
          </w:p>
          <w:p>
            <w:pPr>
              <w:spacing w:line="276" w:lineRule="auto"/>
              <w:jc w:val="both"/>
              <w:rPr>
                <w:sz w:val="24"/>
                <w:lang w:eastAsia="zh-CN"/>
              </w:rPr>
            </w:pPr>
            <w:r>
              <w:rPr>
                <w:rFonts w:hint="eastAsia"/>
                <w:color w:val="000000"/>
                <w:szCs w:val="21"/>
                <w:lang w:val="en-US" w:eastAsia="zh-CN"/>
              </w:rPr>
              <w:t>（6）设备的内部布线由供货商负责，包括电气柜与控制柜之间的通讯、控制连线，所有线路布置合理、整齐、美观，使用线槽（净化区域内的线槽选用不锈钢材质）加以保护。</w:t>
            </w:r>
          </w:p>
        </w:tc>
        <w:tc>
          <w:tcPr>
            <w:tcW w:w="2127"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2" w:type="dxa"/>
            <w:vAlign w:val="center"/>
          </w:tcPr>
          <w:p>
            <w:pPr>
              <w:pStyle w:val="30"/>
              <w:numPr>
                <w:ilvl w:val="0"/>
                <w:numId w:val="7"/>
              </w:numPr>
              <w:ind w:left="470" w:hanging="120" w:firstLineChars="0"/>
              <w:rPr>
                <w:rFonts w:ascii="Times New Roman" w:hAnsi="Times New Roman"/>
                <w:szCs w:val="21"/>
              </w:rPr>
            </w:pPr>
          </w:p>
        </w:tc>
        <w:tc>
          <w:tcPr>
            <w:tcW w:w="7124" w:type="dxa"/>
            <w:vAlign w:val="center"/>
          </w:tcPr>
          <w:p>
            <w:pPr>
              <w:spacing w:line="276" w:lineRule="auto"/>
              <w:jc w:val="both"/>
              <w:rPr>
                <w:color w:val="000000"/>
                <w:szCs w:val="21"/>
                <w:lang w:val="en-US" w:eastAsia="zh-CN"/>
              </w:rPr>
            </w:pPr>
            <w:r>
              <w:rPr>
                <w:color w:val="000000"/>
                <w:szCs w:val="21"/>
                <w:lang w:val="en-US" w:eastAsia="zh-CN"/>
              </w:rPr>
              <w:t>要求配置一把安装膜包用的配套力矩扳手和套筒。以及一把普通活动扳手</w:t>
            </w:r>
            <w:r>
              <w:rPr>
                <w:rFonts w:hint="eastAsia"/>
                <w:color w:val="000000"/>
                <w:szCs w:val="21"/>
                <w:lang w:val="en-US" w:eastAsia="zh-CN"/>
              </w:rPr>
              <w:t>。</w:t>
            </w:r>
          </w:p>
        </w:tc>
        <w:tc>
          <w:tcPr>
            <w:tcW w:w="2127" w:type="dxa"/>
            <w:vAlign w:val="center"/>
          </w:tcPr>
          <w:p>
            <w:pPr>
              <w:jc w:val="both"/>
              <w:rPr>
                <w:iCs/>
                <w:szCs w:val="21"/>
                <w:lang w:eastAsia="zh-CN"/>
              </w:rPr>
            </w:pPr>
            <w:r>
              <w:rPr>
                <w:iCs/>
                <w:szCs w:val="21"/>
                <w:lang w:eastAsia="zh-CN"/>
              </w:rPr>
              <w:t>关键</w:t>
            </w:r>
          </w:p>
        </w:tc>
      </w:tr>
      <w:bookmarkEnd w:id="24"/>
      <w:bookmarkEnd w:id="25"/>
      <w:permEnd w:id="19"/>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6" w:name="_Toc522107740"/>
      <w:bookmarkStart w:id="27" w:name="_Toc522716121"/>
      <w:r>
        <w:rPr>
          <w:rFonts w:ascii="Times New Roman" w:hAnsi="Times New Roman"/>
          <w:b/>
        </w:rPr>
        <w:t>运行要求</w:t>
      </w:r>
      <w:bookmarkEnd w:id="26"/>
      <w:bookmarkEnd w:id="27"/>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20" w:edGrp="everyone"/>
            <w:permEnd w:id="20"/>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lang w:eastAsia="zh-CN"/>
              </w:rPr>
            </w:pPr>
            <w:permStart w:id="21" w:edGrp="everyone"/>
          </w:p>
        </w:tc>
        <w:tc>
          <w:tcPr>
            <w:tcW w:w="9253" w:type="dxa"/>
            <w:gridSpan w:val="2"/>
            <w:vAlign w:val="center"/>
          </w:tcPr>
          <w:p>
            <w:pPr>
              <w:jc w:val="both"/>
              <w:rPr>
                <w:szCs w:val="21"/>
                <w:lang w:eastAsia="zh-CN"/>
              </w:rPr>
            </w:pPr>
            <w:r>
              <w:rPr>
                <w:rFonts w:hint="eastAsia"/>
                <w:iCs/>
                <w:color w:val="000000"/>
                <w:lang w:val="en-US" w:eastAsia="zh-CN"/>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lang w:eastAsia="zh-CN"/>
              </w:rPr>
            </w:pPr>
            <w:permStart w:id="22" w:edGrp="everyone"/>
          </w:p>
        </w:tc>
        <w:tc>
          <w:tcPr>
            <w:tcW w:w="9253" w:type="dxa"/>
            <w:gridSpan w:val="2"/>
            <w:vAlign w:val="center"/>
          </w:tcPr>
          <w:p>
            <w:pPr>
              <w:jc w:val="both"/>
              <w:rPr>
                <w:szCs w:val="21"/>
                <w:lang w:eastAsia="zh-CN"/>
              </w:rPr>
            </w:pPr>
            <w:r>
              <w:rPr>
                <w:color w:val="000000"/>
                <w:szCs w:val="21"/>
                <w:lang w:val="en-US" w:eastAsia="zh-CN"/>
              </w:rPr>
              <w:t>单次最大过滤体积应高于</w:t>
            </w:r>
            <w:r>
              <w:rPr>
                <w:rFonts w:hint="eastAsia"/>
                <w:color w:val="000000"/>
                <w:szCs w:val="21"/>
                <w:lang w:val="en-US" w:eastAsia="zh-CN"/>
              </w:rPr>
              <w:t>1</w:t>
            </w:r>
            <w:r>
              <w:rPr>
                <w:color w:val="000000"/>
                <w:szCs w:val="21"/>
                <w:lang w:val="en-US" w:eastAsia="zh-CN"/>
              </w:rPr>
              <w:t>500L，持续工作时间8h。</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3" w:edGrp="everyone"/>
          </w:p>
        </w:tc>
        <w:tc>
          <w:tcPr>
            <w:tcW w:w="7128" w:type="dxa"/>
            <w:vAlign w:val="center"/>
          </w:tcPr>
          <w:p>
            <w:pPr>
              <w:spacing w:line="276" w:lineRule="auto"/>
              <w:jc w:val="both"/>
              <w:rPr>
                <w:iCs/>
                <w:szCs w:val="21"/>
                <w:lang w:val="en-US" w:eastAsia="zh-CN"/>
              </w:rPr>
            </w:pPr>
            <w:r>
              <w:rPr>
                <w:szCs w:val="21"/>
                <w:lang w:eastAsia="zh-CN"/>
              </w:rPr>
              <w:t>泵头流量</w:t>
            </w:r>
            <w:r>
              <w:rPr>
                <w:rFonts w:hint="eastAsia"/>
                <w:szCs w:val="21"/>
                <w:lang w:eastAsia="zh-CN"/>
              </w:rPr>
              <w:t>：</w:t>
            </w:r>
            <w:r>
              <w:rPr>
                <w:szCs w:val="21"/>
                <w:lang w:eastAsia="zh-CN"/>
              </w:rPr>
              <w:t>满足不小于</w:t>
            </w:r>
            <w:r>
              <w:rPr>
                <w:rFonts w:hint="eastAsia"/>
                <w:szCs w:val="21"/>
                <w:lang w:eastAsia="zh-CN"/>
              </w:rPr>
              <w:t>120</w:t>
            </w:r>
            <w:r>
              <w:rPr>
                <w:szCs w:val="21"/>
                <w:lang w:eastAsia="zh-CN"/>
              </w:rPr>
              <w:t>L/min</w:t>
            </w:r>
          </w:p>
        </w:tc>
        <w:tc>
          <w:tcPr>
            <w:tcW w:w="2125" w:type="dxa"/>
            <w:vAlign w:val="center"/>
          </w:tcPr>
          <w:p>
            <w:pPr>
              <w:jc w:val="both"/>
              <w:rPr>
                <w:iCs/>
                <w:szCs w:val="21"/>
                <w:lang w:eastAsia="zh-CN"/>
              </w:rPr>
            </w:pPr>
            <w:r>
              <w:rPr>
                <w:iCs/>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4" w:edGrp="everyone"/>
          </w:p>
        </w:tc>
        <w:tc>
          <w:tcPr>
            <w:tcW w:w="7128" w:type="dxa"/>
            <w:vAlign w:val="center"/>
          </w:tcPr>
          <w:p>
            <w:pPr>
              <w:spacing w:line="276" w:lineRule="auto"/>
              <w:jc w:val="both"/>
              <w:rPr>
                <w:iCs/>
                <w:szCs w:val="21"/>
                <w:lang w:val="en-US" w:eastAsia="zh-CN"/>
              </w:rPr>
            </w:pPr>
            <w:r>
              <w:rPr>
                <w:szCs w:val="21"/>
              </w:rPr>
              <w:t>超滤膜孔径</w:t>
            </w:r>
            <w:r>
              <w:rPr>
                <w:rFonts w:hint="eastAsia"/>
                <w:szCs w:val="21"/>
                <w:lang w:eastAsia="zh-CN"/>
              </w:rPr>
              <w:t>：</w:t>
            </w:r>
            <w:r>
              <w:rPr>
                <w:szCs w:val="21"/>
              </w:rPr>
              <w:t>50Kda</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val="en-US" w:eastAsia="zh-CN"/>
              </w:rPr>
            </w:pPr>
            <w:r>
              <w:rPr>
                <w:szCs w:val="21"/>
              </w:rPr>
              <w:t>压力传感器量程</w:t>
            </w:r>
            <w:r>
              <w:rPr>
                <w:rFonts w:hint="eastAsia"/>
                <w:szCs w:val="21"/>
                <w:lang w:eastAsia="zh-CN"/>
              </w:rPr>
              <w:t>：</w:t>
            </w:r>
            <w:r>
              <w:rPr>
                <w:szCs w:val="21"/>
              </w:rPr>
              <w:t>0~</w:t>
            </w:r>
            <w:r>
              <w:rPr>
                <w:rFonts w:hint="eastAsia"/>
                <w:szCs w:val="21"/>
                <w:lang w:eastAsia="zh-CN"/>
              </w:rPr>
              <w:t>10</w:t>
            </w:r>
            <w:r>
              <w:rPr>
                <w:szCs w:val="21"/>
              </w:rPr>
              <w:t xml:space="preserve"> barg</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val="en-US" w:eastAsia="zh-CN"/>
              </w:rPr>
            </w:pPr>
            <w:r>
              <w:rPr>
                <w:szCs w:val="21"/>
              </w:rPr>
              <w:t>压力传感器精度</w:t>
            </w:r>
            <w:r>
              <w:rPr>
                <w:rFonts w:hint="eastAsia"/>
                <w:szCs w:val="21"/>
                <w:lang w:eastAsia="zh-CN"/>
              </w:rPr>
              <w:t>：</w:t>
            </w:r>
            <w:r>
              <w:rPr>
                <w:szCs w:val="21"/>
              </w:rPr>
              <w:t>±0.5%</w:t>
            </w:r>
          </w:p>
        </w:tc>
        <w:tc>
          <w:tcPr>
            <w:tcW w:w="2125" w:type="dxa"/>
            <w:vAlign w:val="center"/>
          </w:tcPr>
          <w:p>
            <w:pPr>
              <w:jc w:val="both"/>
              <w:rPr>
                <w:iCs/>
                <w:szCs w:val="21"/>
                <w:lang w:eastAsia="zh-CN"/>
              </w:rPr>
            </w:pPr>
            <w:r>
              <w:rPr>
                <w:iCs/>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5" w:edGrp="everyone"/>
          </w:p>
        </w:tc>
        <w:tc>
          <w:tcPr>
            <w:tcW w:w="7128" w:type="dxa"/>
            <w:vAlign w:val="center"/>
          </w:tcPr>
          <w:p>
            <w:pPr>
              <w:spacing w:line="276" w:lineRule="auto"/>
              <w:jc w:val="both"/>
              <w:rPr>
                <w:iCs/>
                <w:color w:val="000000"/>
                <w:szCs w:val="21"/>
                <w:lang w:eastAsia="zh-CN"/>
              </w:rPr>
            </w:pPr>
            <w:r>
              <w:rPr>
                <w:szCs w:val="21"/>
                <w:lang w:eastAsia="zh-CN"/>
              </w:rPr>
              <w:t>夹具最少可夹持</w:t>
            </w:r>
            <w:r>
              <w:rPr>
                <w:rFonts w:hint="eastAsia"/>
                <w:szCs w:val="21"/>
                <w:lang w:eastAsia="zh-CN"/>
              </w:rPr>
              <w:t>8</w:t>
            </w:r>
            <w:r>
              <w:rPr>
                <w:szCs w:val="21"/>
                <w:lang w:eastAsia="zh-CN"/>
              </w:rPr>
              <w:t>块</w:t>
            </w:r>
            <w:r>
              <w:rPr>
                <w:rFonts w:hint="eastAsia"/>
                <w:szCs w:val="21"/>
                <w:lang w:eastAsia="zh-CN"/>
              </w:rPr>
              <w:t>2</w:t>
            </w:r>
            <w:r>
              <w:rPr>
                <w:szCs w:val="21"/>
                <w:lang w:eastAsia="zh-CN"/>
              </w:rPr>
              <w:t>.</w:t>
            </w:r>
            <w:r>
              <w:rPr>
                <w:rFonts w:hint="eastAsia"/>
                <w:szCs w:val="21"/>
                <w:lang w:eastAsia="zh-CN"/>
              </w:rPr>
              <w:t>5</w:t>
            </w:r>
            <w:r>
              <w:rPr>
                <w:szCs w:val="21"/>
                <w:lang w:eastAsia="zh-CN"/>
              </w:rPr>
              <w:t>㎡超滤膜包</w:t>
            </w:r>
            <w:r>
              <w:rPr>
                <w:rFonts w:hint="eastAsia"/>
                <w:szCs w:val="21"/>
                <w:lang w:eastAsia="zh-CN"/>
              </w:rPr>
              <w:t>，工艺使用4-6块</w:t>
            </w:r>
          </w:p>
        </w:tc>
        <w:tc>
          <w:tcPr>
            <w:tcW w:w="2125" w:type="dxa"/>
            <w:vAlign w:val="center"/>
          </w:tcPr>
          <w:p>
            <w:pPr>
              <w:jc w:val="both"/>
              <w:rPr>
                <w:iCs/>
                <w:color w:val="000000"/>
                <w:szCs w:val="21"/>
                <w:lang w:eastAsia="zh-CN"/>
              </w:rPr>
            </w:pPr>
            <w:r>
              <w:rPr>
                <w:iCs/>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iCs/>
                <w:color w:val="000000"/>
                <w:szCs w:val="21"/>
                <w:lang w:eastAsia="zh-CN"/>
              </w:rPr>
            </w:pPr>
            <w:r>
              <w:rPr>
                <w:szCs w:val="21"/>
                <w:lang w:eastAsia="zh-CN"/>
              </w:rPr>
              <w:t>膜包竖直放置于夹具上，流道</w:t>
            </w:r>
            <w:r>
              <w:rPr>
                <w:rFonts w:hint="eastAsia"/>
                <w:szCs w:val="21"/>
                <w:lang w:eastAsia="zh-CN"/>
              </w:rPr>
              <w:t>与</w:t>
            </w:r>
            <w:r>
              <w:rPr>
                <w:szCs w:val="21"/>
                <w:lang w:eastAsia="zh-CN"/>
              </w:rPr>
              <w:t>膜包开孔完全吻合，下口为进液口，上口为回流液口，便于膜包的润湿及液体排放。</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szCs w:val="21"/>
                <w:lang w:eastAsia="zh-CN"/>
              </w:rPr>
              <w:t>管道</w:t>
            </w:r>
            <w:r>
              <w:rPr>
                <w:szCs w:val="21"/>
                <w:lang w:eastAsia="zh-CN"/>
              </w:rPr>
              <w:t>设计合理</w:t>
            </w:r>
            <w:r>
              <w:rPr>
                <w:rFonts w:hint="eastAsia"/>
                <w:szCs w:val="21"/>
                <w:lang w:eastAsia="zh-CN"/>
              </w:rPr>
              <w:t>，</w:t>
            </w:r>
            <w:r>
              <w:rPr>
                <w:szCs w:val="21"/>
                <w:lang w:eastAsia="zh-CN"/>
              </w:rPr>
              <w:t>无多余管道和清洗死角</w:t>
            </w:r>
            <w:r>
              <w:rPr>
                <w:rFonts w:hint="eastAsia"/>
                <w:szCs w:val="21"/>
                <w:lang w:eastAsia="zh-CN"/>
              </w:rPr>
              <w:t>，</w:t>
            </w:r>
            <w:r>
              <w:rPr>
                <w:szCs w:val="21"/>
                <w:lang w:eastAsia="zh-CN"/>
              </w:rPr>
              <w:t>转弯处均为圆弧连接</w:t>
            </w:r>
            <w:r>
              <w:rPr>
                <w:rFonts w:hint="eastAsia"/>
                <w:szCs w:val="21"/>
                <w:lang w:eastAsia="zh-CN"/>
              </w:rPr>
              <w:t>。</w:t>
            </w:r>
          </w:p>
        </w:tc>
        <w:tc>
          <w:tcPr>
            <w:tcW w:w="2125" w:type="dxa"/>
            <w:vAlign w:val="center"/>
          </w:tcPr>
          <w:p>
            <w:pPr>
              <w:jc w:val="both"/>
              <w:rPr>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tbl>
            <w:tblPr>
              <w:tblStyle w:val="23"/>
              <w:tblW w:w="69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6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2" w:hRule="atLeast"/>
              </w:trPr>
              <w:tc>
                <w:tcPr>
                  <w:tcW w:w="6912" w:type="dxa"/>
                  <w:vAlign w:val="center"/>
                </w:tcPr>
                <w:p>
                  <w:pPr>
                    <w:snapToGrid w:val="0"/>
                    <w:rPr>
                      <w:rFonts w:hAnsi="宋体"/>
                      <w:b/>
                      <w:szCs w:val="21"/>
                    </w:rPr>
                  </w:pPr>
                  <w:r>
                    <w:rPr>
                      <w:rFonts w:hint="eastAsia" w:hAnsi="宋体"/>
                      <w:bCs/>
                      <w:szCs w:val="21"/>
                    </w:rPr>
                    <w:t>配置要求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12" w:hRule="atLeast"/>
              </w:trPr>
              <w:tc>
                <w:tcPr>
                  <w:tcW w:w="6912" w:type="dxa"/>
                  <w:vAlign w:val="center"/>
                </w:tcPr>
                <w:p>
                  <w:pPr>
                    <w:numPr>
                      <w:ilvl w:val="0"/>
                      <w:numId w:val="9"/>
                    </w:numPr>
                    <w:snapToGrid w:val="0"/>
                    <w:rPr>
                      <w:rFonts w:hAnsi="宋体"/>
                      <w:szCs w:val="21"/>
                      <w:lang w:eastAsia="zh-CN"/>
                    </w:rPr>
                  </w:pPr>
                  <w:r>
                    <w:rPr>
                      <w:rFonts w:hint="eastAsia" w:hAnsi="宋体"/>
                      <w:szCs w:val="21"/>
                      <w:lang w:eastAsia="zh-CN"/>
                    </w:rPr>
                    <w:t>蝶阀阀门、球阀和管配件等：材质为316不锈钢；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2" w:hRule="atLeast"/>
              </w:trPr>
              <w:tc>
                <w:tcPr>
                  <w:tcW w:w="6912" w:type="dxa"/>
                  <w:vAlign w:val="center"/>
                </w:tcPr>
                <w:p>
                  <w:pPr>
                    <w:numPr>
                      <w:ilvl w:val="0"/>
                      <w:numId w:val="9"/>
                    </w:numPr>
                    <w:snapToGrid w:val="0"/>
                    <w:rPr>
                      <w:rFonts w:hAnsi="宋体"/>
                      <w:szCs w:val="21"/>
                      <w:lang w:eastAsia="zh-CN"/>
                    </w:rPr>
                  </w:pPr>
                  <w:r>
                    <w:rPr>
                      <w:rFonts w:hint="eastAsia" w:hAnsi="宋体"/>
                      <w:szCs w:val="21"/>
                      <w:lang w:eastAsia="zh-CN"/>
                    </w:rPr>
                    <w:t>温度传感器：材质为</w:t>
                  </w:r>
                  <w:r>
                    <w:rPr>
                      <w:rFonts w:hAnsi="宋体"/>
                      <w:szCs w:val="21"/>
                      <w:lang w:eastAsia="zh-CN"/>
                    </w:rPr>
                    <w:t>316L</w:t>
                  </w:r>
                  <w:r>
                    <w:rPr>
                      <w:rFonts w:hint="eastAsia" w:hAnsi="宋体"/>
                      <w:szCs w:val="21"/>
                      <w:lang w:eastAsia="zh-CN"/>
                    </w:rPr>
                    <w:t>，德国</w:t>
                  </w:r>
                  <w:r>
                    <w:rPr>
                      <w:rFonts w:hAnsi="宋体"/>
                      <w:szCs w:val="21"/>
                      <w:lang w:eastAsia="zh-CN"/>
                    </w:rPr>
                    <w:t>E+H</w:t>
                  </w:r>
                  <w:r>
                    <w:rPr>
                      <w:rFonts w:hint="eastAsia" w:hAnsi="宋体"/>
                      <w:szCs w:val="21"/>
                      <w:lang w:eastAsia="zh-CN"/>
                    </w:rPr>
                    <w:t>或国际知名品牌；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2" w:hRule="atLeast"/>
              </w:trPr>
              <w:tc>
                <w:tcPr>
                  <w:tcW w:w="6912" w:type="dxa"/>
                  <w:vAlign w:val="center"/>
                </w:tcPr>
                <w:p>
                  <w:pPr>
                    <w:numPr>
                      <w:ilvl w:val="0"/>
                      <w:numId w:val="9"/>
                    </w:numPr>
                    <w:snapToGrid w:val="0"/>
                    <w:rPr>
                      <w:rFonts w:hAnsi="宋体"/>
                      <w:szCs w:val="21"/>
                      <w:lang w:eastAsia="zh-CN"/>
                    </w:rPr>
                  </w:pPr>
                  <w:r>
                    <w:rPr>
                      <w:rFonts w:hint="eastAsia" w:hAnsi="宋体"/>
                      <w:szCs w:val="21"/>
                      <w:lang w:eastAsia="zh-CN"/>
                    </w:rPr>
                    <w:t>压力传感器：测量范围</w:t>
                  </w:r>
                  <w:r>
                    <w:rPr>
                      <w:rFonts w:hAnsi="宋体"/>
                      <w:szCs w:val="21"/>
                      <w:lang w:eastAsia="zh-CN"/>
                    </w:rPr>
                    <w:t>0-10bar</w:t>
                  </w:r>
                  <w:r>
                    <w:rPr>
                      <w:rFonts w:hint="eastAsia" w:hAnsi="宋体"/>
                      <w:szCs w:val="21"/>
                      <w:lang w:eastAsia="zh-CN"/>
                    </w:rPr>
                    <w:t>，信号输出</w:t>
                  </w:r>
                  <w:r>
                    <w:rPr>
                      <w:rFonts w:hAnsi="宋体"/>
                      <w:szCs w:val="21"/>
                      <w:lang w:eastAsia="zh-CN"/>
                    </w:rPr>
                    <w:t>4-20 mA</w:t>
                  </w:r>
                  <w:r>
                    <w:rPr>
                      <w:rFonts w:hint="eastAsia" w:hAnsi="宋体"/>
                      <w:szCs w:val="21"/>
                      <w:lang w:eastAsia="zh-CN"/>
                    </w:rPr>
                    <w:t>，材质为</w:t>
                  </w:r>
                  <w:r>
                    <w:rPr>
                      <w:rFonts w:hAnsi="宋体"/>
                      <w:szCs w:val="21"/>
                      <w:lang w:eastAsia="zh-CN"/>
                    </w:rPr>
                    <w:t xml:space="preserve">316L, </w:t>
                  </w:r>
                  <w:r>
                    <w:rPr>
                      <w:rFonts w:hint="eastAsia" w:hAnsi="宋体"/>
                      <w:szCs w:val="21"/>
                      <w:lang w:eastAsia="zh-CN"/>
                    </w:rPr>
                    <w:t>德国</w:t>
                  </w:r>
                  <w:r>
                    <w:rPr>
                      <w:rFonts w:hAnsi="宋体"/>
                      <w:szCs w:val="21"/>
                      <w:lang w:eastAsia="zh-CN"/>
                    </w:rPr>
                    <w:t>E+H</w:t>
                  </w:r>
                  <w:r>
                    <w:rPr>
                      <w:rFonts w:hint="eastAsia" w:hAnsi="宋体"/>
                      <w:szCs w:val="21"/>
                      <w:lang w:eastAsia="zh-CN"/>
                    </w:rPr>
                    <w:t>或国际知名品牌；</w:t>
                  </w:r>
                </w:p>
                <w:p>
                  <w:pPr>
                    <w:numPr>
                      <w:ilvl w:val="0"/>
                      <w:numId w:val="9"/>
                    </w:numPr>
                    <w:snapToGrid w:val="0"/>
                    <w:rPr>
                      <w:rFonts w:hAnsi="宋体"/>
                      <w:szCs w:val="21"/>
                      <w:lang w:eastAsia="zh-CN"/>
                    </w:rPr>
                  </w:pPr>
                  <w:r>
                    <w:rPr>
                      <w:rFonts w:hint="eastAsia" w:hAnsi="宋体"/>
                      <w:szCs w:val="21"/>
                      <w:lang w:eastAsia="zh-CN"/>
                    </w:rPr>
                    <w:t>电导、pH：瑞士Hamilton品牌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2" w:hRule="atLeast"/>
              </w:trPr>
              <w:tc>
                <w:tcPr>
                  <w:tcW w:w="6912" w:type="dxa"/>
                  <w:vAlign w:val="center"/>
                </w:tcPr>
                <w:p>
                  <w:pPr>
                    <w:numPr>
                      <w:ilvl w:val="0"/>
                      <w:numId w:val="9"/>
                    </w:numPr>
                    <w:snapToGrid w:val="0"/>
                    <w:rPr>
                      <w:rFonts w:hAnsi="宋体"/>
                      <w:szCs w:val="21"/>
                      <w:lang w:eastAsia="zh-CN"/>
                    </w:rPr>
                  </w:pPr>
                  <w:r>
                    <w:rPr>
                      <w:rFonts w:hint="eastAsia" w:hAnsi="宋体"/>
                      <w:szCs w:val="21"/>
                      <w:lang w:eastAsia="zh-CN"/>
                    </w:rPr>
                    <w:t>变频器：</w:t>
                  </w:r>
                  <w:r>
                    <w:rPr>
                      <w:rFonts w:hAnsi="宋体"/>
                      <w:szCs w:val="21"/>
                      <w:lang w:eastAsia="zh-CN"/>
                    </w:rPr>
                    <w:t>ABB</w:t>
                  </w:r>
                  <w:r>
                    <w:rPr>
                      <w:rFonts w:hint="eastAsia" w:hAnsi="宋体"/>
                      <w:szCs w:val="21"/>
                      <w:lang w:eastAsia="zh-CN"/>
                    </w:rPr>
                    <w:t>或富士；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2" w:hRule="atLeast"/>
              </w:trPr>
              <w:tc>
                <w:tcPr>
                  <w:tcW w:w="6912" w:type="dxa"/>
                  <w:vAlign w:val="center"/>
                </w:tcPr>
                <w:p>
                  <w:pPr>
                    <w:numPr>
                      <w:ilvl w:val="0"/>
                      <w:numId w:val="9"/>
                    </w:numPr>
                    <w:snapToGrid w:val="0"/>
                    <w:rPr>
                      <w:rFonts w:hAnsi="宋体"/>
                      <w:szCs w:val="21"/>
                      <w:lang w:eastAsia="zh-CN"/>
                    </w:rPr>
                  </w:pPr>
                  <w:r>
                    <w:rPr>
                      <w:szCs w:val="21"/>
                      <w:lang w:val="en-US" w:eastAsia="zh-CN"/>
                    </w:rPr>
                    <w:t>编程逻辑控制器（PLC）</w:t>
                  </w:r>
                  <w:r>
                    <w:rPr>
                      <w:rFonts w:hint="eastAsia" w:hAnsi="宋体"/>
                      <w:szCs w:val="21"/>
                      <w:lang w:eastAsia="zh-CN"/>
                    </w:rPr>
                    <w:t>：西门子；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2" w:hRule="atLeast"/>
              </w:trPr>
              <w:tc>
                <w:tcPr>
                  <w:tcW w:w="6912" w:type="dxa"/>
                  <w:vAlign w:val="center"/>
                </w:tcPr>
                <w:p>
                  <w:pPr>
                    <w:numPr>
                      <w:ilvl w:val="0"/>
                      <w:numId w:val="9"/>
                    </w:numPr>
                    <w:snapToGrid w:val="0"/>
                    <w:rPr>
                      <w:rFonts w:hAnsi="宋体"/>
                      <w:szCs w:val="21"/>
                      <w:lang w:eastAsia="zh-CN"/>
                    </w:rPr>
                  </w:pPr>
                  <w:r>
                    <w:rPr>
                      <w:rFonts w:hint="eastAsia" w:hAnsi="宋体"/>
                      <w:szCs w:val="21"/>
                      <w:lang w:eastAsia="zh-CN"/>
                    </w:rPr>
                    <w:t>电气元器件：</w:t>
                  </w:r>
                  <w:r>
                    <w:rPr>
                      <w:rFonts w:hint="eastAsia" w:hAnsi="宋体"/>
                      <w:color w:val="000000"/>
                      <w:szCs w:val="21"/>
                      <w:lang w:eastAsia="zh-CN"/>
                    </w:rPr>
                    <w:t>施耐德或西门子</w:t>
                  </w:r>
                  <w:r>
                    <w:rPr>
                      <w:rFonts w:hint="eastAsia" w:hAnsi="宋体"/>
                      <w:szCs w:val="21"/>
                      <w:lang w:eastAsia="zh-CN"/>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2" w:hRule="atLeast"/>
              </w:trPr>
              <w:tc>
                <w:tcPr>
                  <w:tcW w:w="6912" w:type="dxa"/>
                  <w:vAlign w:val="center"/>
                </w:tcPr>
                <w:p>
                  <w:pPr>
                    <w:numPr>
                      <w:ilvl w:val="0"/>
                      <w:numId w:val="9"/>
                    </w:numPr>
                    <w:snapToGrid w:val="0"/>
                    <w:rPr>
                      <w:rFonts w:hAnsi="宋体"/>
                      <w:szCs w:val="21"/>
                      <w:lang w:eastAsia="zh-CN"/>
                    </w:rPr>
                  </w:pPr>
                  <w:r>
                    <w:rPr>
                      <w:rFonts w:hint="eastAsia" w:hAnsi="宋体"/>
                      <w:szCs w:val="21"/>
                      <w:lang w:eastAsia="zh-CN"/>
                    </w:rPr>
                    <w:t>触摸屏：15寸彩色液晶显示屏，西门子；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2" w:hRule="atLeast"/>
              </w:trPr>
              <w:tc>
                <w:tcPr>
                  <w:tcW w:w="6912" w:type="dxa"/>
                  <w:vAlign w:val="center"/>
                </w:tcPr>
                <w:p>
                  <w:pPr>
                    <w:numPr>
                      <w:ilvl w:val="0"/>
                      <w:numId w:val="9"/>
                    </w:numPr>
                    <w:snapToGrid w:val="0"/>
                    <w:rPr>
                      <w:rFonts w:hAnsi="宋体"/>
                      <w:szCs w:val="21"/>
                      <w:lang w:eastAsia="zh-CN"/>
                    </w:rPr>
                  </w:pPr>
                  <w:r>
                    <w:rPr>
                      <w:rFonts w:hint="eastAsia" w:hAnsi="宋体"/>
                      <w:szCs w:val="21"/>
                      <w:lang w:eastAsia="zh-CN"/>
                    </w:rPr>
                    <w:t>控制柜：国内知名品牌；</w:t>
                  </w:r>
                </w:p>
              </w:tc>
            </w:tr>
          </w:tbl>
          <w:p>
            <w:pPr>
              <w:rPr>
                <w:szCs w:val="21"/>
                <w:lang w:eastAsia="zh-CN"/>
              </w:rPr>
            </w:pPr>
          </w:p>
        </w:tc>
        <w:tc>
          <w:tcPr>
            <w:tcW w:w="2125" w:type="dxa"/>
            <w:vAlign w:val="center"/>
          </w:tcPr>
          <w:p>
            <w:pPr>
              <w:jc w:val="both"/>
              <w:rPr>
                <w:iCs/>
                <w:szCs w:val="21"/>
                <w:lang w:eastAsia="zh-CN"/>
              </w:rPr>
            </w:pPr>
            <w:r>
              <w:rPr>
                <w:iCs/>
                <w:szCs w:val="21"/>
                <w:lang w:eastAsia="zh-CN"/>
              </w:rPr>
              <w:t>关键</w:t>
            </w:r>
          </w:p>
        </w:tc>
      </w:tr>
      <w:permEnd w:id="25"/>
    </w:tbl>
    <w:p>
      <w:pPr>
        <w:pStyle w:val="30"/>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3400317"/>
      <w:bookmarkStart w:id="31" w:name="_Toc483227237"/>
      <w:bookmarkStart w:id="32" w:name="_Toc481702480"/>
      <w:bookmarkStart w:id="33" w:name="_Toc482359946"/>
      <w:bookmarkStart w:id="34" w:name="_Toc482360291"/>
      <w:bookmarkStart w:id="35" w:name="_Toc482369815"/>
      <w:bookmarkStart w:id="36" w:name="_Toc482370071"/>
      <w:bookmarkStart w:id="37" w:name="_Toc482370767"/>
      <w:bookmarkStart w:id="38" w:name="_Toc482625289"/>
      <w:bookmarkStart w:id="39" w:name="_Toc482370359"/>
      <w:bookmarkStart w:id="40" w:name="_Toc482717202"/>
      <w:bookmarkStart w:id="41" w:name="_Toc482370151"/>
      <w:r>
        <w:rPr>
          <w:rFonts w:ascii="Times New Roman" w:hAnsi="Times New Roman"/>
          <w:b/>
        </w:rPr>
        <w:t>电气、自动控制要求</w:t>
      </w:r>
      <w:bookmarkEnd w:id="28"/>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7"/>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6" w:edGrp="everyone"/>
            <w:permEnd w:id="26"/>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gridSpan w:val="2"/>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10"/>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7" w:edGrp="everyone"/>
          </w:p>
        </w:tc>
        <w:tc>
          <w:tcPr>
            <w:tcW w:w="7128" w:type="dxa"/>
            <w:vAlign w:val="center"/>
          </w:tcPr>
          <w:p>
            <w:pPr>
              <w:spacing w:line="276" w:lineRule="auto"/>
              <w:jc w:val="both"/>
              <w:rPr>
                <w:iCs/>
                <w:color w:val="000000"/>
                <w:szCs w:val="21"/>
                <w:lang w:eastAsia="zh-CN"/>
              </w:rPr>
            </w:pPr>
            <w:r>
              <w:rPr>
                <w:rFonts w:hint="eastAsia"/>
                <w:szCs w:val="21"/>
                <w:lang w:eastAsia="zh-CN"/>
              </w:rPr>
              <w:t>系统可自动采集并记录工艺过程控制数据，如进口、回流与透过的压力，回流及透出流量，透出端电导及PH，回流电导及PH，罐内温度与体积，回流气动调节隔膜阀的信号等等参数，同时可计算相应TMP和△P值。</w:t>
            </w:r>
          </w:p>
        </w:tc>
        <w:tc>
          <w:tcPr>
            <w:tcW w:w="2125" w:type="dxa"/>
            <w:gridSpan w:val="2"/>
            <w:vAlign w:val="center"/>
          </w:tcPr>
          <w:p>
            <w:pPr>
              <w:jc w:val="both"/>
              <w:rPr>
                <w:iCs/>
                <w:color w:val="000000"/>
                <w:szCs w:val="21"/>
                <w:lang w:eastAsia="zh-CN"/>
              </w:rPr>
            </w:pPr>
            <w:r>
              <w:rPr>
                <w:iCs/>
                <w:color w:val="000000"/>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8" w:edGrp="everyone"/>
          </w:p>
        </w:tc>
        <w:tc>
          <w:tcPr>
            <w:tcW w:w="7128" w:type="dxa"/>
            <w:vAlign w:val="center"/>
          </w:tcPr>
          <w:p>
            <w:pPr>
              <w:spacing w:line="276" w:lineRule="auto"/>
              <w:jc w:val="both"/>
              <w:rPr>
                <w:iCs/>
                <w:color w:val="000000"/>
                <w:szCs w:val="21"/>
                <w:lang w:eastAsia="zh-CN"/>
              </w:rPr>
            </w:pPr>
            <w:r>
              <w:rPr>
                <w:rFonts w:hint="eastAsia"/>
                <w:lang w:eastAsia="zh-CN"/>
              </w:rPr>
              <w:t>操作软件能利用事先设置的参数实现TMP、△P自动控制调节的功能。其余超滤浓缩、置换、物料收集、清洗、SIP等工序操作均可由PC软件控制自动操作。</w:t>
            </w:r>
          </w:p>
        </w:tc>
        <w:tc>
          <w:tcPr>
            <w:tcW w:w="2125" w:type="dxa"/>
            <w:gridSpan w:val="2"/>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自动记录生产全过程中的数据并产生实时图谱，图谱可手动调整显示比例，即时保存可追溯，数据真实可靠，不可更改。</w:t>
            </w:r>
          </w:p>
        </w:tc>
        <w:tc>
          <w:tcPr>
            <w:tcW w:w="2125" w:type="dxa"/>
            <w:gridSpan w:val="2"/>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系统流路图 ：在操作界面上有整个系统的流路图，而且在运行的时候有不同的颜色流路来显示真实的运行的路径。以确保在进行操作时，可以及时发现操作失误。操作界面包括运行界面和方法界面，运行界面可实时且同时显示在线检测数据、相应数值变化图谱、流路图及log记录区。</w:t>
            </w:r>
          </w:p>
        </w:tc>
        <w:tc>
          <w:tcPr>
            <w:tcW w:w="2125" w:type="dxa"/>
            <w:gridSpan w:val="2"/>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监控界面应包括设备运行状态（如：准备、运行、停机等）、设备运行过程中的实时在线检测的数据（如：压力、流速等）及相应数值变化曲线、可以对进液压力、流速和透膜压等参数进行报警设置 。</w:t>
            </w:r>
          </w:p>
        </w:tc>
        <w:tc>
          <w:tcPr>
            <w:tcW w:w="2125" w:type="dxa"/>
            <w:gridSpan w:val="2"/>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具备开机自检功能。记录所有操作过程，如自动过程中的所有操作、手动过程中的泵启停、阀门开关和调节、流速调整等。</w:t>
            </w:r>
          </w:p>
        </w:tc>
        <w:tc>
          <w:tcPr>
            <w:tcW w:w="2125" w:type="dxa"/>
            <w:gridSpan w:val="2"/>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具备灵活的方法编辑功能，可根据工艺流程编辑方法并保存，直接调用自动运行。自动方法运行过程中可中断和改变正在运行的程序进程。</w:t>
            </w:r>
          </w:p>
        </w:tc>
        <w:tc>
          <w:tcPr>
            <w:tcW w:w="2125" w:type="dxa"/>
            <w:gridSpan w:val="2"/>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超滤系统应可自动进行CIP清洗过程，自动控制CIP清洗进液、回流、透过端</w:t>
            </w:r>
          </w:p>
        </w:tc>
        <w:tc>
          <w:tcPr>
            <w:tcW w:w="2125" w:type="dxa"/>
            <w:gridSpan w:val="2"/>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控制软件应自主研发，非组态软件，英文界面可切换，升级包格式简单，一键安装，便于升级。控制系统可以预设置程序，能够自动进行CIP清洗、洗滤、洗膜等操作，并可以自主修改程序设计；可以自主添加需求程序。</w:t>
            </w:r>
          </w:p>
        </w:tc>
        <w:tc>
          <w:tcPr>
            <w:tcW w:w="2125" w:type="dxa"/>
            <w:gridSpan w:val="2"/>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半自动超滤系统，由可编程逻辑控制器（PLC）控制，带数据存储功能、报表打印功能。投标时请提供存储和打印功能的实现方式。</w:t>
            </w:r>
          </w:p>
        </w:tc>
        <w:tc>
          <w:tcPr>
            <w:tcW w:w="2125" w:type="dxa"/>
            <w:gridSpan w:val="2"/>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操作软件界面友好，简单易学，可利用事先设置的参数实现TMP自动控制调节的功能。其余超滤浓缩、置换、清洗各工序操作均可由PC提示自动开关阀，并确认后启动泵完成。PC为西门子品牌，触摸屏，15英寸。提供操作界面图示例。</w:t>
            </w:r>
          </w:p>
        </w:tc>
        <w:tc>
          <w:tcPr>
            <w:tcW w:w="2125" w:type="dxa"/>
            <w:gridSpan w:val="2"/>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系统具有锁屏保护功能。当出现锁屏保护时，再次进入界面需重新进行用户登入。</w:t>
            </w:r>
          </w:p>
        </w:tc>
        <w:tc>
          <w:tcPr>
            <w:tcW w:w="2125" w:type="dxa"/>
            <w:gridSpan w:val="2"/>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意外停电时系统停止运行，记录并存储停电时的数据和运行状态信息。来电时操作者可手动选择是否继续断电前状态运行。</w:t>
            </w:r>
          </w:p>
        </w:tc>
        <w:tc>
          <w:tcPr>
            <w:tcW w:w="2125" w:type="dxa"/>
            <w:gridSpan w:val="2"/>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系统具有报警功能，可以根据设定的系统压力（TMP、△P、进液、回流）、紫外、pH、电导等参数进行报警、暂停。</w:t>
            </w:r>
          </w:p>
        </w:tc>
        <w:tc>
          <w:tcPr>
            <w:tcW w:w="2125" w:type="dxa"/>
            <w:gridSpan w:val="2"/>
            <w:vAlign w:val="center"/>
          </w:tcPr>
          <w:p>
            <w:pPr>
              <w:jc w:val="both"/>
              <w:rPr>
                <w:iCs/>
                <w:szCs w:val="21"/>
                <w:lang w:eastAsia="zh-CN"/>
              </w:rPr>
            </w:pPr>
            <w:r>
              <w:rPr>
                <w:iCs/>
                <w:szCs w:val="21"/>
                <w:lang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10"/>
              </w:numPr>
              <w:ind w:firstLineChars="0"/>
              <w:rPr>
                <w:rFonts w:ascii="Times New Roman" w:hAnsi="Times New Roman"/>
                <w:szCs w:val="21"/>
              </w:rPr>
            </w:pPr>
          </w:p>
        </w:tc>
        <w:tc>
          <w:tcPr>
            <w:tcW w:w="9253" w:type="dxa"/>
            <w:gridSpan w:val="3"/>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9" w:edGrp="everyone"/>
          </w:p>
        </w:tc>
        <w:tc>
          <w:tcPr>
            <w:tcW w:w="7155" w:type="dxa"/>
            <w:gridSpan w:val="2"/>
            <w:vAlign w:val="center"/>
          </w:tcPr>
          <w:p>
            <w:pPr>
              <w:spacing w:line="276" w:lineRule="auto"/>
              <w:jc w:val="both"/>
              <w:rPr>
                <w:lang w:eastAsia="zh-CN"/>
              </w:rPr>
            </w:pPr>
            <w:r>
              <w:rPr>
                <w:rFonts w:hint="eastAsia"/>
                <w:lang w:eastAsia="zh-CN"/>
              </w:rPr>
              <w:t>安装的控制系统符合21 CFR Part 11和GAMP5的规定。控制系统至少三级密码管理，管理员，操作者，审计人员。每级权限可设置多个用户，每个用户可设置至少8位数独立密码保护。参数修改、时间戳可通过权限管理。具备密码强制更换时限、自动锁屏/登出时限、最大登陆尝试次数设置功能。</w:t>
            </w:r>
          </w:p>
        </w:tc>
        <w:tc>
          <w:tcPr>
            <w:tcW w:w="2098"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55" w:type="dxa"/>
            <w:gridSpan w:val="2"/>
            <w:vAlign w:val="center"/>
          </w:tcPr>
          <w:p>
            <w:pPr>
              <w:spacing w:line="276" w:lineRule="auto"/>
              <w:jc w:val="both"/>
              <w:rPr>
                <w:lang w:eastAsia="zh-CN"/>
              </w:rPr>
            </w:pPr>
            <w:r>
              <w:rPr>
                <w:rFonts w:hint="eastAsia"/>
                <w:szCs w:val="21"/>
                <w:lang w:val="en-US" w:eastAsia="zh-CN"/>
              </w:rPr>
              <w:t>系统管理员应可以重置密码，系统管理员应可以激活锁住的账户，系统应可以允许用户和管理员更改自己的密码，系统应可以允许用户和管理员更改自己的密码，系统应可设置密码效期，如3个月，系统应可提示密码效期信息以提醒用户更改密码，关键参数由管理员权限修改。</w:t>
            </w:r>
          </w:p>
        </w:tc>
        <w:tc>
          <w:tcPr>
            <w:tcW w:w="2098" w:type="dxa"/>
            <w:vAlign w:val="center"/>
          </w:tcPr>
          <w:p>
            <w:pPr>
              <w:jc w:val="both"/>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55" w:type="dxa"/>
            <w:gridSpan w:val="2"/>
            <w:vAlign w:val="center"/>
          </w:tcPr>
          <w:p>
            <w:pPr>
              <w:spacing w:line="276" w:lineRule="auto"/>
              <w:jc w:val="both"/>
              <w:rPr>
                <w:szCs w:val="21"/>
                <w:lang w:val="en-US" w:eastAsia="zh-CN"/>
              </w:rPr>
            </w:pPr>
            <w:r>
              <w:rPr>
                <w:szCs w:val="21"/>
                <w:lang w:val="en-US" w:eastAsia="zh-CN"/>
              </w:rPr>
              <w:t>系统应可以为每个用户创建唯一的用户名和</w:t>
            </w:r>
            <w:r>
              <w:rPr>
                <w:rFonts w:hint="eastAsia"/>
                <w:szCs w:val="21"/>
                <w:lang w:val="en-US" w:eastAsia="zh-CN"/>
              </w:rPr>
              <w:t>密</w:t>
            </w:r>
            <w:r>
              <w:rPr>
                <w:szCs w:val="21"/>
                <w:lang w:val="en-US" w:eastAsia="zh-CN"/>
              </w:rPr>
              <w:t>码</w:t>
            </w:r>
            <w:r>
              <w:rPr>
                <w:rFonts w:hint="eastAsia"/>
                <w:szCs w:val="21"/>
                <w:lang w:val="en-US" w:eastAsia="zh-CN"/>
              </w:rPr>
              <w:t>，</w:t>
            </w:r>
            <w:r>
              <w:rPr>
                <w:szCs w:val="21"/>
                <w:lang w:val="en-US" w:eastAsia="zh-CN"/>
              </w:rPr>
              <w:t>应不允许两个或多个用户拥有相同的用户名</w:t>
            </w:r>
            <w:r>
              <w:rPr>
                <w:rFonts w:hint="eastAsia"/>
                <w:szCs w:val="21"/>
                <w:lang w:val="en-US" w:eastAsia="zh-CN"/>
              </w:rPr>
              <w:t>。</w:t>
            </w:r>
          </w:p>
        </w:tc>
        <w:tc>
          <w:tcPr>
            <w:tcW w:w="2098" w:type="dxa"/>
            <w:vAlign w:val="center"/>
          </w:tcPr>
          <w:p>
            <w:pPr>
              <w:jc w:val="both"/>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55" w:type="dxa"/>
            <w:gridSpan w:val="2"/>
            <w:vAlign w:val="center"/>
          </w:tcPr>
          <w:p>
            <w:pPr>
              <w:spacing w:line="276" w:lineRule="auto"/>
              <w:jc w:val="both"/>
              <w:rPr>
                <w:szCs w:val="21"/>
                <w:lang w:val="en-US" w:eastAsia="zh-CN"/>
              </w:rPr>
            </w:pPr>
            <w:r>
              <w:rPr>
                <w:szCs w:val="21"/>
                <w:lang w:val="en-US" w:eastAsia="zh-CN"/>
              </w:rPr>
              <w:t>应有安全保护以防止未授权的用户账号和密码进行使用，比如3次无效登录尝试后将锁定账户等</w:t>
            </w:r>
          </w:p>
        </w:tc>
        <w:tc>
          <w:tcPr>
            <w:tcW w:w="2098" w:type="dxa"/>
            <w:vAlign w:val="center"/>
          </w:tcPr>
          <w:p>
            <w:pPr>
              <w:jc w:val="both"/>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55" w:type="dxa"/>
            <w:gridSpan w:val="2"/>
            <w:vAlign w:val="center"/>
          </w:tcPr>
          <w:p>
            <w:pPr>
              <w:spacing w:line="276" w:lineRule="auto"/>
              <w:jc w:val="both"/>
              <w:rPr>
                <w:lang w:eastAsia="zh-CN"/>
              </w:rPr>
            </w:pPr>
            <w:r>
              <w:rPr>
                <w:rFonts w:hint="eastAsia"/>
                <w:lang w:eastAsia="zh-CN"/>
              </w:rPr>
              <w:t>该设备计算机化系统需经过计算机化系统评估、风险评估、DQ、SAT、IQ、OQ、PQ。</w:t>
            </w:r>
          </w:p>
        </w:tc>
        <w:tc>
          <w:tcPr>
            <w:tcW w:w="2098"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55" w:type="dxa"/>
            <w:gridSpan w:val="2"/>
            <w:vAlign w:val="center"/>
          </w:tcPr>
          <w:p>
            <w:pPr>
              <w:spacing w:line="276" w:lineRule="auto"/>
              <w:jc w:val="both"/>
              <w:rPr>
                <w:lang w:eastAsia="zh-CN"/>
              </w:rPr>
            </w:pPr>
            <w:r>
              <w:rPr>
                <w:rFonts w:hint="eastAsia"/>
                <w:lang w:eastAsia="zh-CN"/>
              </w:rPr>
              <w:t>该设备计算机化系统验证需与设备验证同步进行，其设备DQ、SAT、IQ、OQ、PQ文件中需包含对其计算机化系统的验证</w:t>
            </w:r>
          </w:p>
        </w:tc>
        <w:tc>
          <w:tcPr>
            <w:tcW w:w="2098" w:type="dxa"/>
            <w:vAlign w:val="center"/>
          </w:tcPr>
          <w:p>
            <w:pPr>
              <w:jc w:val="both"/>
              <w:rPr>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55" w:type="dxa"/>
            <w:gridSpan w:val="2"/>
            <w:vAlign w:val="center"/>
          </w:tcPr>
          <w:p>
            <w:pPr>
              <w:spacing w:line="276" w:lineRule="auto"/>
              <w:jc w:val="both"/>
              <w:rPr>
                <w:lang w:eastAsia="zh-CN"/>
              </w:rPr>
            </w:pPr>
            <w:r>
              <w:rPr>
                <w:rFonts w:hint="eastAsia"/>
                <w:color w:val="000000"/>
                <w:szCs w:val="21"/>
                <w:lang w:eastAsia="zh-CN"/>
              </w:rPr>
              <w:t>原始数据不可更改，</w:t>
            </w:r>
            <w:r>
              <w:rPr>
                <w:color w:val="000000"/>
                <w:szCs w:val="21"/>
                <w:lang w:eastAsia="zh-CN"/>
              </w:rPr>
              <w:t>应有控制措施以防止电子记录从应用软件外面被修改或删除。使用者应不能修改</w:t>
            </w:r>
            <w:r>
              <w:rPr>
                <w:rFonts w:hint="eastAsia"/>
                <w:color w:val="000000"/>
                <w:szCs w:val="21"/>
                <w:lang w:eastAsia="zh-CN"/>
              </w:rPr>
              <w:t>记录结</w:t>
            </w:r>
            <w:r>
              <w:rPr>
                <w:color w:val="000000"/>
                <w:szCs w:val="21"/>
                <w:lang w:eastAsia="zh-CN"/>
              </w:rPr>
              <w:t>果</w:t>
            </w:r>
            <w:r>
              <w:rPr>
                <w:rFonts w:hint="eastAsia"/>
                <w:color w:val="000000"/>
                <w:szCs w:val="21"/>
                <w:lang w:eastAsia="zh-CN"/>
              </w:rPr>
              <w:t>。</w:t>
            </w:r>
          </w:p>
        </w:tc>
        <w:tc>
          <w:tcPr>
            <w:tcW w:w="2098"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55" w:type="dxa"/>
            <w:gridSpan w:val="2"/>
            <w:vAlign w:val="center"/>
          </w:tcPr>
          <w:p>
            <w:pPr>
              <w:spacing w:line="276" w:lineRule="auto"/>
              <w:jc w:val="both"/>
              <w:rPr>
                <w:color w:val="000000"/>
                <w:szCs w:val="21"/>
                <w:lang w:eastAsia="zh-CN"/>
              </w:rPr>
            </w:pPr>
            <w:r>
              <w:rPr>
                <w:rFonts w:hint="eastAsia"/>
                <w:color w:val="000000"/>
                <w:szCs w:val="21"/>
                <w:lang w:eastAsia="zh-CN"/>
              </w:rPr>
              <w:t>原始数据和报表可以上传业主服务器备份和拷贝保存，供应商提供备份数据读取策略，提供并安装相应读取软件，该读取软件具备备份电子记录读取、查询、打印功能，并能识别对电子记录的修改。不具备编辑功能。</w:t>
            </w:r>
            <w:r>
              <w:rPr>
                <w:rFonts w:hint="eastAsia" w:ascii="宋体" w:hAnsi="宋体" w:eastAsia="宋体"/>
                <w:szCs w:val="21"/>
                <w:lang w:eastAsia="zh-CN"/>
              </w:rPr>
              <w:t>备份、恢复的电子记录应与原始电子记录一致，供应商提供一致性确认策略。</w:t>
            </w:r>
          </w:p>
        </w:tc>
        <w:tc>
          <w:tcPr>
            <w:tcW w:w="2098"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55" w:type="dxa"/>
            <w:gridSpan w:val="2"/>
            <w:vAlign w:val="center"/>
          </w:tcPr>
          <w:p>
            <w:pPr>
              <w:spacing w:line="276" w:lineRule="auto"/>
              <w:jc w:val="both"/>
              <w:rPr>
                <w:color w:val="000000"/>
                <w:szCs w:val="21"/>
                <w:lang w:eastAsia="zh-CN"/>
              </w:rPr>
            </w:pPr>
            <w:r>
              <w:rPr>
                <w:rFonts w:hint="eastAsia"/>
                <w:szCs w:val="21"/>
                <w:lang w:val="en-US" w:eastAsia="zh-CN"/>
              </w:rPr>
              <w:t>自动记录并储存，根据单次运行数据的大小，系统应提供足够的存储空间用于长期运行数据的存储（存储容量不少于十万次生产运行的数据），系统可存储实际数据，电子记录的长期存储不得造成系统运行缓慢、卡顿等现象。</w:t>
            </w:r>
          </w:p>
        </w:tc>
        <w:tc>
          <w:tcPr>
            <w:tcW w:w="2098"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55" w:type="dxa"/>
            <w:gridSpan w:val="2"/>
            <w:vAlign w:val="center"/>
          </w:tcPr>
          <w:p>
            <w:pPr>
              <w:spacing w:line="276" w:lineRule="auto"/>
              <w:jc w:val="both"/>
              <w:rPr>
                <w:lang w:eastAsia="zh-CN"/>
              </w:rPr>
            </w:pPr>
            <w:r>
              <w:rPr>
                <w:rFonts w:hint="eastAsia"/>
                <w:szCs w:val="21"/>
                <w:lang w:val="en-US" w:eastAsia="zh-CN"/>
              </w:rPr>
              <w:t>系统及程序为正版</w:t>
            </w:r>
          </w:p>
        </w:tc>
        <w:tc>
          <w:tcPr>
            <w:tcW w:w="2098"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55" w:type="dxa"/>
            <w:gridSpan w:val="2"/>
            <w:vAlign w:val="center"/>
          </w:tcPr>
          <w:p>
            <w:pPr>
              <w:spacing w:line="276" w:lineRule="auto"/>
              <w:jc w:val="both"/>
              <w:rPr>
                <w:lang w:eastAsia="zh-CN"/>
              </w:rPr>
            </w:pPr>
            <w:r>
              <w:rPr>
                <w:rFonts w:hint="eastAsia"/>
                <w:szCs w:val="21"/>
                <w:lang w:val="en-US" w:eastAsia="zh-CN"/>
              </w:rPr>
              <w:t>断电恢复不影响系统运行、参数设置和数据完整性</w:t>
            </w:r>
          </w:p>
        </w:tc>
        <w:tc>
          <w:tcPr>
            <w:tcW w:w="2098" w:type="dxa"/>
            <w:vAlign w:val="center"/>
          </w:tcPr>
          <w:p>
            <w:pPr>
              <w:jc w:val="both"/>
              <w:rPr>
                <w:iCs/>
                <w:szCs w:val="21"/>
                <w:lang w:eastAsia="zh-CN"/>
              </w:rPr>
            </w:pPr>
            <w:r>
              <w:rPr>
                <w:iCs/>
                <w:szCs w:val="21"/>
                <w:lang w:eastAsia="zh-CN"/>
              </w:rPr>
              <w:t>关键</w:t>
            </w:r>
          </w:p>
        </w:tc>
      </w:tr>
      <w:permEnd w:id="29"/>
    </w:tbl>
    <w:p>
      <w:pPr>
        <w:spacing w:after="158" w:afterLines="50"/>
        <w:rPr>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30" w:edGrp="everyone"/>
            <w:permEnd w:id="30"/>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850"/>
              <w:rPr>
                <w:szCs w:val="21"/>
              </w:rPr>
            </w:pPr>
            <w:permStart w:id="31" w:edGrp="everyone"/>
          </w:p>
        </w:tc>
        <w:tc>
          <w:tcPr>
            <w:tcW w:w="9253" w:type="dxa"/>
            <w:gridSpan w:val="2"/>
            <w:vAlign w:val="center"/>
          </w:tcPr>
          <w:p>
            <w:pPr>
              <w:jc w:val="both"/>
              <w:rPr>
                <w:szCs w:val="21"/>
                <w:lang w:eastAsia="zh-CN"/>
              </w:rPr>
            </w:pPr>
            <w:r>
              <w:rPr>
                <w:rFonts w:hint="eastAsia"/>
                <w:iCs/>
                <w:color w:val="000000"/>
                <w:lang w:val="en-US" w:eastAsia="zh-CN"/>
              </w:rPr>
              <w:t>NA</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szCs w:val="21"/>
              </w:rPr>
            </w:pPr>
            <w:permStart w:id="32" w:edGrp="everyone" w:colFirst="0" w:colLast="0"/>
            <w:permStart w:id="33" w:edGrp="everyone" w:colFirst="1" w:colLast="1"/>
            <w:permStart w:id="34" w:edGrp="everyone" w:colFirst="2" w:colLast="2"/>
            <w:permStart w:id="35" w:edGrp="everyone" w:colFirst="3" w:colLast="3"/>
          </w:p>
        </w:tc>
        <w:tc>
          <w:tcPr>
            <w:tcW w:w="7128" w:type="dxa"/>
            <w:vAlign w:val="center"/>
          </w:tcPr>
          <w:p>
            <w:pPr>
              <w:jc w:val="both"/>
              <w:rPr>
                <w:szCs w:val="21"/>
                <w:lang w:eastAsia="zh-CN"/>
              </w:rPr>
            </w:pPr>
            <w:r>
              <w:rPr>
                <w:rFonts w:hint="eastAsia"/>
                <w:szCs w:val="21"/>
                <w:lang w:eastAsia="zh-CN"/>
              </w:rPr>
              <w:t>设备潜在危险源必须有标识、贴标签并做防护处理。机械运动部件必须设有防护罩，或设置在防护区域内。不影响机器性能下，设备任何部位不能有锋利的边缘和尖角。如果不可避免，必须设有安全防护（罩）等措施，并且有安全警示标识。</w:t>
            </w:r>
          </w:p>
        </w:tc>
        <w:tc>
          <w:tcPr>
            <w:tcW w:w="2125" w:type="dxa"/>
            <w:vAlign w:val="center"/>
          </w:tcPr>
          <w:p>
            <w:pPr>
              <w:jc w:val="both"/>
              <w:rPr>
                <w:szCs w:val="21"/>
                <w:lang w:eastAsia="zh-CN"/>
              </w:rPr>
            </w:pPr>
            <w:r>
              <w:rPr>
                <w:szCs w:val="21"/>
              </w:rPr>
              <w:t>关键</w:t>
            </w:r>
          </w:p>
        </w:tc>
      </w:tr>
      <w:permEnd w:id="32"/>
      <w:permEnd w:id="33"/>
      <w:permEnd w:id="34"/>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szCs w:val="21"/>
              </w:rPr>
            </w:pPr>
            <w:permStart w:id="36" w:edGrp="everyone" w:colFirst="0" w:colLast="0"/>
            <w:permStart w:id="37" w:edGrp="everyone" w:colFirst="1" w:colLast="1"/>
            <w:permStart w:id="38" w:edGrp="everyone" w:colFirst="2" w:colLast="2"/>
            <w:permStart w:id="39" w:edGrp="everyone" w:colFirst="3" w:colLast="3"/>
          </w:p>
        </w:tc>
        <w:tc>
          <w:tcPr>
            <w:tcW w:w="7128" w:type="dxa"/>
            <w:vAlign w:val="center"/>
          </w:tcPr>
          <w:p>
            <w:pPr>
              <w:jc w:val="both"/>
              <w:rPr>
                <w:szCs w:val="21"/>
                <w:lang w:eastAsia="zh-CN"/>
              </w:rPr>
            </w:pPr>
            <w:r>
              <w:rPr>
                <w:szCs w:val="21"/>
                <w:lang w:eastAsia="zh-CN"/>
              </w:rPr>
              <w:t>所有无需工具即可拆卸或打开的设备防护门或面板（应带有安全锁装置并与设备互锁。打开防护机门自动停机</w:t>
            </w:r>
          </w:p>
        </w:tc>
        <w:tc>
          <w:tcPr>
            <w:tcW w:w="2125" w:type="dxa"/>
            <w:vAlign w:val="center"/>
          </w:tcPr>
          <w:p>
            <w:pPr>
              <w:jc w:val="both"/>
              <w:rPr>
                <w:szCs w:val="21"/>
                <w:lang w:eastAsia="zh-CN"/>
              </w:rPr>
            </w:pPr>
            <w:r>
              <w:rPr>
                <w:iCs/>
                <w:szCs w:val="21"/>
                <w:lang w:eastAsia="zh-CN"/>
              </w:rPr>
              <w:t>关键</w:t>
            </w:r>
          </w:p>
        </w:tc>
      </w:tr>
      <w:permEnd w:id="36"/>
      <w:permEnd w:id="37"/>
      <w:permEnd w:id="38"/>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szCs w:val="21"/>
              </w:rPr>
            </w:pPr>
            <w:permStart w:id="40" w:edGrp="everyone" w:colFirst="0" w:colLast="0"/>
            <w:permStart w:id="41" w:edGrp="everyone" w:colFirst="1" w:colLast="1"/>
            <w:permStart w:id="42" w:edGrp="everyone" w:colFirst="2" w:colLast="2"/>
            <w:permStart w:id="43" w:edGrp="everyone" w:colFirst="3" w:colLast="3"/>
          </w:p>
        </w:tc>
        <w:tc>
          <w:tcPr>
            <w:tcW w:w="7128" w:type="dxa"/>
            <w:vAlign w:val="center"/>
          </w:tcPr>
          <w:p>
            <w:pPr>
              <w:jc w:val="both"/>
              <w:rPr>
                <w:szCs w:val="21"/>
                <w:lang w:eastAsia="zh-CN"/>
              </w:rPr>
            </w:pPr>
            <w:r>
              <w:rPr>
                <w:szCs w:val="21"/>
                <w:lang w:eastAsia="zh-CN"/>
              </w:rPr>
              <w:t>设备必须设置急停开关，急停开关必须处于非常便于操作人员触及到的位置。在激活急停开关时，必须能够立即停止所有的机械操作。复位紧急停机、关闭设备门时不能使设备发生偶然的动作</w:t>
            </w:r>
          </w:p>
        </w:tc>
        <w:tc>
          <w:tcPr>
            <w:tcW w:w="2125" w:type="dxa"/>
            <w:vAlign w:val="center"/>
          </w:tcPr>
          <w:p>
            <w:pPr>
              <w:jc w:val="both"/>
              <w:rPr>
                <w:szCs w:val="21"/>
                <w:lang w:eastAsia="zh-CN"/>
              </w:rPr>
            </w:pPr>
            <w:r>
              <w:rPr>
                <w:iCs/>
                <w:szCs w:val="21"/>
                <w:lang w:eastAsia="zh-CN"/>
              </w:rPr>
              <w:t>关键</w:t>
            </w:r>
          </w:p>
        </w:tc>
      </w:tr>
      <w:permEnd w:id="40"/>
      <w:permEnd w:id="41"/>
      <w:permEnd w:id="42"/>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szCs w:val="21"/>
              </w:rPr>
            </w:pPr>
            <w:permStart w:id="44" w:edGrp="everyone" w:colFirst="0" w:colLast="0"/>
            <w:permStart w:id="45" w:edGrp="everyone" w:colFirst="1" w:colLast="1"/>
            <w:permStart w:id="46" w:edGrp="everyone" w:colFirst="2" w:colLast="2"/>
            <w:permStart w:id="47" w:edGrp="everyone" w:colFirst="3" w:colLast="3"/>
          </w:p>
        </w:tc>
        <w:tc>
          <w:tcPr>
            <w:tcW w:w="7128" w:type="dxa"/>
            <w:vAlign w:val="center"/>
          </w:tcPr>
          <w:p>
            <w:pPr>
              <w:jc w:val="both"/>
              <w:rPr>
                <w:szCs w:val="21"/>
                <w:lang w:eastAsia="zh-CN"/>
              </w:rPr>
            </w:pPr>
            <w:r>
              <w:rPr>
                <w:rFonts w:hint="eastAsia"/>
                <w:szCs w:val="21"/>
                <w:lang w:eastAsia="zh-CN"/>
              </w:rPr>
              <w:t>功能报警：能够对超出工艺范围或安全范围或设定值的项目进行报警并可以采取相应措施包括自动调整，同时给出提示，如果自动调整不能纠正能自动停车</w:t>
            </w:r>
          </w:p>
        </w:tc>
        <w:tc>
          <w:tcPr>
            <w:tcW w:w="2125" w:type="dxa"/>
            <w:vAlign w:val="center"/>
          </w:tcPr>
          <w:p>
            <w:pPr>
              <w:jc w:val="both"/>
              <w:rPr>
                <w:szCs w:val="21"/>
                <w:lang w:eastAsia="zh-CN"/>
              </w:rPr>
            </w:pPr>
            <w:r>
              <w:rPr>
                <w:iCs/>
                <w:szCs w:val="21"/>
                <w:lang w:eastAsia="zh-CN"/>
              </w:rPr>
              <w:t>关键</w:t>
            </w:r>
          </w:p>
        </w:tc>
      </w:tr>
      <w:permEnd w:id="44"/>
      <w:permEnd w:id="45"/>
      <w:permEnd w:id="46"/>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szCs w:val="21"/>
              </w:rPr>
            </w:pPr>
            <w:permStart w:id="48" w:edGrp="everyone" w:colFirst="0" w:colLast="0"/>
            <w:permStart w:id="49" w:edGrp="everyone" w:colFirst="1" w:colLast="1"/>
            <w:permStart w:id="50" w:edGrp="everyone" w:colFirst="2" w:colLast="2"/>
            <w:permStart w:id="51" w:edGrp="everyone" w:colFirst="3" w:colLast="3"/>
          </w:p>
        </w:tc>
        <w:tc>
          <w:tcPr>
            <w:tcW w:w="7128" w:type="dxa"/>
            <w:vAlign w:val="center"/>
          </w:tcPr>
          <w:p>
            <w:pPr>
              <w:jc w:val="both"/>
              <w:rPr>
                <w:szCs w:val="21"/>
                <w:lang w:eastAsia="zh-CN"/>
              </w:rPr>
            </w:pPr>
            <w:r>
              <w:rPr>
                <w:rFonts w:hint="eastAsia"/>
                <w:szCs w:val="21"/>
                <w:lang w:eastAsia="zh-CN"/>
              </w:rPr>
              <w:t>紧急停止：系统应有一个电子控制停止操作器，目的是尽快停止一切的设备物理运动。电子控制停止操作器应设在设备周围方面的，易接近的区域，由国家和地方安全标准所要求的那样紧急停止</w:t>
            </w:r>
          </w:p>
        </w:tc>
        <w:tc>
          <w:tcPr>
            <w:tcW w:w="2125" w:type="dxa"/>
            <w:vAlign w:val="center"/>
          </w:tcPr>
          <w:p>
            <w:pPr>
              <w:jc w:val="both"/>
              <w:rPr>
                <w:szCs w:val="21"/>
                <w:lang w:eastAsia="zh-CN"/>
              </w:rPr>
            </w:pPr>
            <w:r>
              <w:rPr>
                <w:iCs/>
                <w:szCs w:val="21"/>
                <w:lang w:eastAsia="zh-CN"/>
              </w:rPr>
              <w:t>关键</w:t>
            </w:r>
          </w:p>
        </w:tc>
      </w:tr>
      <w:permEnd w:id="48"/>
      <w:permEnd w:id="49"/>
      <w:permEnd w:id="50"/>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szCs w:val="21"/>
              </w:rPr>
            </w:pPr>
            <w:permStart w:id="52" w:edGrp="everyone" w:colFirst="0" w:colLast="0"/>
            <w:permStart w:id="53" w:edGrp="everyone" w:colFirst="1" w:colLast="1"/>
            <w:permStart w:id="54" w:edGrp="everyone" w:colFirst="2" w:colLast="2"/>
            <w:permStart w:id="55" w:edGrp="everyone" w:colFirst="3" w:colLast="3"/>
          </w:p>
        </w:tc>
        <w:tc>
          <w:tcPr>
            <w:tcW w:w="7128" w:type="dxa"/>
            <w:vAlign w:val="center"/>
          </w:tcPr>
          <w:p>
            <w:pPr>
              <w:jc w:val="both"/>
              <w:rPr>
                <w:szCs w:val="21"/>
                <w:lang w:eastAsia="zh-CN"/>
              </w:rPr>
            </w:pPr>
            <w:r>
              <w:rPr>
                <w:rFonts w:hint="eastAsia"/>
                <w:szCs w:val="21"/>
                <w:lang w:eastAsia="zh-CN"/>
              </w:rPr>
              <w:t>故障报警：在设备出现故障时，必须具有相应报警提示同时具有蜂鸣的信号），在人机画面上显示故障原因，并有提示对应故障解决方案。动力故障时设备能够立即停稳，以保护操作人员、设备和产品。动力故障不能自动重启，必须人工操作。当设备发生过载时，能有效地停机。</w:t>
            </w:r>
          </w:p>
        </w:tc>
        <w:tc>
          <w:tcPr>
            <w:tcW w:w="2125" w:type="dxa"/>
            <w:vAlign w:val="center"/>
          </w:tcPr>
          <w:p>
            <w:pPr>
              <w:jc w:val="both"/>
              <w:rPr>
                <w:szCs w:val="21"/>
                <w:lang w:eastAsia="zh-CN"/>
              </w:rPr>
            </w:pPr>
            <w:r>
              <w:rPr>
                <w:iCs/>
                <w:szCs w:val="21"/>
                <w:lang w:eastAsia="zh-CN"/>
              </w:rPr>
              <w:t>关键</w:t>
            </w:r>
          </w:p>
        </w:tc>
      </w:tr>
      <w:permEnd w:id="52"/>
      <w:permEnd w:id="53"/>
      <w:permEnd w:id="54"/>
      <w:permEnd w:id="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szCs w:val="21"/>
              </w:rPr>
            </w:pPr>
            <w:permStart w:id="56" w:edGrp="everyone" w:colFirst="0" w:colLast="0"/>
            <w:permStart w:id="57" w:edGrp="everyone" w:colFirst="1" w:colLast="1"/>
            <w:permStart w:id="58" w:edGrp="everyone" w:colFirst="2" w:colLast="2"/>
            <w:permStart w:id="59" w:edGrp="everyone" w:colFirst="3" w:colLast="3"/>
          </w:p>
        </w:tc>
        <w:tc>
          <w:tcPr>
            <w:tcW w:w="7128" w:type="dxa"/>
            <w:vAlign w:val="center"/>
          </w:tcPr>
          <w:p>
            <w:pPr>
              <w:jc w:val="both"/>
              <w:rPr>
                <w:szCs w:val="21"/>
                <w:lang w:eastAsia="zh-CN"/>
              </w:rPr>
            </w:pPr>
            <w:r>
              <w:rPr>
                <w:rFonts w:hint="eastAsia"/>
                <w:szCs w:val="21"/>
                <w:lang w:eastAsia="zh-CN"/>
              </w:rPr>
              <w:t>系统具有断电保护措施：在断电下所有的阀门处于安全状态，并保持过程的完整性。电力供应的中断或中断后的恢复不应使机器突然启动。</w:t>
            </w:r>
          </w:p>
        </w:tc>
        <w:tc>
          <w:tcPr>
            <w:tcW w:w="2125" w:type="dxa"/>
            <w:vAlign w:val="center"/>
          </w:tcPr>
          <w:p>
            <w:pPr>
              <w:jc w:val="both"/>
              <w:rPr>
                <w:szCs w:val="21"/>
                <w:lang w:eastAsia="zh-CN"/>
              </w:rPr>
            </w:pPr>
            <w:r>
              <w:rPr>
                <w:iCs/>
                <w:szCs w:val="21"/>
                <w:lang w:eastAsia="zh-CN"/>
              </w:rPr>
              <w:t>关键</w:t>
            </w:r>
          </w:p>
        </w:tc>
      </w:tr>
      <w:permEnd w:id="56"/>
      <w:permEnd w:id="57"/>
      <w:permEnd w:id="58"/>
      <w:permEnd w:id="5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szCs w:val="21"/>
              </w:rPr>
            </w:pPr>
            <w:permStart w:id="60" w:edGrp="everyone" w:colFirst="0" w:colLast="0"/>
            <w:permStart w:id="61" w:edGrp="everyone" w:colFirst="1" w:colLast="1"/>
            <w:permStart w:id="62" w:edGrp="everyone" w:colFirst="2" w:colLast="2"/>
            <w:permStart w:id="63" w:edGrp="everyone" w:colFirst="3" w:colLast="3"/>
          </w:p>
        </w:tc>
        <w:tc>
          <w:tcPr>
            <w:tcW w:w="7128" w:type="dxa"/>
            <w:vAlign w:val="center"/>
          </w:tcPr>
          <w:p>
            <w:pPr>
              <w:jc w:val="both"/>
              <w:rPr>
                <w:szCs w:val="21"/>
                <w:lang w:eastAsia="zh-CN"/>
              </w:rPr>
            </w:pPr>
            <w:r>
              <w:rPr>
                <w:rFonts w:hint="eastAsia"/>
                <w:szCs w:val="21"/>
                <w:lang w:eastAsia="zh-CN"/>
              </w:rPr>
              <w:t>系统所有安全互锁功能必须在设计文件中详细说明并确认。</w:t>
            </w:r>
          </w:p>
        </w:tc>
        <w:tc>
          <w:tcPr>
            <w:tcW w:w="2125" w:type="dxa"/>
            <w:vAlign w:val="center"/>
          </w:tcPr>
          <w:p>
            <w:pPr>
              <w:jc w:val="both"/>
              <w:rPr>
                <w:szCs w:val="21"/>
                <w:lang w:eastAsia="zh-CN"/>
              </w:rPr>
            </w:pPr>
            <w:r>
              <w:rPr>
                <w:iCs/>
                <w:szCs w:val="21"/>
                <w:lang w:eastAsia="zh-CN"/>
              </w:rPr>
              <w:t>关键</w:t>
            </w:r>
          </w:p>
        </w:tc>
      </w:tr>
      <w:permEnd w:id="60"/>
      <w:permEnd w:id="61"/>
      <w:permEnd w:id="62"/>
      <w:permEnd w:id="63"/>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3" w:name="_Toc522716124"/>
      <w:bookmarkStart w:id="44" w:name="_Toc522107743"/>
      <w:r>
        <w:rPr>
          <w:rFonts w:ascii="Times New Roman" w:hAnsi="Times New Roman"/>
          <w:b/>
        </w:rPr>
        <w:t>文件要求</w:t>
      </w:r>
      <w:bookmarkEnd w:id="43"/>
      <w:bookmarkEnd w:id="44"/>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64" w:edGrp="everyone"/>
            <w:permEnd w:id="64"/>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65" w:edGrp="everyone"/>
          </w:p>
        </w:tc>
        <w:tc>
          <w:tcPr>
            <w:tcW w:w="7128" w:type="dxa"/>
            <w:vAlign w:val="center"/>
          </w:tcPr>
          <w:p>
            <w:pPr>
              <w:jc w:val="both"/>
              <w:rPr>
                <w:iCs/>
                <w:szCs w:val="21"/>
                <w:lang w:eastAsia="zh-CN"/>
              </w:rPr>
            </w:pPr>
            <w:r>
              <w:rPr>
                <w:rFonts w:hint="eastAsia"/>
                <w:szCs w:val="21"/>
                <w:lang w:val="en-US" w:eastAsia="zh-CN"/>
              </w:rPr>
              <w:t>设备开箱验收时提供投标文件、合同及订单</w:t>
            </w:r>
            <w:r>
              <w:rPr>
                <w:szCs w:val="21"/>
                <w:lang w:val="en-US" w:eastAsia="zh-CN"/>
              </w:rPr>
              <w:t>。</w:t>
            </w:r>
          </w:p>
        </w:tc>
        <w:tc>
          <w:tcPr>
            <w:tcW w:w="2125" w:type="dxa"/>
            <w:vAlign w:val="center"/>
          </w:tcPr>
          <w:p>
            <w:pPr>
              <w:jc w:val="both"/>
              <w:rPr>
                <w:iCs/>
                <w:szCs w:val="21"/>
                <w:lang w:eastAsia="zh-CN"/>
              </w:rPr>
            </w:pPr>
            <w:r>
              <w:rPr>
                <w:iCs/>
                <w:szCs w:val="21"/>
                <w:lang w:eastAsia="zh-CN"/>
              </w:rPr>
              <w:t>关键</w:t>
            </w:r>
          </w:p>
        </w:tc>
      </w:tr>
      <w:permEnd w:id="6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66" w:edGrp="everyone"/>
          </w:p>
        </w:tc>
        <w:tc>
          <w:tcPr>
            <w:tcW w:w="7128" w:type="dxa"/>
            <w:vAlign w:val="center"/>
          </w:tcPr>
          <w:p>
            <w:pPr>
              <w:jc w:val="both"/>
              <w:rPr>
                <w:iCs/>
                <w:szCs w:val="21"/>
                <w:lang w:eastAsia="zh-CN"/>
              </w:rPr>
            </w:pPr>
            <w:r>
              <w:rPr>
                <w:rFonts w:hint="eastAsia"/>
                <w:szCs w:val="21"/>
                <w:lang w:val="en-US" w:eastAsia="zh-CN"/>
              </w:rPr>
              <w:t>设备开箱验收时提供</w:t>
            </w:r>
            <w:r>
              <w:rPr>
                <w:szCs w:val="21"/>
                <w:lang w:eastAsia="zh-CN"/>
              </w:rPr>
              <w:t>卖方发运清单及相关检验报告</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szCs w:val="21"/>
                <w:lang w:eastAsia="zh-CN"/>
              </w:rPr>
              <w:t>设备标准技术文件，包括详细的设计说明</w:t>
            </w:r>
            <w:r>
              <w:rPr>
                <w:rFonts w:hint="eastAsia"/>
                <w:szCs w:val="21"/>
                <w:lang w:eastAsia="zh-CN"/>
              </w:rPr>
              <w:t>、</w:t>
            </w:r>
            <w:r>
              <w:rPr>
                <w:szCs w:val="21"/>
                <w:lang w:eastAsia="zh-CN"/>
              </w:rPr>
              <w:t>功能说明</w:t>
            </w:r>
            <w:r>
              <w:rPr>
                <w:rFonts w:hint="eastAsia"/>
                <w:szCs w:val="21"/>
                <w:lang w:eastAsia="zh-CN"/>
              </w:rPr>
              <w:t>、</w:t>
            </w:r>
            <w:r>
              <w:rPr>
                <w:szCs w:val="21"/>
                <w:lang w:eastAsia="zh-CN"/>
              </w:rPr>
              <w:t>配置说明与清单；须提供工艺描述和功能标准。</w:t>
            </w:r>
            <w:r>
              <w:rPr>
                <w:rFonts w:hint="eastAsia"/>
                <w:szCs w:val="21"/>
                <w:lang w:eastAsia="zh-CN"/>
              </w:rPr>
              <w:t>（D</w:t>
            </w:r>
            <w:r>
              <w:rPr>
                <w:szCs w:val="21"/>
                <w:lang w:eastAsia="zh-CN"/>
              </w:rPr>
              <w:t>Q</w:t>
            </w:r>
            <w:r>
              <w:rPr>
                <w:rFonts w:hint="eastAsia"/>
                <w:szCs w:val="21"/>
                <w:lang w:eastAsia="zh-CN"/>
              </w:rPr>
              <w:t>开始前完成审批）</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szCs w:val="21"/>
                <w:lang w:eastAsia="zh-CN"/>
              </w:rPr>
              <w:t>图纸：实各种验证、维修等活动所需的电子版及打印版系统实物图</w:t>
            </w:r>
            <w:r>
              <w:rPr>
                <w:rFonts w:hint="eastAsia"/>
                <w:szCs w:val="21"/>
                <w:lang w:eastAsia="zh-CN"/>
              </w:rPr>
              <w:t>、</w:t>
            </w:r>
            <w:r>
              <w:rPr>
                <w:szCs w:val="21"/>
                <w:lang w:eastAsia="zh-CN"/>
              </w:rPr>
              <w:t>布局图、设备尺寸图、设备局部图（与工艺、功能相关的细节图）、P&amp;ID图</w:t>
            </w:r>
            <w:r>
              <w:rPr>
                <w:rFonts w:hint="eastAsia"/>
                <w:szCs w:val="21"/>
                <w:lang w:eastAsia="zh-CN"/>
              </w:rPr>
              <w:t>、</w:t>
            </w:r>
            <w:r>
              <w:rPr>
                <w:szCs w:val="21"/>
                <w:lang w:eastAsia="zh-CN"/>
              </w:rPr>
              <w:t>控制原理图</w:t>
            </w:r>
            <w:r>
              <w:rPr>
                <w:rFonts w:hint="eastAsia"/>
                <w:szCs w:val="21"/>
                <w:lang w:eastAsia="zh-CN"/>
              </w:rPr>
              <w:t>、</w:t>
            </w:r>
            <w:r>
              <w:rPr>
                <w:szCs w:val="21"/>
                <w:lang w:eastAsia="zh-CN"/>
              </w:rPr>
              <w:t>接线图</w:t>
            </w:r>
            <w:r>
              <w:rPr>
                <w:rFonts w:hint="eastAsia"/>
                <w:szCs w:val="21"/>
                <w:lang w:eastAsia="zh-CN"/>
              </w:rPr>
              <w:t>、PLC图、计算机化系统相关图纸、</w:t>
            </w:r>
            <w:r>
              <w:rPr>
                <w:szCs w:val="21"/>
                <w:lang w:eastAsia="zh-CN"/>
              </w:rPr>
              <w:t>图纸清单</w:t>
            </w:r>
            <w:r>
              <w:rPr>
                <w:rFonts w:hint="eastAsia"/>
                <w:szCs w:val="21"/>
                <w:lang w:eastAsia="zh-CN"/>
              </w:rPr>
              <w:t>（I</w:t>
            </w:r>
            <w:r>
              <w:rPr>
                <w:szCs w:val="21"/>
                <w:lang w:eastAsia="zh-CN"/>
              </w:rPr>
              <w:t>Q</w:t>
            </w:r>
            <w:r>
              <w:rPr>
                <w:rFonts w:hint="eastAsia"/>
                <w:szCs w:val="21"/>
                <w:lang w:eastAsia="zh-CN"/>
              </w:rPr>
              <w:t>开始前提供）</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szCs w:val="21"/>
                <w:lang w:eastAsia="zh-CN"/>
              </w:rPr>
              <w:t>零配件、部件、元件清单：包括编号、对应厂家名称、生产地、规格及必要说明</w:t>
            </w:r>
            <w:r>
              <w:rPr>
                <w:rFonts w:hint="eastAsia"/>
                <w:szCs w:val="21"/>
                <w:lang w:eastAsia="zh-CN"/>
              </w:rPr>
              <w:t>（开箱验收提供）</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设备制造相关文件：各组件合格证、出厂测试合格证、工厂相关检测报告、材质清单、材质报告及合格证（写明材料有效期）、清洁处理程序、各种标示、风险评估文件。（开箱验收提供）</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易损件、备用零部件清单。（开箱验收提供）（</w:t>
            </w:r>
          </w:p>
        </w:tc>
        <w:tc>
          <w:tcPr>
            <w:tcW w:w="2125" w:type="dxa"/>
            <w:vAlign w:val="center"/>
          </w:tcPr>
          <w:p>
            <w:pPr>
              <w:jc w:val="both"/>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仪器仪表清单和相关校验报告及计量证书。（开箱验收提供）</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lang w:eastAsia="zh-CN"/>
              </w:rPr>
            </w:pPr>
            <w:r>
              <w:rPr>
                <w:rFonts w:hint="eastAsia"/>
                <w:lang w:eastAsia="zh-CN"/>
              </w:rPr>
              <w:t>设备交付计划表。</w:t>
            </w:r>
            <w:r>
              <w:rPr>
                <w:rFonts w:hint="eastAsia"/>
                <w:szCs w:val="21"/>
                <w:lang w:eastAsia="zh-CN"/>
              </w:rPr>
              <w:t>（开箱验收提供）</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lang w:eastAsia="zh-CN"/>
              </w:rPr>
            </w:pPr>
            <w:r>
              <w:rPr>
                <w:rFonts w:hint="eastAsia"/>
                <w:lang w:eastAsia="zh-CN"/>
              </w:rPr>
              <w:t>安全报告。</w:t>
            </w:r>
            <w:r>
              <w:rPr>
                <w:rFonts w:hint="eastAsia"/>
                <w:szCs w:val="21"/>
                <w:lang w:eastAsia="zh-CN"/>
              </w:rPr>
              <w:t>（开箱验收提供）</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lang w:eastAsia="zh-CN"/>
              </w:rPr>
            </w:pPr>
            <w:r>
              <w:rPr>
                <w:rFonts w:hint="eastAsia"/>
                <w:lang w:eastAsia="zh-CN"/>
              </w:rPr>
              <w:t>工厂验收测试（FAT）和现场验收测试（SAT）报告。</w:t>
            </w:r>
          </w:p>
          <w:p>
            <w:pPr>
              <w:adjustRightInd/>
              <w:jc w:val="both"/>
              <w:textAlignment w:val="auto"/>
              <w:rPr>
                <w:lang w:val="en-US" w:eastAsia="zh-CN"/>
              </w:rPr>
            </w:pPr>
            <w:r>
              <w:rPr>
                <w:rFonts w:hint="eastAsia" w:ascii="等线" w:hAnsi="等线" w:eastAsia="等线"/>
                <w:color w:val="000000"/>
                <w:sz w:val="22"/>
                <w:szCs w:val="22"/>
                <w:lang w:eastAsia="zh-CN"/>
              </w:rPr>
              <w:t>FAT应在设备制造完成后出厂发货前完成审批并提交；SAT在设备安装调试后IQ开始前完成审批并提交。</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lang w:eastAsia="zh-CN"/>
              </w:rPr>
            </w:pPr>
            <w:r>
              <w:rPr>
                <w:rFonts w:hint="eastAsia"/>
                <w:lang w:eastAsia="zh-CN"/>
              </w:rPr>
              <w:t>调试文件：调试计划（调试说明书、调试清单、保修信息、培训计划、再调试计划等），总测试计划，检查计划，检测清单，各测试结果，调试总结报告等。（</w:t>
            </w:r>
            <w:r>
              <w:rPr>
                <w:rFonts w:hint="eastAsia"/>
                <w:szCs w:val="21"/>
                <w:lang w:eastAsia="zh-CN"/>
              </w:rPr>
              <w:t>I</w:t>
            </w:r>
            <w:r>
              <w:rPr>
                <w:szCs w:val="21"/>
                <w:lang w:eastAsia="zh-CN"/>
              </w:rPr>
              <w:t>Q</w:t>
            </w:r>
            <w:r>
              <w:rPr>
                <w:rFonts w:hint="eastAsia"/>
                <w:szCs w:val="21"/>
                <w:lang w:eastAsia="zh-CN"/>
              </w:rPr>
              <w:t>开始前提供）</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lang w:eastAsia="zh-CN"/>
              </w:rPr>
            </w:pPr>
            <w:r>
              <w:rPr>
                <w:rFonts w:hint="eastAsia"/>
                <w:lang w:eastAsia="zh-CN"/>
              </w:rPr>
              <w:t>验证文件：</w:t>
            </w:r>
          </w:p>
          <w:p>
            <w:pPr>
              <w:jc w:val="both"/>
              <w:rPr>
                <w:rFonts w:ascii="等线" w:hAnsi="等线" w:eastAsia="等线"/>
                <w:color w:val="000000"/>
                <w:sz w:val="22"/>
                <w:szCs w:val="22"/>
                <w:lang w:val="en-US" w:eastAsia="zh-CN"/>
              </w:rPr>
            </w:pPr>
            <w:r>
              <w:rPr>
                <w:rFonts w:hint="eastAsia"/>
                <w:lang w:eastAsia="zh-CN"/>
              </w:rPr>
              <w:t>（1）验证计划：</w:t>
            </w:r>
            <w:r>
              <w:rPr>
                <w:rFonts w:hint="eastAsia" w:ascii="等线" w:hAnsi="等线" w:eastAsia="等线"/>
                <w:color w:val="000000"/>
                <w:sz w:val="22"/>
                <w:szCs w:val="22"/>
                <w:lang w:eastAsia="zh-CN"/>
              </w:rPr>
              <w:t>设计阶段，设计确认开始前</w:t>
            </w:r>
          </w:p>
          <w:p>
            <w:pPr>
              <w:jc w:val="both"/>
              <w:rPr>
                <w:rFonts w:ascii="等线" w:hAnsi="等线" w:eastAsia="等线"/>
                <w:color w:val="000000"/>
                <w:sz w:val="22"/>
                <w:szCs w:val="22"/>
                <w:lang w:val="en-US" w:eastAsia="zh-CN"/>
              </w:rPr>
            </w:pPr>
            <w:r>
              <w:rPr>
                <w:rFonts w:hint="eastAsia"/>
                <w:lang w:eastAsia="zh-CN"/>
              </w:rPr>
              <w:t>（2）满足GMP和GAMP5等相关法规的评估文件：</w:t>
            </w:r>
            <w:r>
              <w:rPr>
                <w:rFonts w:hint="eastAsia" w:ascii="等线" w:hAnsi="等线" w:eastAsia="等线"/>
                <w:color w:val="000000"/>
                <w:sz w:val="22"/>
                <w:szCs w:val="22"/>
                <w:lang w:eastAsia="zh-CN"/>
              </w:rPr>
              <w:t>系统影响性评估、计算机化系统影响性评估在DQ开始前。</w:t>
            </w:r>
          </w:p>
          <w:p>
            <w:pPr>
              <w:jc w:val="both"/>
              <w:rPr>
                <w:rFonts w:ascii="等线" w:hAnsi="等线" w:eastAsia="等线"/>
                <w:color w:val="000000"/>
                <w:sz w:val="22"/>
                <w:szCs w:val="22"/>
                <w:lang w:val="en-US" w:eastAsia="zh-CN"/>
              </w:rPr>
            </w:pPr>
            <w:r>
              <w:rPr>
                <w:rFonts w:hint="eastAsia"/>
                <w:lang w:eastAsia="zh-CN"/>
              </w:rPr>
              <w:t>（3）DQ：</w:t>
            </w:r>
            <w:r>
              <w:rPr>
                <w:rFonts w:hint="eastAsia" w:ascii="等线" w:hAnsi="等线" w:eastAsia="等线"/>
                <w:color w:val="000000"/>
                <w:sz w:val="22"/>
                <w:szCs w:val="22"/>
                <w:lang w:eastAsia="zh-CN"/>
              </w:rPr>
              <w:t>设计完成后，制造及安装开始前完成审批并提交。</w:t>
            </w:r>
          </w:p>
          <w:p>
            <w:pPr>
              <w:jc w:val="both"/>
              <w:rPr>
                <w:rFonts w:ascii="等线" w:hAnsi="等线" w:eastAsia="等线"/>
                <w:color w:val="000000"/>
                <w:sz w:val="22"/>
                <w:szCs w:val="22"/>
                <w:lang w:val="en-US" w:eastAsia="zh-CN"/>
              </w:rPr>
            </w:pPr>
            <w:r>
              <w:rPr>
                <w:rFonts w:hint="eastAsia"/>
                <w:lang w:eastAsia="zh-CN"/>
              </w:rPr>
              <w:t>（4）IQ：</w:t>
            </w:r>
            <w:r>
              <w:rPr>
                <w:rFonts w:hint="eastAsia" w:ascii="等线" w:hAnsi="等线" w:eastAsia="等线"/>
                <w:color w:val="000000"/>
                <w:sz w:val="22"/>
                <w:szCs w:val="22"/>
                <w:lang w:eastAsia="zh-CN"/>
              </w:rPr>
              <w:t>SAT批准后开始执行，OQ开始前完成审批并提交。</w:t>
            </w:r>
          </w:p>
          <w:p>
            <w:pPr>
              <w:jc w:val="both"/>
              <w:rPr>
                <w:lang w:val="en-US" w:eastAsia="zh-CN"/>
              </w:rPr>
            </w:pPr>
            <w:r>
              <w:rPr>
                <w:rFonts w:hint="eastAsia"/>
                <w:lang w:eastAsia="zh-CN"/>
              </w:rPr>
              <w:t>（5）OQ：</w:t>
            </w:r>
            <w:r>
              <w:rPr>
                <w:rFonts w:hint="eastAsia" w:ascii="等线" w:hAnsi="等线" w:eastAsia="等线"/>
                <w:color w:val="000000"/>
                <w:sz w:val="22"/>
                <w:szCs w:val="22"/>
                <w:lang w:eastAsia="zh-CN"/>
              </w:rPr>
              <w:t>IQ批准后开始执行，PQ开始前完成审批并提交。</w:t>
            </w:r>
          </w:p>
          <w:p>
            <w:pPr>
              <w:jc w:val="both"/>
              <w:rPr>
                <w:rFonts w:ascii="等线" w:hAnsi="等线" w:eastAsia="等线"/>
                <w:color w:val="000000"/>
                <w:sz w:val="22"/>
                <w:szCs w:val="22"/>
                <w:lang w:val="en-US" w:eastAsia="zh-CN"/>
              </w:rPr>
            </w:pPr>
            <w:r>
              <w:rPr>
                <w:rFonts w:hint="eastAsia"/>
                <w:lang w:eastAsia="zh-CN"/>
              </w:rPr>
              <w:t>（6）追溯矩阵（RTM）：</w:t>
            </w:r>
            <w:r>
              <w:rPr>
                <w:rFonts w:hint="eastAsia" w:ascii="等线" w:hAnsi="等线" w:eastAsia="等线"/>
                <w:color w:val="000000"/>
                <w:sz w:val="22"/>
                <w:szCs w:val="22"/>
                <w:lang w:eastAsia="zh-CN"/>
              </w:rPr>
              <w:t>PQ完成后开始起草，最终验收前提交</w:t>
            </w:r>
          </w:p>
          <w:p>
            <w:pPr>
              <w:jc w:val="both"/>
              <w:rPr>
                <w:rFonts w:ascii="等线" w:hAnsi="等线" w:eastAsia="等线"/>
                <w:color w:val="000000"/>
                <w:sz w:val="22"/>
                <w:szCs w:val="22"/>
                <w:lang w:val="en-US" w:eastAsia="zh-CN"/>
              </w:rPr>
            </w:pPr>
            <w:r>
              <w:rPr>
                <w:rFonts w:hint="eastAsia"/>
                <w:lang w:eastAsia="zh-CN"/>
              </w:rPr>
              <w:t>（7）验证总结报告（VSR）：</w:t>
            </w:r>
            <w:r>
              <w:rPr>
                <w:rFonts w:hint="eastAsia" w:ascii="等线" w:hAnsi="等线" w:eastAsia="等线"/>
                <w:color w:val="000000"/>
                <w:sz w:val="22"/>
                <w:szCs w:val="22"/>
                <w:lang w:eastAsia="zh-CN"/>
              </w:rPr>
              <w:t>PQ完成后开始起草，最终验收前提交</w:t>
            </w:r>
          </w:p>
          <w:p>
            <w:pPr>
              <w:jc w:val="both"/>
              <w:rPr>
                <w:lang w:eastAsia="zh-CN"/>
              </w:rPr>
            </w:pPr>
            <w:r>
              <w:rPr>
                <w:rFonts w:hint="eastAsia"/>
                <w:lang w:eastAsia="zh-CN"/>
              </w:rPr>
              <w:t>（8）设备生产商负责制定设备验证计划、评估文件、DQ/IQ/OQ验证文件、追溯矩阵、验证总结报告，并负责验证工作的实施，该验证文件作为设备必备文件。</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lang w:eastAsia="zh-CN"/>
              </w:rPr>
            </w:pPr>
            <w:r>
              <w:rPr>
                <w:rFonts w:hint="eastAsia"/>
                <w:lang w:eastAsia="zh-CN"/>
              </w:rPr>
              <w:t>使说明书及维护保养说明（即运行及维护手册）3份。（开箱验收提供）</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lang w:eastAsia="zh-CN"/>
              </w:rPr>
            </w:pPr>
            <w:r>
              <w:rPr>
                <w:rFonts w:hint="eastAsia"/>
                <w:lang w:eastAsia="zh-CN"/>
              </w:rPr>
              <w:t>提供设备及其零部件使用寿命清单。（开箱验收提供）</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lang w:eastAsia="zh-CN"/>
              </w:rPr>
            </w:pPr>
            <w:r>
              <w:rPr>
                <w:rFonts w:hint="eastAsia"/>
                <w:lang w:eastAsia="zh-CN"/>
              </w:rPr>
              <w:t>文件具体要求：</w:t>
            </w:r>
          </w:p>
          <w:p>
            <w:pPr>
              <w:jc w:val="both"/>
              <w:rPr>
                <w:lang w:eastAsia="zh-CN"/>
              </w:rPr>
            </w:pPr>
            <w:r>
              <w:rPr>
                <w:rFonts w:hint="eastAsia"/>
                <w:lang w:eastAsia="zh-CN"/>
              </w:rPr>
              <w:t>（1）系统相关方案中，应明确本系统的配置、规格，并且通过分析阐述每一个系统环节的必要性；</w:t>
            </w:r>
          </w:p>
          <w:p>
            <w:pPr>
              <w:jc w:val="both"/>
              <w:rPr>
                <w:lang w:eastAsia="zh-CN"/>
              </w:rPr>
            </w:pPr>
            <w:r>
              <w:rPr>
                <w:rFonts w:hint="eastAsia"/>
                <w:lang w:eastAsia="zh-CN"/>
              </w:rPr>
              <w:t>（2）标书中明确系统所有组件的品牌、材质、型号，并且注明每一个组件的保修期；</w:t>
            </w:r>
          </w:p>
          <w:p>
            <w:pPr>
              <w:jc w:val="both"/>
              <w:rPr>
                <w:lang w:eastAsia="zh-CN"/>
              </w:rPr>
            </w:pPr>
            <w:r>
              <w:rPr>
                <w:rFonts w:hint="eastAsia"/>
                <w:lang w:eastAsia="zh-CN"/>
              </w:rPr>
              <w:t>（3）符合GEP要求的项目文件交付包</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lang w:eastAsia="zh-CN"/>
              </w:rPr>
            </w:pPr>
            <w:r>
              <w:rPr>
                <w:rFonts w:hint="eastAsia"/>
                <w:szCs w:val="21"/>
                <w:lang w:eastAsia="zh-CN"/>
              </w:rPr>
              <w:t>条款规定的文件需提供电子版，并在设备开箱验收时将最终批准的电子版及纸质版全套资料交工程技术部存档。</w:t>
            </w:r>
          </w:p>
        </w:tc>
        <w:tc>
          <w:tcPr>
            <w:tcW w:w="2125" w:type="dxa"/>
            <w:vAlign w:val="center"/>
          </w:tcPr>
          <w:p>
            <w:pPr>
              <w:jc w:val="both"/>
              <w:rPr>
                <w:iCs/>
                <w:szCs w:val="21"/>
                <w:lang w:eastAsia="zh-CN"/>
              </w:rPr>
            </w:pPr>
            <w:r>
              <w:rPr>
                <w:rFonts w:hint="eastAsia"/>
                <w:iCs/>
                <w:szCs w:val="21"/>
                <w:lang w:eastAsia="zh-CN"/>
              </w:rPr>
              <w:t>关键</w:t>
            </w:r>
          </w:p>
        </w:tc>
      </w:tr>
      <w:permEnd w:id="66"/>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67" w:edGrp="everyone"/>
            <w:permEnd w:id="67"/>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68" w:edGrp="everyone"/>
          </w:p>
        </w:tc>
        <w:tc>
          <w:tcPr>
            <w:tcW w:w="7128" w:type="dxa"/>
            <w:vAlign w:val="center"/>
          </w:tcPr>
          <w:p>
            <w:pPr>
              <w:spacing w:line="276" w:lineRule="auto"/>
              <w:jc w:val="both"/>
              <w:rPr>
                <w:szCs w:val="21"/>
                <w:lang w:eastAsia="zh-CN"/>
              </w:rPr>
            </w:pPr>
            <w:r>
              <w:rPr>
                <w:sz w:val="24"/>
                <w:lang w:eastAsia="zh-CN"/>
              </w:rPr>
              <w:t>设备供应商应免费对设备使用方人员进行全面培训，包括对生产操作人员及设备维护、维修人员，并填写培训记录。</w:t>
            </w:r>
          </w:p>
        </w:tc>
        <w:tc>
          <w:tcPr>
            <w:tcW w:w="2125" w:type="dxa"/>
            <w:vAlign w:val="center"/>
          </w:tcPr>
          <w:p>
            <w:pPr>
              <w:jc w:val="both"/>
              <w:rPr>
                <w:iCs/>
                <w:szCs w:val="21"/>
                <w:lang w:eastAsia="zh-CN"/>
              </w:rPr>
            </w:pPr>
            <w:r>
              <w:rPr>
                <w:iCs/>
                <w:szCs w:val="21"/>
                <w:lang w:eastAsia="zh-CN"/>
              </w:rPr>
              <w:t>关键</w:t>
            </w:r>
          </w:p>
        </w:tc>
      </w:tr>
      <w:permEnd w:id="6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69" w:edGrp="everyone"/>
          </w:p>
        </w:tc>
        <w:tc>
          <w:tcPr>
            <w:tcW w:w="7128" w:type="dxa"/>
            <w:vAlign w:val="center"/>
          </w:tcPr>
          <w:p>
            <w:pPr>
              <w:spacing w:line="276" w:lineRule="auto"/>
              <w:jc w:val="both"/>
              <w:rPr>
                <w:szCs w:val="21"/>
                <w:lang w:eastAsia="zh-CN"/>
              </w:rPr>
            </w:pPr>
            <w:r>
              <w:rPr>
                <w:rFonts w:hint="eastAsia"/>
                <w:lang w:eastAsia="zh-CN"/>
              </w:rPr>
              <w:t>生产操作人员培训，合格标准为用户参加培训人员能够独立正确操作设备，会排除常见故障，能独立完成设备CIP并进行生产操作。</w:t>
            </w:r>
          </w:p>
        </w:tc>
        <w:tc>
          <w:tcPr>
            <w:tcW w:w="2125" w:type="dxa"/>
            <w:vAlign w:val="center"/>
          </w:tcPr>
          <w:p>
            <w:pPr>
              <w:jc w:val="both"/>
              <w:rPr>
                <w:iCs/>
                <w:szCs w:val="21"/>
                <w:lang w:eastAsia="zh-CN"/>
              </w:rPr>
            </w:pPr>
            <w:r>
              <w:rPr>
                <w:iCs/>
                <w:szCs w:val="21"/>
                <w:lang w:eastAsia="zh-CN"/>
              </w:rPr>
              <w:t>关键</w:t>
            </w:r>
          </w:p>
        </w:tc>
      </w:tr>
      <w:permEnd w:id="6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70" w:edGrp="everyone"/>
          </w:p>
        </w:tc>
        <w:tc>
          <w:tcPr>
            <w:tcW w:w="7128" w:type="dxa"/>
            <w:vAlign w:val="center"/>
          </w:tcPr>
          <w:p>
            <w:pPr>
              <w:spacing w:line="276" w:lineRule="auto"/>
              <w:jc w:val="both"/>
              <w:rPr>
                <w:lang w:eastAsia="zh-CN"/>
              </w:rPr>
            </w:pPr>
            <w:r>
              <w:rPr>
                <w:rFonts w:hint="eastAsia"/>
                <w:lang w:eastAsia="zh-CN"/>
              </w:rPr>
              <w:t>维修人员培训合格标准为，维修人员能对机械、电器部分进行基本维修，能够了解设备日常保养内容，能对造成常见故障的易损部件有明确认识。</w:t>
            </w:r>
          </w:p>
        </w:tc>
        <w:tc>
          <w:tcPr>
            <w:tcW w:w="2125" w:type="dxa"/>
            <w:vAlign w:val="center"/>
          </w:tcPr>
          <w:p>
            <w:pPr>
              <w:jc w:val="both"/>
              <w:rPr>
                <w:iCs/>
                <w:szCs w:val="21"/>
                <w:lang w:eastAsia="zh-CN"/>
              </w:rPr>
            </w:pPr>
            <w:r>
              <w:rPr>
                <w:iCs/>
                <w:szCs w:val="21"/>
                <w:lang w:eastAsia="zh-CN"/>
              </w:rPr>
              <w:t>关键</w:t>
            </w:r>
          </w:p>
        </w:tc>
      </w:tr>
      <w:permEnd w:id="7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71" w:edGrp="everyone"/>
          </w:p>
        </w:tc>
        <w:tc>
          <w:tcPr>
            <w:tcW w:w="7128" w:type="dxa"/>
            <w:vAlign w:val="center"/>
          </w:tcPr>
          <w:p>
            <w:pPr>
              <w:spacing w:line="276" w:lineRule="auto"/>
              <w:jc w:val="both"/>
              <w:rPr>
                <w:szCs w:val="21"/>
                <w:lang w:eastAsia="zh-CN"/>
              </w:rPr>
            </w:pPr>
            <w:r>
              <w:rPr>
                <w:lang w:eastAsia="zh-CN"/>
              </w:rPr>
              <w:t>设备运输在运输途中需做好防护措施，不得有任何损伤。</w:t>
            </w:r>
          </w:p>
        </w:tc>
        <w:tc>
          <w:tcPr>
            <w:tcW w:w="2125" w:type="dxa"/>
            <w:vAlign w:val="center"/>
          </w:tcPr>
          <w:p>
            <w:pPr>
              <w:jc w:val="both"/>
              <w:rPr>
                <w:iCs/>
                <w:szCs w:val="21"/>
                <w:lang w:eastAsia="zh-CN"/>
              </w:rPr>
            </w:pPr>
            <w:r>
              <w:rPr>
                <w:iCs/>
                <w:szCs w:val="21"/>
                <w:lang w:eastAsia="zh-CN"/>
              </w:rPr>
              <w:t>关键</w:t>
            </w:r>
          </w:p>
        </w:tc>
      </w:tr>
      <w:permEnd w:id="7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72" w:edGrp="everyone"/>
          </w:p>
        </w:tc>
        <w:tc>
          <w:tcPr>
            <w:tcW w:w="7128" w:type="dxa"/>
            <w:vAlign w:val="center"/>
          </w:tcPr>
          <w:p>
            <w:pPr>
              <w:spacing w:line="276" w:lineRule="auto"/>
              <w:jc w:val="both"/>
              <w:rPr>
                <w:iCs/>
                <w:szCs w:val="21"/>
                <w:lang w:eastAsia="zh-CN"/>
              </w:rPr>
            </w:pPr>
            <w:r>
              <w:rPr>
                <w:rFonts w:hint="eastAsia"/>
                <w:iCs/>
                <w:szCs w:val="21"/>
                <w:lang w:eastAsia="zh-CN"/>
              </w:rPr>
              <w:t>验证包括计划、系统评估、计算机化系统评估、风险评估、DQ、FAT、SAT、IQ、OQ、RTM、VSR文件与服务，供应商必须派出具备该类系统验证工程师开展验证工作。供应商协助完成PQ。</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投标方按GMP规范完成IQ、OQ工作，并提供符合本公司QA要求的相应文件。验证开始前验证方案需经过本公司相关部门审核，质量保证部批准。</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验证工作应按时保质完成，供应商需提供验证工作计划表。</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验证项目应包含法规要求的测试项目，以及本公司提出的测试项目。</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验证工作完成后，验证记录经本公司相关部门审核，并经质量保证部批准。</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验收前，验证工作已成功完成，验证最终报告已经本公司相关部门审核，并经质量保证部批准。</w:t>
            </w:r>
          </w:p>
        </w:tc>
        <w:tc>
          <w:tcPr>
            <w:tcW w:w="2125" w:type="dxa"/>
            <w:vAlign w:val="center"/>
          </w:tcPr>
          <w:p>
            <w:pPr>
              <w:jc w:val="both"/>
              <w:rPr>
                <w:iCs/>
                <w:szCs w:val="21"/>
                <w:lang w:eastAsia="zh-CN"/>
              </w:rPr>
            </w:pPr>
            <w:r>
              <w:rPr>
                <w:iCs/>
                <w:szCs w:val="21"/>
                <w:lang w:eastAsia="zh-CN"/>
              </w:rPr>
              <w:t>关键</w:t>
            </w:r>
          </w:p>
        </w:tc>
      </w:tr>
      <w:permEnd w:id="7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73" w:edGrp="everyone"/>
          </w:p>
        </w:tc>
        <w:tc>
          <w:tcPr>
            <w:tcW w:w="7128" w:type="dxa"/>
            <w:vAlign w:val="center"/>
          </w:tcPr>
          <w:p>
            <w:pPr>
              <w:spacing w:line="276" w:lineRule="auto"/>
              <w:jc w:val="both"/>
              <w:rPr>
                <w:szCs w:val="21"/>
                <w:lang w:eastAsia="zh-CN"/>
              </w:rPr>
            </w:pPr>
            <w:r>
              <w:rPr>
                <w:sz w:val="24"/>
                <w:lang w:eastAsia="zh-CN"/>
              </w:rPr>
              <w:t>设备保质期从</w:t>
            </w:r>
            <w:r>
              <w:rPr>
                <w:rFonts w:hint="eastAsia"/>
                <w:sz w:val="24"/>
                <w:lang w:eastAsia="zh-CN"/>
              </w:rPr>
              <w:t>完成IQ/OQ</w:t>
            </w:r>
            <w:r>
              <w:rPr>
                <w:sz w:val="24"/>
                <w:lang w:eastAsia="zh-CN"/>
              </w:rPr>
              <w:t>验证始计算。</w:t>
            </w:r>
          </w:p>
        </w:tc>
        <w:tc>
          <w:tcPr>
            <w:tcW w:w="2125" w:type="dxa"/>
            <w:vAlign w:val="center"/>
          </w:tcPr>
          <w:p>
            <w:pPr>
              <w:jc w:val="both"/>
              <w:rPr>
                <w:iCs/>
                <w:szCs w:val="21"/>
                <w:lang w:eastAsia="zh-CN"/>
              </w:rPr>
            </w:pPr>
            <w:r>
              <w:rPr>
                <w:iCs/>
                <w:szCs w:val="21"/>
                <w:lang w:eastAsia="zh-CN"/>
              </w:rPr>
              <w:t>关键</w:t>
            </w:r>
          </w:p>
        </w:tc>
      </w:tr>
      <w:permEnd w:id="7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74" w:edGrp="everyone"/>
          </w:p>
        </w:tc>
        <w:tc>
          <w:tcPr>
            <w:tcW w:w="7128" w:type="dxa"/>
            <w:vAlign w:val="center"/>
          </w:tcPr>
          <w:p>
            <w:pPr>
              <w:spacing w:line="276" w:lineRule="auto"/>
              <w:jc w:val="both"/>
              <w:rPr>
                <w:szCs w:val="21"/>
                <w:lang w:eastAsia="zh-CN"/>
              </w:rPr>
            </w:pPr>
            <w:r>
              <w:rPr>
                <w:rFonts w:hint="eastAsia"/>
                <w:szCs w:val="21"/>
                <w:lang w:eastAsia="zh-CN"/>
              </w:rPr>
              <w:t>设备质保期为一年，一年内免费保修，一年后应提供良好的售后服务。</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szCs w:val="21"/>
                <w:lang w:eastAsia="zh-CN"/>
              </w:rPr>
              <w:t>售后服务必须响应及时，要求设备出现须厂家维修的故障后，应在4小时内明确答复，当电话沟通无法解决时，须24小时内派人至现场解决。</w:t>
            </w:r>
          </w:p>
        </w:tc>
        <w:tc>
          <w:tcPr>
            <w:tcW w:w="2125" w:type="dxa"/>
            <w:vAlign w:val="center"/>
          </w:tcPr>
          <w:p>
            <w:pPr>
              <w:jc w:val="both"/>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一年免费保修期后，厂家应终生提供及时的维修、维护，厂家应定期回访，解决设备运行当中可能出现的疑问，排除潜在故障。。</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厂家应提供合格的备件，用于设备相应部件的维修、更换。</w:t>
            </w:r>
          </w:p>
        </w:tc>
        <w:tc>
          <w:tcPr>
            <w:tcW w:w="2125" w:type="dxa"/>
            <w:vAlign w:val="center"/>
          </w:tcPr>
          <w:p>
            <w:pPr>
              <w:jc w:val="both"/>
              <w:rPr>
                <w:iCs/>
                <w:szCs w:val="21"/>
                <w:lang w:eastAsia="zh-CN"/>
              </w:rPr>
            </w:pPr>
            <w:r>
              <w:rPr>
                <w:iCs/>
                <w:szCs w:val="21"/>
                <w:lang w:eastAsia="zh-CN"/>
              </w:rPr>
              <w:t>关键</w:t>
            </w:r>
          </w:p>
        </w:tc>
      </w:tr>
      <w:permEnd w:id="7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75" w:edGrp="everyone"/>
          </w:p>
        </w:tc>
        <w:tc>
          <w:tcPr>
            <w:tcW w:w="7128" w:type="dxa"/>
            <w:vAlign w:val="center"/>
          </w:tcPr>
          <w:p>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5" w:type="dxa"/>
            <w:vAlign w:val="center"/>
          </w:tcPr>
          <w:p>
            <w:pPr>
              <w:jc w:val="both"/>
              <w:rPr>
                <w:iCs/>
                <w:szCs w:val="21"/>
                <w:lang w:eastAsia="zh-CN"/>
              </w:rPr>
            </w:pPr>
            <w:r>
              <w:rPr>
                <w:iCs/>
                <w:szCs w:val="21"/>
                <w:lang w:eastAsia="zh-CN"/>
              </w:rPr>
              <w:t>关键</w:t>
            </w:r>
          </w:p>
        </w:tc>
      </w:tr>
      <w:permEnd w:id="7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76" w:edGrp="everyone"/>
          </w:p>
        </w:tc>
        <w:tc>
          <w:tcPr>
            <w:tcW w:w="7128" w:type="dxa"/>
            <w:vAlign w:val="center"/>
          </w:tcPr>
          <w:p>
            <w:pPr>
              <w:spacing w:line="276" w:lineRule="auto"/>
              <w:jc w:val="both"/>
              <w:rPr>
                <w:szCs w:val="21"/>
                <w:lang w:eastAsia="zh-CN"/>
              </w:rPr>
            </w:pPr>
            <w:r>
              <w:rPr>
                <w:rFonts w:hint="eastAsia"/>
                <w:szCs w:val="21"/>
                <w:lang w:eastAsia="zh-CN"/>
              </w:rPr>
              <w:t>供应商进厂安装需遵守安全和施工规定</w:t>
            </w:r>
          </w:p>
        </w:tc>
        <w:tc>
          <w:tcPr>
            <w:tcW w:w="2125" w:type="dxa"/>
            <w:vAlign w:val="center"/>
          </w:tcPr>
          <w:p>
            <w:pPr>
              <w:jc w:val="both"/>
              <w:rPr>
                <w:iCs/>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70C0"/>
                <w:lang w:eastAsia="zh-CN"/>
              </w:rPr>
            </w:pPr>
            <w:r>
              <w:rPr>
                <w:rFonts w:hint="eastAsia"/>
                <w:szCs w:val="21"/>
                <w:lang w:eastAsia="zh-CN"/>
              </w:rPr>
              <w:t>确认试车验收合格后，买卖双方签订验收报告</w:t>
            </w:r>
          </w:p>
        </w:tc>
        <w:tc>
          <w:tcPr>
            <w:tcW w:w="2125" w:type="dxa"/>
            <w:vAlign w:val="center"/>
          </w:tcPr>
          <w:p>
            <w:pPr>
              <w:jc w:val="both"/>
              <w:rPr>
                <w:i/>
                <w:color w:val="0070C0"/>
                <w:szCs w:val="21"/>
                <w:lang w:eastAsia="zh-CN"/>
              </w:rPr>
            </w:pPr>
            <w:r>
              <w:rPr>
                <w:iCs/>
                <w:szCs w:val="21"/>
                <w:lang w:eastAsia="zh-CN"/>
              </w:rPr>
              <w:t>关键</w:t>
            </w:r>
          </w:p>
        </w:tc>
      </w:tr>
      <w:permEnd w:id="76"/>
    </w:tbl>
    <w:p/>
    <w:p>
      <w:pPr>
        <w:pStyle w:val="30"/>
        <w:numPr>
          <w:ilvl w:val="0"/>
          <w:numId w:val="3"/>
        </w:numPr>
        <w:spacing w:after="158" w:afterLines="50"/>
        <w:ind w:left="426" w:hanging="426" w:hangingChars="202"/>
        <w:outlineLvl w:val="0"/>
        <w:rPr>
          <w:rFonts w:ascii="Times New Roman" w:hAnsi="Times New Roman"/>
          <w:b/>
        </w:rPr>
      </w:pPr>
      <w:bookmarkStart w:id="46" w:name="_Toc522107746"/>
      <w:bookmarkStart w:id="47" w:name="_Toc52271612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34"/>
        <w:spacing w:before="0" w:line="360" w:lineRule="auto"/>
        <w:ind w:left="357"/>
        <w:jc w:val="left"/>
        <w:rPr>
          <w:color w:val="4472C4"/>
          <w:szCs w:val="21"/>
          <w:lang w:eastAsia="zh-CN"/>
        </w:rPr>
      </w:pPr>
      <w:permStart w:id="77" w:edGrp="everyone"/>
      <w:r>
        <w:rPr>
          <w:szCs w:val="21"/>
          <w:lang w:eastAsia="zh-CN"/>
        </w:rPr>
        <w:t>N/A</w:t>
      </w:r>
      <w:permEnd w:id="77"/>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等线">
    <w:altName w:val="宋体"/>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010417191">
    <w:nsid w:val="B36F5227"/>
    <w:multiLevelType w:val="singleLevel"/>
    <w:tmpl w:val="B36F5227"/>
    <w:lvl w:ilvl="0" w:tentative="1">
      <w:start w:val="1"/>
      <w:numFmt w:val="decimal"/>
      <w:lvlText w:val="(%1)"/>
      <w:lvlJc w:val="left"/>
      <w:pPr>
        <w:ind w:left="425" w:hanging="425"/>
      </w:pPr>
      <w:rPr>
        <w:rFonts w:hint="default"/>
      </w:r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382943692">
    <w:nsid w:val="16D341CC"/>
    <w:multiLevelType w:val="multilevel"/>
    <w:tmpl w:val="16D341CC"/>
    <w:lvl w:ilvl="0" w:tentative="1">
      <w:start w:val="1"/>
      <w:numFmt w:val="decimal"/>
      <w:lvlText w:val="URS %1"/>
      <w:lvlJc w:val="left"/>
      <w:pPr>
        <w:ind w:left="1129" w:hanging="420"/>
      </w:pPr>
      <w:rPr>
        <w:rFonts w:hint="eastAsia"/>
        <w:color w:val="000000"/>
        <w:shd w:val="clear" w:color="auto" w:fill="auto"/>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3010417191"/>
  </w:num>
  <w:num w:numId="10">
    <w:abstractNumId w:val="839589741"/>
  </w:num>
  <w:num w:numId="11">
    <w:abstractNumId w:val="196115971"/>
  </w:num>
  <w:num w:numId="12">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1"/>
  <w:displayVerticalDrawingGridEvery w:val="1"/>
  <w:noPunctuationKerning w:val="1"/>
  <w:characterSpacingControl w:val="doNotCompress"/>
  <w:compat>
    <w:spaceForUL/>
    <w:doNotLeaveBackslashAlone/>
    <w:ulTrailSpace/>
    <w:doNotExpandShiftReturn/>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5D36"/>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22"/>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0DD"/>
    <w:rsid w:val="0007673E"/>
    <w:rsid w:val="00077AE1"/>
    <w:rsid w:val="000818AC"/>
    <w:rsid w:val="00082C13"/>
    <w:rsid w:val="00083D58"/>
    <w:rsid w:val="000844A8"/>
    <w:rsid w:val="00084F90"/>
    <w:rsid w:val="0008658E"/>
    <w:rsid w:val="00086CA0"/>
    <w:rsid w:val="00087002"/>
    <w:rsid w:val="000871F9"/>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38E1"/>
    <w:rsid w:val="000B417D"/>
    <w:rsid w:val="000B45E0"/>
    <w:rsid w:val="000B4EC4"/>
    <w:rsid w:val="000B5888"/>
    <w:rsid w:val="000B7A99"/>
    <w:rsid w:val="000C0A41"/>
    <w:rsid w:val="000C0DD3"/>
    <w:rsid w:val="000C0FA5"/>
    <w:rsid w:val="000C3C81"/>
    <w:rsid w:val="000C41B6"/>
    <w:rsid w:val="000C7137"/>
    <w:rsid w:val="000D112B"/>
    <w:rsid w:val="000D1A79"/>
    <w:rsid w:val="000D3B24"/>
    <w:rsid w:val="000D43C9"/>
    <w:rsid w:val="000D467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0E49"/>
    <w:rsid w:val="00121B6E"/>
    <w:rsid w:val="00122051"/>
    <w:rsid w:val="00124244"/>
    <w:rsid w:val="00124AEB"/>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6AE2"/>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27E"/>
    <w:rsid w:val="001814FA"/>
    <w:rsid w:val="001815A9"/>
    <w:rsid w:val="00182A27"/>
    <w:rsid w:val="00184DDD"/>
    <w:rsid w:val="00184FFD"/>
    <w:rsid w:val="00185449"/>
    <w:rsid w:val="00186314"/>
    <w:rsid w:val="00187B04"/>
    <w:rsid w:val="00190000"/>
    <w:rsid w:val="001929C2"/>
    <w:rsid w:val="00192B8F"/>
    <w:rsid w:val="00193D66"/>
    <w:rsid w:val="00194BB7"/>
    <w:rsid w:val="001950E6"/>
    <w:rsid w:val="00196470"/>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890"/>
    <w:rsid w:val="00203D68"/>
    <w:rsid w:val="0020539A"/>
    <w:rsid w:val="00205E00"/>
    <w:rsid w:val="00206107"/>
    <w:rsid w:val="002070B2"/>
    <w:rsid w:val="0020756B"/>
    <w:rsid w:val="00210177"/>
    <w:rsid w:val="00212297"/>
    <w:rsid w:val="002129BC"/>
    <w:rsid w:val="00212BD9"/>
    <w:rsid w:val="00213381"/>
    <w:rsid w:val="00213AA9"/>
    <w:rsid w:val="002168FE"/>
    <w:rsid w:val="00217048"/>
    <w:rsid w:val="002178C5"/>
    <w:rsid w:val="00220757"/>
    <w:rsid w:val="00222993"/>
    <w:rsid w:val="00223221"/>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441E"/>
    <w:rsid w:val="002D691F"/>
    <w:rsid w:val="002D6A50"/>
    <w:rsid w:val="002D6D1C"/>
    <w:rsid w:val="002E1D21"/>
    <w:rsid w:val="002E3B36"/>
    <w:rsid w:val="002E5807"/>
    <w:rsid w:val="002E59BF"/>
    <w:rsid w:val="002E63F6"/>
    <w:rsid w:val="002E69A1"/>
    <w:rsid w:val="002E74B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00DE"/>
    <w:rsid w:val="00320555"/>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33A"/>
    <w:rsid w:val="00345847"/>
    <w:rsid w:val="00347576"/>
    <w:rsid w:val="00347772"/>
    <w:rsid w:val="00347A51"/>
    <w:rsid w:val="00347B19"/>
    <w:rsid w:val="003531FA"/>
    <w:rsid w:val="0035416F"/>
    <w:rsid w:val="003549FE"/>
    <w:rsid w:val="003557BE"/>
    <w:rsid w:val="00355AAC"/>
    <w:rsid w:val="00355D7D"/>
    <w:rsid w:val="0036261F"/>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13F4"/>
    <w:rsid w:val="00393529"/>
    <w:rsid w:val="00393B6A"/>
    <w:rsid w:val="003946C3"/>
    <w:rsid w:val="00395CE1"/>
    <w:rsid w:val="00395D47"/>
    <w:rsid w:val="00396425"/>
    <w:rsid w:val="003970BE"/>
    <w:rsid w:val="00397C18"/>
    <w:rsid w:val="003A04A8"/>
    <w:rsid w:val="003A1311"/>
    <w:rsid w:val="003A2EC5"/>
    <w:rsid w:val="003A3AAC"/>
    <w:rsid w:val="003A4CAE"/>
    <w:rsid w:val="003A5959"/>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02D2"/>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566A"/>
    <w:rsid w:val="00416443"/>
    <w:rsid w:val="00416E8B"/>
    <w:rsid w:val="00420273"/>
    <w:rsid w:val="00420AA0"/>
    <w:rsid w:val="0042116C"/>
    <w:rsid w:val="00422D19"/>
    <w:rsid w:val="00422DFE"/>
    <w:rsid w:val="00424BD9"/>
    <w:rsid w:val="00424D83"/>
    <w:rsid w:val="00424E29"/>
    <w:rsid w:val="00427CE6"/>
    <w:rsid w:val="00427D22"/>
    <w:rsid w:val="00427E2D"/>
    <w:rsid w:val="00432568"/>
    <w:rsid w:val="00432FED"/>
    <w:rsid w:val="00436C7C"/>
    <w:rsid w:val="00437440"/>
    <w:rsid w:val="00440378"/>
    <w:rsid w:val="00442B53"/>
    <w:rsid w:val="00443256"/>
    <w:rsid w:val="00444D2D"/>
    <w:rsid w:val="0044679E"/>
    <w:rsid w:val="004510B1"/>
    <w:rsid w:val="00451C5D"/>
    <w:rsid w:val="00451D74"/>
    <w:rsid w:val="00452E73"/>
    <w:rsid w:val="004565EF"/>
    <w:rsid w:val="00457FF9"/>
    <w:rsid w:val="004601ED"/>
    <w:rsid w:val="00460711"/>
    <w:rsid w:val="0046108B"/>
    <w:rsid w:val="00467AE6"/>
    <w:rsid w:val="00467EC9"/>
    <w:rsid w:val="00470D55"/>
    <w:rsid w:val="004744C8"/>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3BCE"/>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4CE"/>
    <w:rsid w:val="00517A5D"/>
    <w:rsid w:val="00517E1E"/>
    <w:rsid w:val="005217E8"/>
    <w:rsid w:val="005220FE"/>
    <w:rsid w:val="005228F6"/>
    <w:rsid w:val="005247DE"/>
    <w:rsid w:val="00530B8F"/>
    <w:rsid w:val="00531434"/>
    <w:rsid w:val="00531754"/>
    <w:rsid w:val="00534840"/>
    <w:rsid w:val="0053490E"/>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161"/>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78D"/>
    <w:rsid w:val="005C386F"/>
    <w:rsid w:val="005C42AC"/>
    <w:rsid w:val="005C4D05"/>
    <w:rsid w:val="005C506B"/>
    <w:rsid w:val="005C71BF"/>
    <w:rsid w:val="005C723D"/>
    <w:rsid w:val="005C7601"/>
    <w:rsid w:val="005D1094"/>
    <w:rsid w:val="005D3394"/>
    <w:rsid w:val="005D3989"/>
    <w:rsid w:val="005D42FF"/>
    <w:rsid w:val="005D65A4"/>
    <w:rsid w:val="005E2725"/>
    <w:rsid w:val="005E65FA"/>
    <w:rsid w:val="005F19CE"/>
    <w:rsid w:val="005F28F4"/>
    <w:rsid w:val="005F43BB"/>
    <w:rsid w:val="005F503E"/>
    <w:rsid w:val="005F6CB3"/>
    <w:rsid w:val="005F7612"/>
    <w:rsid w:val="005F7663"/>
    <w:rsid w:val="005F7D63"/>
    <w:rsid w:val="00607170"/>
    <w:rsid w:val="00607408"/>
    <w:rsid w:val="00610AEE"/>
    <w:rsid w:val="00614FFC"/>
    <w:rsid w:val="00615402"/>
    <w:rsid w:val="00615912"/>
    <w:rsid w:val="00616BAC"/>
    <w:rsid w:val="00616ED1"/>
    <w:rsid w:val="00620598"/>
    <w:rsid w:val="00620FEC"/>
    <w:rsid w:val="006214DC"/>
    <w:rsid w:val="006215E2"/>
    <w:rsid w:val="0062168F"/>
    <w:rsid w:val="00621DCE"/>
    <w:rsid w:val="006221A2"/>
    <w:rsid w:val="00625FF8"/>
    <w:rsid w:val="00627113"/>
    <w:rsid w:val="00627B8B"/>
    <w:rsid w:val="00627F51"/>
    <w:rsid w:val="0063106D"/>
    <w:rsid w:val="006312FF"/>
    <w:rsid w:val="00632136"/>
    <w:rsid w:val="00632C67"/>
    <w:rsid w:val="006331B6"/>
    <w:rsid w:val="00633310"/>
    <w:rsid w:val="00633315"/>
    <w:rsid w:val="00633936"/>
    <w:rsid w:val="006366CC"/>
    <w:rsid w:val="00637C16"/>
    <w:rsid w:val="0064048E"/>
    <w:rsid w:val="00641320"/>
    <w:rsid w:val="00641E74"/>
    <w:rsid w:val="006434E3"/>
    <w:rsid w:val="0064366A"/>
    <w:rsid w:val="00644637"/>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673A9"/>
    <w:rsid w:val="00670A00"/>
    <w:rsid w:val="00670C23"/>
    <w:rsid w:val="00672B86"/>
    <w:rsid w:val="00673031"/>
    <w:rsid w:val="00673EB3"/>
    <w:rsid w:val="00680BE8"/>
    <w:rsid w:val="00686409"/>
    <w:rsid w:val="00686D19"/>
    <w:rsid w:val="0068777F"/>
    <w:rsid w:val="00691F9A"/>
    <w:rsid w:val="00692F46"/>
    <w:rsid w:val="00693018"/>
    <w:rsid w:val="006A0059"/>
    <w:rsid w:val="006A7425"/>
    <w:rsid w:val="006B058A"/>
    <w:rsid w:val="006B1299"/>
    <w:rsid w:val="006B26D9"/>
    <w:rsid w:val="006B310C"/>
    <w:rsid w:val="006B664C"/>
    <w:rsid w:val="006B7651"/>
    <w:rsid w:val="006C1125"/>
    <w:rsid w:val="006C1C83"/>
    <w:rsid w:val="006C3E78"/>
    <w:rsid w:val="006C54E6"/>
    <w:rsid w:val="006C5762"/>
    <w:rsid w:val="006C690D"/>
    <w:rsid w:val="006D149F"/>
    <w:rsid w:val="006D3396"/>
    <w:rsid w:val="006D5AFF"/>
    <w:rsid w:val="006E050C"/>
    <w:rsid w:val="006E152B"/>
    <w:rsid w:val="006E15B6"/>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033"/>
    <w:rsid w:val="007524EF"/>
    <w:rsid w:val="00752689"/>
    <w:rsid w:val="00756D1D"/>
    <w:rsid w:val="00760886"/>
    <w:rsid w:val="007615CA"/>
    <w:rsid w:val="00761ADD"/>
    <w:rsid w:val="00762B3A"/>
    <w:rsid w:val="00765D6E"/>
    <w:rsid w:val="00765D7E"/>
    <w:rsid w:val="007674B6"/>
    <w:rsid w:val="00767D71"/>
    <w:rsid w:val="00770E90"/>
    <w:rsid w:val="00772C42"/>
    <w:rsid w:val="0077302F"/>
    <w:rsid w:val="00773661"/>
    <w:rsid w:val="00774A61"/>
    <w:rsid w:val="00774E08"/>
    <w:rsid w:val="00774E72"/>
    <w:rsid w:val="0077746F"/>
    <w:rsid w:val="007775FE"/>
    <w:rsid w:val="00780A5F"/>
    <w:rsid w:val="00784913"/>
    <w:rsid w:val="00785B90"/>
    <w:rsid w:val="00785EF2"/>
    <w:rsid w:val="0078639C"/>
    <w:rsid w:val="007913D3"/>
    <w:rsid w:val="0079790C"/>
    <w:rsid w:val="007A102A"/>
    <w:rsid w:val="007A15E6"/>
    <w:rsid w:val="007A194B"/>
    <w:rsid w:val="007A2240"/>
    <w:rsid w:val="007A4BCD"/>
    <w:rsid w:val="007A5714"/>
    <w:rsid w:val="007A5EFA"/>
    <w:rsid w:val="007A6821"/>
    <w:rsid w:val="007A75EF"/>
    <w:rsid w:val="007B03B6"/>
    <w:rsid w:val="007B1257"/>
    <w:rsid w:val="007B33CC"/>
    <w:rsid w:val="007B4133"/>
    <w:rsid w:val="007B49F4"/>
    <w:rsid w:val="007B6AC0"/>
    <w:rsid w:val="007B7AB4"/>
    <w:rsid w:val="007C2405"/>
    <w:rsid w:val="007C2815"/>
    <w:rsid w:val="007C2A54"/>
    <w:rsid w:val="007C2B69"/>
    <w:rsid w:val="007C2DC1"/>
    <w:rsid w:val="007C3B05"/>
    <w:rsid w:val="007C3D25"/>
    <w:rsid w:val="007C4998"/>
    <w:rsid w:val="007C668F"/>
    <w:rsid w:val="007C723F"/>
    <w:rsid w:val="007C778D"/>
    <w:rsid w:val="007D07D6"/>
    <w:rsid w:val="007D14D0"/>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7F7865"/>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1271"/>
    <w:rsid w:val="00852488"/>
    <w:rsid w:val="0085405E"/>
    <w:rsid w:val="008571DD"/>
    <w:rsid w:val="0085772E"/>
    <w:rsid w:val="00860344"/>
    <w:rsid w:val="00860E2C"/>
    <w:rsid w:val="00864BC6"/>
    <w:rsid w:val="008657DE"/>
    <w:rsid w:val="00865EE6"/>
    <w:rsid w:val="00866F94"/>
    <w:rsid w:val="00870D23"/>
    <w:rsid w:val="00872B72"/>
    <w:rsid w:val="00873022"/>
    <w:rsid w:val="00875BDA"/>
    <w:rsid w:val="00876468"/>
    <w:rsid w:val="008767E1"/>
    <w:rsid w:val="00876CC7"/>
    <w:rsid w:val="008823E4"/>
    <w:rsid w:val="008837C4"/>
    <w:rsid w:val="008849F3"/>
    <w:rsid w:val="00884E78"/>
    <w:rsid w:val="00885DB2"/>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4E80"/>
    <w:rsid w:val="008A56DB"/>
    <w:rsid w:val="008A6CFC"/>
    <w:rsid w:val="008B17A6"/>
    <w:rsid w:val="008B2125"/>
    <w:rsid w:val="008B25D4"/>
    <w:rsid w:val="008B38E5"/>
    <w:rsid w:val="008B58C4"/>
    <w:rsid w:val="008B6CD2"/>
    <w:rsid w:val="008B72DD"/>
    <w:rsid w:val="008C050B"/>
    <w:rsid w:val="008C1132"/>
    <w:rsid w:val="008C2732"/>
    <w:rsid w:val="008C302A"/>
    <w:rsid w:val="008C3E42"/>
    <w:rsid w:val="008C465A"/>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27AE"/>
    <w:rsid w:val="008E3041"/>
    <w:rsid w:val="008E41D3"/>
    <w:rsid w:val="008E43F1"/>
    <w:rsid w:val="008E594F"/>
    <w:rsid w:val="008E7312"/>
    <w:rsid w:val="008F1E7B"/>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3F82"/>
    <w:rsid w:val="009742DA"/>
    <w:rsid w:val="009743BE"/>
    <w:rsid w:val="009753A0"/>
    <w:rsid w:val="00977437"/>
    <w:rsid w:val="00977C89"/>
    <w:rsid w:val="00980AB3"/>
    <w:rsid w:val="009818DF"/>
    <w:rsid w:val="009848CB"/>
    <w:rsid w:val="00984D10"/>
    <w:rsid w:val="0098600B"/>
    <w:rsid w:val="009861C1"/>
    <w:rsid w:val="00987177"/>
    <w:rsid w:val="00987F11"/>
    <w:rsid w:val="0099128D"/>
    <w:rsid w:val="009917F1"/>
    <w:rsid w:val="00991E37"/>
    <w:rsid w:val="00991E74"/>
    <w:rsid w:val="009926A6"/>
    <w:rsid w:val="0099415E"/>
    <w:rsid w:val="009948BF"/>
    <w:rsid w:val="00997825"/>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C4C28"/>
    <w:rsid w:val="009D07A0"/>
    <w:rsid w:val="009D107D"/>
    <w:rsid w:val="009D1871"/>
    <w:rsid w:val="009D2985"/>
    <w:rsid w:val="009D3033"/>
    <w:rsid w:val="009D5770"/>
    <w:rsid w:val="009D6AF5"/>
    <w:rsid w:val="009D6CF1"/>
    <w:rsid w:val="009D74BA"/>
    <w:rsid w:val="009E0874"/>
    <w:rsid w:val="009E1187"/>
    <w:rsid w:val="009E1A16"/>
    <w:rsid w:val="009E2045"/>
    <w:rsid w:val="009E4A84"/>
    <w:rsid w:val="009E6973"/>
    <w:rsid w:val="009F0466"/>
    <w:rsid w:val="009F4004"/>
    <w:rsid w:val="009F4200"/>
    <w:rsid w:val="009F4933"/>
    <w:rsid w:val="009F5FD0"/>
    <w:rsid w:val="009F6DD5"/>
    <w:rsid w:val="009F7B12"/>
    <w:rsid w:val="00A020A2"/>
    <w:rsid w:val="00A0297B"/>
    <w:rsid w:val="00A02B36"/>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878"/>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2EBB"/>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69DF"/>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40D"/>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468EB"/>
    <w:rsid w:val="00B503CD"/>
    <w:rsid w:val="00B50BE8"/>
    <w:rsid w:val="00B548AB"/>
    <w:rsid w:val="00B54BBE"/>
    <w:rsid w:val="00B553F8"/>
    <w:rsid w:val="00B560B6"/>
    <w:rsid w:val="00B5630E"/>
    <w:rsid w:val="00B62FB6"/>
    <w:rsid w:val="00B635BF"/>
    <w:rsid w:val="00B700C0"/>
    <w:rsid w:val="00B7050A"/>
    <w:rsid w:val="00B70904"/>
    <w:rsid w:val="00B70A42"/>
    <w:rsid w:val="00B74791"/>
    <w:rsid w:val="00B76AF9"/>
    <w:rsid w:val="00B8115B"/>
    <w:rsid w:val="00B81AE2"/>
    <w:rsid w:val="00B82D30"/>
    <w:rsid w:val="00B87F62"/>
    <w:rsid w:val="00B90D33"/>
    <w:rsid w:val="00B914A4"/>
    <w:rsid w:val="00B92497"/>
    <w:rsid w:val="00B92D41"/>
    <w:rsid w:val="00B93679"/>
    <w:rsid w:val="00B9422D"/>
    <w:rsid w:val="00B951FB"/>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8AC"/>
    <w:rsid w:val="00BC6B29"/>
    <w:rsid w:val="00BC798C"/>
    <w:rsid w:val="00BC7D11"/>
    <w:rsid w:val="00BD00FD"/>
    <w:rsid w:val="00BD15A2"/>
    <w:rsid w:val="00BD1667"/>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17F1"/>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38C"/>
    <w:rsid w:val="00C5165A"/>
    <w:rsid w:val="00C52841"/>
    <w:rsid w:val="00C5489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D304E"/>
    <w:rsid w:val="00CE07A9"/>
    <w:rsid w:val="00CE1012"/>
    <w:rsid w:val="00CE419E"/>
    <w:rsid w:val="00CE5011"/>
    <w:rsid w:val="00CE574A"/>
    <w:rsid w:val="00CE5DC5"/>
    <w:rsid w:val="00CE627F"/>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CFD"/>
    <w:rsid w:val="00D20E20"/>
    <w:rsid w:val="00D21C3A"/>
    <w:rsid w:val="00D228DA"/>
    <w:rsid w:val="00D22E01"/>
    <w:rsid w:val="00D238A5"/>
    <w:rsid w:val="00D24621"/>
    <w:rsid w:val="00D2600F"/>
    <w:rsid w:val="00D30EEA"/>
    <w:rsid w:val="00D31534"/>
    <w:rsid w:val="00D32C1F"/>
    <w:rsid w:val="00D33FC2"/>
    <w:rsid w:val="00D37394"/>
    <w:rsid w:val="00D4164B"/>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6F55"/>
    <w:rsid w:val="00D77D65"/>
    <w:rsid w:val="00D80448"/>
    <w:rsid w:val="00D80C4F"/>
    <w:rsid w:val="00D8149F"/>
    <w:rsid w:val="00D814FB"/>
    <w:rsid w:val="00D83D95"/>
    <w:rsid w:val="00D86543"/>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57ED"/>
    <w:rsid w:val="00DF6C58"/>
    <w:rsid w:val="00E001C1"/>
    <w:rsid w:val="00E039F3"/>
    <w:rsid w:val="00E03C30"/>
    <w:rsid w:val="00E04409"/>
    <w:rsid w:val="00E078BD"/>
    <w:rsid w:val="00E078F8"/>
    <w:rsid w:val="00E103BE"/>
    <w:rsid w:val="00E1074E"/>
    <w:rsid w:val="00E1142B"/>
    <w:rsid w:val="00E11F10"/>
    <w:rsid w:val="00E1510C"/>
    <w:rsid w:val="00E157E4"/>
    <w:rsid w:val="00E15950"/>
    <w:rsid w:val="00E16522"/>
    <w:rsid w:val="00E1750C"/>
    <w:rsid w:val="00E178A6"/>
    <w:rsid w:val="00E20545"/>
    <w:rsid w:val="00E223C6"/>
    <w:rsid w:val="00E2443D"/>
    <w:rsid w:val="00E24789"/>
    <w:rsid w:val="00E26615"/>
    <w:rsid w:val="00E2697D"/>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5B"/>
    <w:rsid w:val="00E61C74"/>
    <w:rsid w:val="00E63D8F"/>
    <w:rsid w:val="00E706B6"/>
    <w:rsid w:val="00E75FC2"/>
    <w:rsid w:val="00E76FF1"/>
    <w:rsid w:val="00E774FE"/>
    <w:rsid w:val="00E809A0"/>
    <w:rsid w:val="00E80AF7"/>
    <w:rsid w:val="00E84407"/>
    <w:rsid w:val="00E85E54"/>
    <w:rsid w:val="00E86146"/>
    <w:rsid w:val="00E86A76"/>
    <w:rsid w:val="00E87A90"/>
    <w:rsid w:val="00E904D1"/>
    <w:rsid w:val="00E91004"/>
    <w:rsid w:val="00E92425"/>
    <w:rsid w:val="00E92AD3"/>
    <w:rsid w:val="00E959EA"/>
    <w:rsid w:val="00E96237"/>
    <w:rsid w:val="00E965D7"/>
    <w:rsid w:val="00E96D30"/>
    <w:rsid w:val="00EA1327"/>
    <w:rsid w:val="00EA623C"/>
    <w:rsid w:val="00EA6395"/>
    <w:rsid w:val="00EB044B"/>
    <w:rsid w:val="00EB067C"/>
    <w:rsid w:val="00EB1799"/>
    <w:rsid w:val="00EB3C66"/>
    <w:rsid w:val="00EB4B03"/>
    <w:rsid w:val="00EB5DEE"/>
    <w:rsid w:val="00EB64CB"/>
    <w:rsid w:val="00EB6D46"/>
    <w:rsid w:val="00EC07F3"/>
    <w:rsid w:val="00EC3194"/>
    <w:rsid w:val="00EC32E1"/>
    <w:rsid w:val="00EC518D"/>
    <w:rsid w:val="00EC69B1"/>
    <w:rsid w:val="00EC71D3"/>
    <w:rsid w:val="00ED02FE"/>
    <w:rsid w:val="00ED1EC9"/>
    <w:rsid w:val="00ED3737"/>
    <w:rsid w:val="00ED3856"/>
    <w:rsid w:val="00ED3E2E"/>
    <w:rsid w:val="00ED4CC8"/>
    <w:rsid w:val="00ED6A08"/>
    <w:rsid w:val="00ED7B13"/>
    <w:rsid w:val="00EE05EE"/>
    <w:rsid w:val="00EE0AE2"/>
    <w:rsid w:val="00EE35B4"/>
    <w:rsid w:val="00EE4DB8"/>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4284"/>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0FF6"/>
    <w:rsid w:val="00FC1FDF"/>
    <w:rsid w:val="00FC3360"/>
    <w:rsid w:val="00FC3E27"/>
    <w:rsid w:val="00FC493B"/>
    <w:rsid w:val="00FC63E5"/>
    <w:rsid w:val="00FD0E54"/>
    <w:rsid w:val="00FD2B71"/>
    <w:rsid w:val="00FD3576"/>
    <w:rsid w:val="00FD52D6"/>
    <w:rsid w:val="00FD56FC"/>
    <w:rsid w:val="00FD752B"/>
    <w:rsid w:val="00FD7C20"/>
    <w:rsid w:val="00FD7DD7"/>
    <w:rsid w:val="00FD7EB3"/>
    <w:rsid w:val="00FE032F"/>
    <w:rsid w:val="00FE033E"/>
    <w:rsid w:val="00FE0D2F"/>
    <w:rsid w:val="00FE31C6"/>
    <w:rsid w:val="00FE4539"/>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421327D"/>
    <w:rsid w:val="22424C00"/>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uiPriority w:val="0"/>
    <w:rPr>
      <w:b/>
      <w:bCs/>
    </w:rPr>
  </w:style>
  <w:style w:type="paragraph" w:styleId="7">
    <w:name w:val="annotation text"/>
    <w:basedOn w:val="1"/>
    <w:link w:val="37"/>
    <w:semiHidden/>
    <w:uiPriority w:val="0"/>
  </w:style>
  <w:style w:type="paragraph" w:styleId="8">
    <w:name w:val="Body Text 3"/>
    <w:basedOn w:val="1"/>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uiPriority w:val="0"/>
    <w:pPr>
      <w:spacing w:after="120"/>
      <w:ind w:left="420" w:leftChars="200"/>
    </w:pPr>
  </w:style>
  <w:style w:type="paragraph" w:styleId="11">
    <w:name w:val="toc 3"/>
    <w:basedOn w:val="1"/>
    <w:next w:val="1"/>
    <w:uiPriority w:val="39"/>
    <w:pPr>
      <w:tabs>
        <w:tab w:val="right" w:leader="dot" w:pos="8302"/>
        <w:tab w:val="right" w:leader="dot" w:pos="8835"/>
      </w:tabs>
      <w:spacing w:line="360" w:lineRule="auto"/>
      <w:ind w:left="300" w:leftChars="300"/>
    </w:pPr>
    <w:rPr>
      <w:sz w:val="20"/>
    </w:rPr>
  </w:style>
  <w:style w:type="paragraph" w:styleId="12">
    <w:name w:val="Body Text Indent 2"/>
    <w:basedOn w:val="1"/>
    <w:uiPriority w:val="0"/>
    <w:pPr>
      <w:spacing w:after="120" w:line="480" w:lineRule="auto"/>
      <w:ind w:left="420" w:leftChars="200"/>
    </w:pPr>
  </w:style>
  <w:style w:type="paragraph" w:styleId="13">
    <w:name w:val="Balloon Text"/>
    <w:basedOn w:val="1"/>
    <w:semiHidden/>
    <w:uiPriority w:val="0"/>
    <w:rPr>
      <w:sz w:val="18"/>
      <w:szCs w:val="18"/>
    </w:rPr>
  </w:style>
  <w:style w:type="paragraph" w:styleId="14">
    <w:name w:val="footer"/>
    <w:basedOn w:val="1"/>
    <w:link w:val="38"/>
    <w:uiPriority w:val="99"/>
    <w:pPr>
      <w:tabs>
        <w:tab w:val="center" w:pos="4320"/>
        <w:tab w:val="right" w:pos="8640"/>
      </w:tabs>
    </w:pPr>
  </w:style>
  <w:style w:type="paragraph" w:styleId="15">
    <w:name w:val="header"/>
    <w:basedOn w:val="1"/>
    <w:link w:val="36"/>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character" w:styleId="20">
    <w:name w:val="page number"/>
    <w:basedOn w:val="19"/>
    <w:uiPriority w:val="0"/>
    <w:rPr/>
  </w:style>
  <w:style w:type="character" w:styleId="21">
    <w:name w:val="Hyperlink"/>
    <w:uiPriority w:val="99"/>
    <w:rPr>
      <w:color w:val="0000FF"/>
      <w:u w:val="single"/>
    </w:rPr>
  </w:style>
  <w:style w:type="character" w:styleId="22">
    <w:name w:val="annotation reference"/>
    <w:semiHidden/>
    <w:qFormat/>
    <w:uiPriority w:val="0"/>
    <w:rPr>
      <w:sz w:val="21"/>
      <w:szCs w:val="21"/>
    </w:rPr>
  </w:style>
  <w:style w:type="table" w:styleId="24">
    <w:name w:val="Table Grid"/>
    <w:basedOn w:val="23"/>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5">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uiPriority w:val="0"/>
    <w:pPr>
      <w:textAlignment w:val="auto"/>
    </w:pPr>
    <w:rPr>
      <w:rFonts w:ascii="Arial" w:hAnsi="Arial"/>
      <w:szCs w:val="24"/>
      <w:lang w:val="en-US"/>
    </w:rPr>
  </w:style>
  <w:style w:type="paragraph" w:customStyle="1" w:styleId="27">
    <w:name w:val="Style"/>
    <w:basedOn w:val="1"/>
    <w:uiPriority w:val="0"/>
    <w:pPr>
      <w:textAlignment w:val="auto"/>
    </w:pPr>
    <w:rPr>
      <w:rFonts w:ascii="Arial" w:hAnsi="Arial"/>
      <w:szCs w:val="24"/>
      <w:lang w:val="en-US"/>
    </w:rPr>
  </w:style>
  <w:style w:type="paragraph" w:customStyle="1" w:styleId="28">
    <w:name w:val="正文1"/>
    <w:basedOn w:val="1"/>
    <w:uiPriority w:val="0"/>
    <w:pPr>
      <w:textAlignment w:val="auto"/>
    </w:pPr>
    <w:rPr>
      <w:rFonts w:ascii="Arial" w:hAnsi="Arial"/>
      <w:sz w:val="20"/>
      <w:lang w:val="en-US"/>
    </w:rPr>
  </w:style>
  <w:style w:type="paragraph" w:customStyle="1" w:styleId="29">
    <w:name w:val="修订1"/>
    <w:hidden/>
    <w:semiHidden/>
    <w:qFormat/>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标题1"/>
    <w:basedOn w:val="2"/>
    <w:next w:val="1"/>
    <w:qFormat/>
    <w:uiPriority w:val="39"/>
    <w:pPr>
      <w:numPr>
        <w:ilvl w:val="0"/>
        <w:numId w:val="0"/>
      </w:numPr>
      <w:outlineLvl w:val="9"/>
    </w:pPr>
  </w:style>
  <w:style w:type="paragraph" w:customStyle="1" w:styleId="32">
    <w:name w:val="numbering blue"/>
    <w:basedOn w:val="1"/>
    <w:link w:val="41"/>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2"/>
    <w:qFormat/>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character" w:customStyle="1" w:styleId="36">
    <w:name w:val="页眉 字符"/>
    <w:link w:val="15"/>
    <w:qFormat/>
    <w:uiPriority w:val="0"/>
    <w:rPr>
      <w:rFonts w:eastAsia="宋体"/>
      <w:sz w:val="24"/>
      <w:lang w:eastAsia="en-US" w:bidi="ar-SA"/>
    </w:rPr>
  </w:style>
  <w:style w:type="character" w:customStyle="1" w:styleId="37">
    <w:name w:val="批注文字 字符"/>
    <w:link w:val="7"/>
    <w:semiHidden/>
    <w:uiPriority w:val="0"/>
    <w:rPr>
      <w:sz w:val="24"/>
      <w:lang w:eastAsia="en-US"/>
    </w:rPr>
  </w:style>
  <w:style w:type="character" w:customStyle="1" w:styleId="38">
    <w:name w:val="页脚 字符"/>
    <w:link w:val="14"/>
    <w:uiPriority w:val="99"/>
    <w:rPr>
      <w:sz w:val="24"/>
      <w:lang w:eastAsia="en-US"/>
    </w:rPr>
  </w:style>
  <w:style w:type="character" w:customStyle="1" w:styleId="39">
    <w:name w:val="instruction standard blue"/>
    <w:qFormat/>
    <w:uiPriority w:val="1"/>
    <w:rPr>
      <w:rFonts w:cs="Arial"/>
      <w:i/>
      <w:color w:val="0070C0"/>
    </w:rPr>
  </w:style>
  <w:style w:type="character" w:customStyle="1" w:styleId="40">
    <w:name w:val="keyword"/>
    <w:basedOn w:val="19"/>
    <w:qFormat/>
    <w:uiPriority w:val="0"/>
    <w:rPr/>
  </w:style>
  <w:style w:type="character" w:customStyle="1" w:styleId="41">
    <w:name w:val="numbering blue Zchn"/>
    <w:link w:val="32"/>
    <w:qFormat/>
    <w:uiPriority w:val="0"/>
    <w:rPr>
      <w:rFonts w:ascii="Arial" w:hAnsi="Arial" w:eastAsia="PMingLiU"/>
      <w:color w:val="0070C0"/>
      <w:lang w:eastAsia="zh-TW"/>
    </w:rPr>
  </w:style>
  <w:style w:type="character" w:customStyle="1" w:styleId="42">
    <w:name w:val="Text Char"/>
    <w:link w:val="34"/>
    <w:qFormat/>
    <w:locked/>
    <w:uiPriority w:val="0"/>
    <w:rPr>
      <w:sz w:val="24"/>
      <w:lang w:eastAsia="en-US"/>
    </w:rPr>
  </w:style>
  <w:style w:type="character" w:customStyle="1" w:styleId="43">
    <w:name w:val="ordinary-span-edit2"/>
    <w:qFormat/>
    <w:uiPriority w:val="0"/>
  </w:style>
  <w:style w:type="character" w:customStyle="1" w:styleId="44">
    <w:name w:val="apple-converted-space"/>
    <w:basedOn w:val="19"/>
    <w:qFormat/>
    <w:uiPriority w:val="0"/>
    <w:rPr/>
  </w:style>
  <w:style w:type="character" w:customStyle="1" w:styleId="45">
    <w:name w:val="标题 字符"/>
    <w:link w:val="18"/>
    <w:qFormat/>
    <w:uiPriority w:val="0"/>
    <w:rPr>
      <w:rFonts w:ascii="Calibri Light" w:hAnsi="Calibri Light" w:cs="Times New Roman"/>
      <w:b/>
      <w:bCs/>
      <w:sz w:val="32"/>
      <w:szCs w:val="32"/>
      <w:lang w:eastAsia="en-US"/>
    </w:rPr>
  </w:style>
  <w:style w:type="character" w:customStyle="1" w:styleId="46">
    <w:name w:val="Footer Char"/>
    <w:basedOn w:val="19"/>
    <w:semiHidden/>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1531</Words>
  <Characters>8729</Characters>
  <Lines>72</Lines>
  <Paragraphs>20</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2019-04-02T03:28:00Z</dcterms:created>
  <dc:creator>Lilly</dc:creator>
  <cp:lastModifiedBy>汪洋</cp:lastModifiedBy>
  <cp:lastPrinted>2020-09-21T03:29:00Z</cp:lastPrinted>
  <dcterms:modified xsi:type="dcterms:W3CDTF">2020-11-25T06:06:27Z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