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2717189"/>
      <w:bookmarkStart w:id="1" w:name="_Toc484532399"/>
      <w:bookmarkStart w:id="2" w:name="_Toc483400307"/>
      <w:bookmarkStart w:id="3" w:name="_Toc483666358"/>
      <w:bookmarkStart w:id="4" w:name="_Toc483227223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细菌类疫苗室联合疫苗楼破伤风原液车间</w:t>
      </w:r>
      <w:r>
        <w:rPr>
          <w:rFonts w:hint="eastAsia"/>
          <w:b/>
          <w:color w:val="000000"/>
          <w:sz w:val="28"/>
          <w:szCs w:val="28"/>
          <w:lang w:eastAsia="zh-CN"/>
        </w:rPr>
        <w:t>显微镜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>目录</w:t>
      </w:r>
    </w:p>
    <w:p>
      <w:pPr>
        <w:rPr>
          <w:i/>
          <w:color w:val="00B0F0"/>
          <w:lang w:val="zh-CN" w:eastAsia="zh-CN"/>
        </w:rPr>
      </w:pPr>
      <w:permStart w:id="2" w:edGrp="everyone"/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716115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1702475"/>
      <w:bookmarkStart w:id="8" w:name="_Toc482359936"/>
      <w:bookmarkStart w:id="9" w:name="_Toc482360281"/>
      <w:bookmarkStart w:id="10" w:name="_Toc482369805"/>
      <w:bookmarkStart w:id="11" w:name="_Toc482370061"/>
      <w:bookmarkStart w:id="12" w:name="_Toc482370141"/>
      <w:bookmarkStart w:id="13" w:name="_Toc482370349"/>
      <w:bookmarkStart w:id="14" w:name="_Toc482370757"/>
      <w:bookmarkStart w:id="15" w:name="_Toc48262527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细菌类疫苗室联合疫苗楼破伤风疫苗原液车间显微镜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细菌类疫苗室联合疫苗楼破伤风疫苗原液车间显微镜的购买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2271611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iCs/>
          <w:szCs w:val="21"/>
          <w:lang w:eastAsia="zh-CN"/>
        </w:rPr>
        <w:t>中国药典</w:t>
      </w:r>
      <w:r>
        <w:rPr>
          <w:iCs/>
          <w:szCs w:val="21"/>
        </w:rPr>
        <w:t>2015年版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kern w:val="2"/>
          <w:szCs w:val="24"/>
          <w:lang w:eastAsia="zh-CN"/>
        </w:rPr>
        <w:t>《药品生产质量管理规范》（2010年修订版）及附录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kern w:val="2"/>
          <w:szCs w:val="24"/>
          <w:lang w:eastAsia="zh-CN"/>
        </w:rPr>
        <w:t>《药品G</w:t>
      </w:r>
      <w:r>
        <w:rPr>
          <w:rFonts w:ascii="宋体" w:hAnsi="宋体"/>
          <w:color w:val="000000"/>
          <w:kern w:val="2"/>
          <w:szCs w:val="24"/>
          <w:lang w:eastAsia="zh-CN"/>
        </w:rPr>
        <w:t>MP</w:t>
      </w:r>
      <w:r>
        <w:rPr>
          <w:rFonts w:hint="eastAsia" w:ascii="宋体" w:hAnsi="宋体"/>
          <w:color w:val="000000"/>
          <w:kern w:val="2"/>
          <w:szCs w:val="24"/>
          <w:lang w:eastAsia="zh-CN"/>
        </w:rPr>
        <w:t>指南》无菌药品（2011版）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6" w:edGrp="everyone"/>
      <w:r>
        <w:rPr>
          <w:color w:val="000000"/>
          <w:szCs w:val="21"/>
          <w:lang w:eastAsia="zh-CN"/>
        </w:rPr>
        <w:t>电气安全应符合GB4793.1和GB4793.4的要求。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有电气设备的电线和电缆必须依据</w:t>
      </w:r>
      <w:r>
        <w:rPr>
          <w:color w:val="000000"/>
          <w:szCs w:val="21"/>
          <w:lang w:eastAsia="zh-CN"/>
        </w:rPr>
        <w:t>ICE</w:t>
      </w:r>
      <w:r>
        <w:rPr>
          <w:rFonts w:hint="eastAsia"/>
          <w:color w:val="000000"/>
          <w:szCs w:val="21"/>
          <w:lang w:eastAsia="zh-CN"/>
        </w:rPr>
        <w:t>标准。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安全达到国内相关标准及</w:t>
      </w:r>
      <w:r>
        <w:rPr>
          <w:color w:val="000000"/>
          <w:szCs w:val="21"/>
          <w:lang w:eastAsia="zh-CN"/>
        </w:rPr>
        <w:t>CE</w:t>
      </w:r>
      <w:r>
        <w:rPr>
          <w:rFonts w:hint="eastAsia"/>
          <w:color w:val="000000"/>
          <w:szCs w:val="21"/>
          <w:lang w:eastAsia="zh-CN"/>
        </w:rPr>
        <w:t>标准要求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设备功能失调或者故障的情况下，必须配备所有必要的保护措施，保证设备和产品仍然处于一个安全状态。必须提供设施保证人员，产品和设备安全。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522716119"/>
      <w:permStart w:id="7" w:edGrp="everyone"/>
      <w:permEnd w:id="7"/>
      <w:bookmarkStart w:id="47" w:name="_GoBack"/>
      <w:bookmarkEnd w:id="47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color w:val="000000"/>
          <w:kern w:val="2"/>
          <w:szCs w:val="21"/>
          <w:lang w:eastAsia="zh-CN"/>
        </w:rPr>
        <w:t>为及时掌握破伤风菌种和大罐培养时菌体的生长情况，以及留存影像，需要显微镜辅助生产。</w:t>
      </w:r>
    </w:p>
    <w:permEnd w:id="8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细菌类疫苗室联合疫苗大楼破伤风原液车间</w:t>
            </w:r>
            <w:r>
              <w:rPr>
                <w:rFonts w:hint="eastAsia"/>
                <w:color w:val="000000"/>
                <w:szCs w:val="21"/>
                <w:lang w:eastAsia="zh-CN"/>
              </w:rPr>
              <w:t>D级区域</w:t>
            </w:r>
            <w:r>
              <w:rPr>
                <w:rFonts w:hint="eastAsia"/>
                <w:color w:val="000000"/>
                <w:szCs w:val="21"/>
                <w:lang w:eastAsia="zh-CN"/>
              </w:rPr>
              <w:t>大罐间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外形尺寸(长*宽*高)不大于：300mm*300mm*500mm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</w:t>
            </w:r>
            <w:r>
              <w:rPr>
                <w:rFonts w:hint="eastAsia"/>
                <w:color w:val="000000"/>
                <w:szCs w:val="21"/>
                <w:lang w:eastAsia="zh-CN"/>
              </w:rPr>
              <w:t>显微镜</w:t>
            </w:r>
            <w:r>
              <w:rPr>
                <w:color w:val="000000"/>
                <w:szCs w:val="21"/>
                <w:lang w:eastAsia="zh-CN"/>
              </w:rPr>
              <w:t>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供应商应提供所需公用系统的参数要求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适用于我公司工作环境温度：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能适应18</w:t>
            </w:r>
            <w:r>
              <w:rPr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/>
                <w:color w:val="000000"/>
                <w:szCs w:val="21"/>
                <w:lang w:eastAsia="zh-CN"/>
              </w:rPr>
              <w:t>26℃环境。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lang w:eastAsia="zh-CN"/>
              </w:rPr>
              <w:t>45%～65%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适用于我公司工作环境洁净级别：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D级别区。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</w:t>
            </w:r>
            <w:r>
              <w:rPr>
                <w:i/>
                <w:iCs/>
                <w:lang w:eastAsia="zh-CN"/>
              </w:rPr>
              <w:t>：</w:t>
            </w:r>
            <w:r>
              <w:rPr>
                <w:lang w:eastAsia="zh-CN"/>
              </w:rPr>
              <w:t>～220±10%V，50±1Hz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外表面光滑平整耐盐耐腐蚀不能生锈，可经受多次臭氧、甲醛、过氧化氢熏蒸而不腐蚀，且没有明显划痕、凹陷、脱落、裂纹、锈蚀以及其它肉眼可见的外观缺陷，易清洗消毒。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标识：至少应有以下永久贴牢和清楚易认的标识：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（6）安全标识。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7</w:t>
            </w:r>
            <w:r>
              <w:rPr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温度范围</w:t>
            </w:r>
            <w:r>
              <w:rPr>
                <w:color w:val="000000"/>
                <w:szCs w:val="21"/>
                <w:lang w:eastAsia="zh-CN"/>
              </w:rPr>
              <w:t>。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8</w:t>
            </w:r>
            <w:r>
              <w:rPr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内室规格</w:t>
            </w:r>
            <w:r>
              <w:rPr>
                <w:color w:val="000000"/>
                <w:szCs w:val="21"/>
                <w:lang w:eastAsia="zh-CN"/>
              </w:rPr>
              <w:t>。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电压、电流、功率、频率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9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716121"/>
      <w:bookmarkStart w:id="26" w:name="_Toc522107740"/>
      <w:r>
        <w:rPr>
          <w:rFonts w:ascii="Times New Roman" w:hAnsi="Times New Roman"/>
          <w:b/>
        </w:rPr>
        <w:t>运行要求</w:t>
      </w:r>
      <w:bookmarkEnd w:id="25"/>
      <w:bookmarkEnd w:id="26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0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适用于细菌的革兰氏染色结果观测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大视场目镜：具有可调节目镜筒的视度调节圈，配置10×目镜（3个），另配置25×目镜（3个）备用。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三目镜配置，两目镜用于人眼观察，第三目镜用于连接相机可拍照输出图像。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目镜为推拉式观察头，可水平拉伸进行瞳距调节，45°倾斜。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配置4X、10X、40X、100X195消色差物镜，成像应清晰锐利，效果逼真。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聚光镜的亮度可调节，也可通过升降手轮对图像亮度进行调节。配备光圈拨片可调节观察景深及视野层次感。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具有XY轴移动载物台，X轴移动行程不小于80mm，Y轴移动行程不小于50mm，可根据样品观察位置调节载物台。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带限位机构，调整好载物台与物镜的距离后，紧锁升降台，避免使用过程中调整升降台时物镜与观察样品发生撞击，从而起到保护物镜的作用。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配备调焦松紧调节，同轴粗微调焦结构，带松紧调节圈，顺时针或逆时针转动松紧调节圈可以调节粗动手轮的手感轻重。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相机参数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图像传感器：不小于2000万像素；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感光尺寸：1/2.3英寸；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像元尺寸：1.335μm×1.335μm；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输出接口：HDMI、USB、TF Card；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拍照分辨率：2100万像素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录像分辨率：K@30帧，1080p@60帧；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HDMI输出：逐行1920*1080 60帧，可与USB同时输出，支持4：3、16：9、16：10屏幕，保证图像不变形；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USB输出：具备USB3.0接口；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TF卡存储容量：不低于64GB;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辅助线：8条颜色粗细位置可调的十字线，2条带刻度的十字刻度线，2条颜色粗细位置可调的十字虚线；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黑白、负片：支持；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语言：中文；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数字缩放：支持；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镜头接口：C/CS口。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可用HDMI接口或USB接口连接液晶屏进行图像观察等功能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输出的图像带标尺可直接观测菌体大致尺寸，输出图片具备300dpi 的TIFF格式以及JPEG格式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显示屏尺寸1</w:t>
            </w:r>
            <w:r>
              <w:rPr>
                <w:szCs w:val="21"/>
                <w:lang w:val="en-US" w:eastAsia="zh-CN"/>
              </w:rPr>
              <w:t>0-14</w:t>
            </w:r>
            <w:r>
              <w:rPr>
                <w:rFonts w:hint="eastAsia"/>
                <w:szCs w:val="21"/>
                <w:lang w:val="en-US" w:eastAsia="zh-CN"/>
              </w:rPr>
              <w:t>寸，分辨率不低于1</w:t>
            </w:r>
            <w:r>
              <w:rPr>
                <w:szCs w:val="21"/>
                <w:lang w:val="en-US" w:eastAsia="zh-CN"/>
              </w:rPr>
              <w:t>920</w:t>
            </w:r>
            <w:r>
              <w:rPr>
                <w:rFonts w:hint="eastAsia"/>
                <w:szCs w:val="21"/>
                <w:lang w:val="en-US" w:eastAsia="zh-CN"/>
              </w:rPr>
              <w:t>×</w:t>
            </w:r>
            <w:r>
              <w:rPr>
                <w:szCs w:val="21"/>
                <w:lang w:val="en-US" w:eastAsia="zh-CN"/>
              </w:rPr>
              <w:t>1080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显示屏配备鼠标，可对显示屏上图像进行缩放等操作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随机配备3-5个显微镜配套使用的钨灯。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N/A</w:t>
            </w:r>
          </w:p>
        </w:tc>
      </w:tr>
      <w:permEnd w:id="24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3227237"/>
      <w:bookmarkStart w:id="30" w:name="_Toc481702480"/>
      <w:bookmarkStart w:id="31" w:name="_Toc482359946"/>
      <w:bookmarkStart w:id="32" w:name="_Toc482370767"/>
      <w:bookmarkStart w:id="33" w:name="_Toc483400317"/>
      <w:bookmarkStart w:id="34" w:name="_Toc482360291"/>
      <w:bookmarkStart w:id="35" w:name="_Toc482370071"/>
      <w:bookmarkStart w:id="36" w:name="_Toc482625289"/>
      <w:bookmarkStart w:id="37" w:name="_Toc482717202"/>
      <w:bookmarkStart w:id="38" w:name="_Toc482370359"/>
      <w:bookmarkStart w:id="39" w:name="_Toc482369815"/>
      <w:bookmarkStart w:id="40" w:name="_Toc482370151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5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5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掉电记忆：重新上电后可按照掉电前的状态继续进行工作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7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8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8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电控系统所用部件和材料必须符合专业质量标准要求，且装配联接符合设计要求和相关专业质量标准要求，具有良好的绝缘和接地保护。安全保护接地需符合国家标准。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保护等级：NEMA4X/IP56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其他保护：设备热表面或发热部件上的明显部位必须设有警告标识。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4"/>
      <w:bookmarkStart w:id="43" w:name="_Toc522107743"/>
      <w:r>
        <w:rPr>
          <w:rFonts w:ascii="Times New Roman" w:hAnsi="Times New Roman"/>
          <w:b/>
        </w:rPr>
        <w:t>文件要求</w:t>
      </w:r>
      <w:bookmarkEnd w:id="42"/>
      <w:bookmarkEnd w:id="43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2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2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开箱验收时提供所有资料的电子版和纸质版，并将电子版全套资料交我公司工程技术部存档。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投标文件、合同及订单。设备开箱验收。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卖方发运清单及相关检验报告。设备开箱验收。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hAnsi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图纸（如果有）：实物图；各种验证、维修等活动所需的电子版及打印版设备布局图、设备尺寸图、设备局部图（与功能相关细节图）、P&amp;ID图、控制原理图、计算机系统相关图纸（若涉及）、图纸清单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配件清单、易损件清单、备件、消耗品清单</w:t>
            </w:r>
            <w:r>
              <w:rPr>
                <w:rFonts w:hint="eastAsia" w:ascii="宋体" w:hAnsi="宋体"/>
                <w:lang w:eastAsia="zh-CN"/>
              </w:rPr>
              <w:t>：包括名称、编号、对应厂家名称、生产地、规格及必要说明。不晚于IQ开始前。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设备厂家文件：出厂测试合格证、各组件说明书与合格证、相关检测报告、各种标示。不晚于IQ开始前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提供关键设备清单。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设备操作手册（</w:t>
            </w:r>
            <w:r>
              <w:rPr>
                <w:rFonts w:ascii="宋体" w:hAnsi="宋体" w:cs="宋体"/>
                <w:lang w:eastAsia="zh-CN"/>
              </w:rPr>
              <w:t>SOP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 w:cs="宋体"/>
                <w:lang w:eastAsia="zh-CN"/>
              </w:rPr>
              <w:t>语言为中文，</w:t>
            </w:r>
            <w:r>
              <w:rPr>
                <w:rFonts w:hint="eastAsia" w:ascii="宋体" w:hAnsi="宋体"/>
                <w:lang w:eastAsia="zh-CN"/>
              </w:rPr>
              <w:t>应说明校准周期，并能提供校准服务。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第三方或有计量资质的校验报告或计量证书。不晚于IQ开始前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安全报告。不晚于IQ开始前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材质证书（写明材料有效期）。不晚于IQ开始前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使用操作说明书及维护保养说明（即运行及维护手册）</w:t>
            </w:r>
            <w:r>
              <w:rPr>
                <w:rFonts w:ascii="宋体" w:hAnsi="宋体"/>
                <w:lang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份。不晚于IQ开始前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提供设备及其零部件使用寿命清单。不晚于IQ开始前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现场验收报告。不晚于IQ开始前。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文件具体要求：</w:t>
            </w:r>
          </w:p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（1）系统相关方案中，应明确本系统的配置、规格，并且分析阐述每一个系统环节的必要性；</w:t>
            </w:r>
          </w:p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（2）标书中明确系统所有组件的品牌、材质、型号，并且注明每一个组件的保修期；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5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5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提供IQ/OQ测试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设备质保期为两年，两年内免费保修，两年后应提供良好的售后服务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售后服务必须响应及时，要求设备出现须厂家维修的故障后，应在4小时内明确答复，当电话沟通无法解决时，须24小时内派人至现场解决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两年免费保修期到期后，厂家应终生提供及时的维修、维护，厂家应定期回访，解决设备运行当中可能出现的疑问，排除潜在故障，使设备保持良好工作状态。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厂家应提供合格的备件，用于设备相应部件的维修、更换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供应商进厂安装需遵守安全和施工规定。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确认试车验收合格后，买卖双方签订验收报告。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tbl>
      <w:tblPr>
        <w:tblStyle w:val="23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155"/>
        <w:gridCol w:w="3794"/>
        <w:gridCol w:w="4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permStart w:id="45" w:edGrp="everyone"/>
            <w:r>
              <w:rPr>
                <w:rFonts w:ascii="宋体" w:hAnsi="宋体" w:eastAsia="宋体"/>
                <w:b/>
                <w:bCs/>
                <w:szCs w:val="21"/>
              </w:rPr>
              <w:t>设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r>
              <w:rPr>
                <w:rFonts w:ascii="宋体" w:hAnsi="宋体" w:eastAsia="宋体"/>
                <w:b/>
                <w:bCs/>
                <w:szCs w:val="21"/>
              </w:rPr>
              <w:t>备名称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品牌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范围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显微镜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Olmpus，Zeiss,Nikon或者同等品牌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适用微生物观察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相机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Panasonic,Nikon或者同等品牌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成像清晰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显示屏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戴尔、三星或同等品牌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图像锐利清晰，色彩真实</w:t>
            </w:r>
          </w:p>
        </w:tc>
      </w:tr>
      <w:permEnd w:id="45"/>
    </w:tbl>
    <w:p>
      <w:pPr>
        <w:pStyle w:val="34"/>
        <w:numPr>
          <w:ilvl w:val="0"/>
          <w:numId w:val="3"/>
        </w:numPr>
        <w:spacing w:before="0" w:line="360" w:lineRule="auto"/>
        <w:jc w:val="left"/>
        <w:rPr>
          <w:color w:val="000000"/>
          <w:szCs w:val="21"/>
          <w:lang w:eastAsia="zh-CN"/>
        </w:rPr>
      </w:pPr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16EB2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57CC"/>
    <w:rsid w:val="00037987"/>
    <w:rsid w:val="00037F15"/>
    <w:rsid w:val="00037F55"/>
    <w:rsid w:val="000404F1"/>
    <w:rsid w:val="00041104"/>
    <w:rsid w:val="00041A2A"/>
    <w:rsid w:val="00041D89"/>
    <w:rsid w:val="00043F92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3EF1"/>
    <w:rsid w:val="00064A43"/>
    <w:rsid w:val="000662D2"/>
    <w:rsid w:val="000663AB"/>
    <w:rsid w:val="00071DD4"/>
    <w:rsid w:val="00072340"/>
    <w:rsid w:val="00072945"/>
    <w:rsid w:val="00073B81"/>
    <w:rsid w:val="0007673E"/>
    <w:rsid w:val="00077AE1"/>
    <w:rsid w:val="000807C4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C7DB8"/>
    <w:rsid w:val="000D112B"/>
    <w:rsid w:val="000D1A79"/>
    <w:rsid w:val="000D302B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07BBF"/>
    <w:rsid w:val="00110A20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2FD5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46AF5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D6030"/>
    <w:rsid w:val="001E0376"/>
    <w:rsid w:val="001E13E0"/>
    <w:rsid w:val="001E2B2B"/>
    <w:rsid w:val="001E353E"/>
    <w:rsid w:val="001E3CBE"/>
    <w:rsid w:val="001E4234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1F7F7E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2668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65D2C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422E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C85"/>
    <w:rsid w:val="002E1D21"/>
    <w:rsid w:val="002E3B36"/>
    <w:rsid w:val="002E59BF"/>
    <w:rsid w:val="002E63F6"/>
    <w:rsid w:val="002E69A1"/>
    <w:rsid w:val="002F07B5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3DDD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36E92"/>
    <w:rsid w:val="00341B2F"/>
    <w:rsid w:val="00342915"/>
    <w:rsid w:val="00344B04"/>
    <w:rsid w:val="00345847"/>
    <w:rsid w:val="0034726E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43F9"/>
    <w:rsid w:val="00387B81"/>
    <w:rsid w:val="00391016"/>
    <w:rsid w:val="00391E9A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590C"/>
    <w:rsid w:val="003A6DFE"/>
    <w:rsid w:val="003A6FCD"/>
    <w:rsid w:val="003A78B2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14A8"/>
    <w:rsid w:val="003E49F8"/>
    <w:rsid w:val="003E5109"/>
    <w:rsid w:val="003E60EE"/>
    <w:rsid w:val="003E6B48"/>
    <w:rsid w:val="003E7314"/>
    <w:rsid w:val="003E748F"/>
    <w:rsid w:val="003F3F47"/>
    <w:rsid w:val="003F6E0C"/>
    <w:rsid w:val="004003A8"/>
    <w:rsid w:val="0040240E"/>
    <w:rsid w:val="00402756"/>
    <w:rsid w:val="00404545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5090"/>
    <w:rsid w:val="00486A4E"/>
    <w:rsid w:val="00486B09"/>
    <w:rsid w:val="0049139F"/>
    <w:rsid w:val="004928AC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375"/>
    <w:rsid w:val="004B05C0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1A57"/>
    <w:rsid w:val="0050208D"/>
    <w:rsid w:val="0050284B"/>
    <w:rsid w:val="00502F99"/>
    <w:rsid w:val="00504B71"/>
    <w:rsid w:val="00507991"/>
    <w:rsid w:val="00507C94"/>
    <w:rsid w:val="00507EB2"/>
    <w:rsid w:val="00510111"/>
    <w:rsid w:val="0051067E"/>
    <w:rsid w:val="00511AB4"/>
    <w:rsid w:val="00512690"/>
    <w:rsid w:val="00512A4E"/>
    <w:rsid w:val="00514EA4"/>
    <w:rsid w:val="00516BB4"/>
    <w:rsid w:val="00517A5D"/>
    <w:rsid w:val="00517E1E"/>
    <w:rsid w:val="00517FA0"/>
    <w:rsid w:val="005217E8"/>
    <w:rsid w:val="005220FE"/>
    <w:rsid w:val="00523590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070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4C53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670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3F2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4980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67BF1"/>
    <w:rsid w:val="00670A00"/>
    <w:rsid w:val="00670C23"/>
    <w:rsid w:val="00672B86"/>
    <w:rsid w:val="00673031"/>
    <w:rsid w:val="00673EB3"/>
    <w:rsid w:val="00680BE8"/>
    <w:rsid w:val="00684441"/>
    <w:rsid w:val="00686337"/>
    <w:rsid w:val="00686409"/>
    <w:rsid w:val="00686D19"/>
    <w:rsid w:val="0068777F"/>
    <w:rsid w:val="00693018"/>
    <w:rsid w:val="00696AAE"/>
    <w:rsid w:val="006A0059"/>
    <w:rsid w:val="006A7425"/>
    <w:rsid w:val="006B058A"/>
    <w:rsid w:val="006B1299"/>
    <w:rsid w:val="006B26D9"/>
    <w:rsid w:val="006B310C"/>
    <w:rsid w:val="006B4CD7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4AFE"/>
    <w:rsid w:val="006D5AFF"/>
    <w:rsid w:val="006E050C"/>
    <w:rsid w:val="006E152B"/>
    <w:rsid w:val="006E1732"/>
    <w:rsid w:val="006E36D1"/>
    <w:rsid w:val="006E4002"/>
    <w:rsid w:val="006E4DB6"/>
    <w:rsid w:val="006E5F4C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1836"/>
    <w:rsid w:val="0072295E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37E73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6D21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15D7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2DE3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281C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1AD0"/>
    <w:rsid w:val="008343E7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3957"/>
    <w:rsid w:val="0085405E"/>
    <w:rsid w:val="008571DD"/>
    <w:rsid w:val="0085772E"/>
    <w:rsid w:val="008602FE"/>
    <w:rsid w:val="00860344"/>
    <w:rsid w:val="00860926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C7431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8F6E14"/>
    <w:rsid w:val="009042A2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4FC4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0D8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2E08"/>
    <w:rsid w:val="009B4C17"/>
    <w:rsid w:val="009B5A1D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E7B4E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A71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1A47"/>
    <w:rsid w:val="00A927A4"/>
    <w:rsid w:val="00A94CC0"/>
    <w:rsid w:val="00A94E88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D3E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45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5F45"/>
    <w:rsid w:val="00B9634B"/>
    <w:rsid w:val="00BA0E37"/>
    <w:rsid w:val="00BA26D2"/>
    <w:rsid w:val="00BA5072"/>
    <w:rsid w:val="00BA5B65"/>
    <w:rsid w:val="00BA7BFE"/>
    <w:rsid w:val="00BB0ECA"/>
    <w:rsid w:val="00BB246B"/>
    <w:rsid w:val="00BB4F49"/>
    <w:rsid w:val="00BB60F7"/>
    <w:rsid w:val="00BB62F3"/>
    <w:rsid w:val="00BB6B2D"/>
    <w:rsid w:val="00BB7375"/>
    <w:rsid w:val="00BC0500"/>
    <w:rsid w:val="00BC104C"/>
    <w:rsid w:val="00BC1146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3DDA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1CB8"/>
    <w:rsid w:val="00C02F31"/>
    <w:rsid w:val="00C04DA5"/>
    <w:rsid w:val="00C050FC"/>
    <w:rsid w:val="00C05D40"/>
    <w:rsid w:val="00C11905"/>
    <w:rsid w:val="00C14462"/>
    <w:rsid w:val="00C150C8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0361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69C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6D19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17C75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86087"/>
    <w:rsid w:val="00D90293"/>
    <w:rsid w:val="00D90496"/>
    <w:rsid w:val="00D917BC"/>
    <w:rsid w:val="00D942DE"/>
    <w:rsid w:val="00D9491E"/>
    <w:rsid w:val="00DA021A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AC"/>
    <w:rsid w:val="00DC03DB"/>
    <w:rsid w:val="00DC1206"/>
    <w:rsid w:val="00DC2BE8"/>
    <w:rsid w:val="00DC2BEC"/>
    <w:rsid w:val="00DC3256"/>
    <w:rsid w:val="00DC35A6"/>
    <w:rsid w:val="00DD090A"/>
    <w:rsid w:val="00DD11E8"/>
    <w:rsid w:val="00DD2421"/>
    <w:rsid w:val="00DD3222"/>
    <w:rsid w:val="00DD3D81"/>
    <w:rsid w:val="00DD571C"/>
    <w:rsid w:val="00DD64E1"/>
    <w:rsid w:val="00DE039A"/>
    <w:rsid w:val="00DE0403"/>
    <w:rsid w:val="00DE2CD6"/>
    <w:rsid w:val="00DE4811"/>
    <w:rsid w:val="00DE4FE8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6DBE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15F0"/>
    <w:rsid w:val="00EB3C66"/>
    <w:rsid w:val="00EB4B03"/>
    <w:rsid w:val="00EB5DEE"/>
    <w:rsid w:val="00EB60C0"/>
    <w:rsid w:val="00EB64CB"/>
    <w:rsid w:val="00EB6D46"/>
    <w:rsid w:val="00EC07F3"/>
    <w:rsid w:val="00EC10C2"/>
    <w:rsid w:val="00EC3194"/>
    <w:rsid w:val="00EC518D"/>
    <w:rsid w:val="00EC71D3"/>
    <w:rsid w:val="00ED02FE"/>
    <w:rsid w:val="00ED1EC9"/>
    <w:rsid w:val="00ED3737"/>
    <w:rsid w:val="00ED3856"/>
    <w:rsid w:val="00ED3E2E"/>
    <w:rsid w:val="00ED45B3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AAC"/>
    <w:rsid w:val="00EF5EC6"/>
    <w:rsid w:val="00EF646F"/>
    <w:rsid w:val="00EF690C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5246"/>
    <w:rsid w:val="00F36D7F"/>
    <w:rsid w:val="00F37186"/>
    <w:rsid w:val="00F378AF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42E8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BA3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7C66DEB"/>
    <w:rsid w:val="3A1D3271"/>
    <w:rsid w:val="4784313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uiPriority w:val="0"/>
    <w:rPr>
      <w:sz w:val="18"/>
      <w:szCs w:val="18"/>
    </w:rPr>
  </w:style>
  <w:style w:type="paragraph" w:styleId="14">
    <w:name w:val="footer"/>
    <w:basedOn w:val="1"/>
    <w:link w:val="38"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uiPriority w:val="0"/>
    <w:rPr/>
  </w:style>
  <w:style w:type="character" w:styleId="21">
    <w:name w:val="Hyperlink"/>
    <w:uiPriority w:val="99"/>
    <w:rPr>
      <w:color w:val="0000FF"/>
      <w:u w:val="single"/>
    </w:rPr>
  </w:style>
  <w:style w:type="character" w:styleId="22">
    <w:name w:val="annotation reference"/>
    <w:semiHidden/>
    <w:uiPriority w:val="0"/>
    <w:rPr>
      <w:sz w:val="21"/>
      <w:szCs w:val="21"/>
    </w:rPr>
  </w:style>
  <w:style w:type="table" w:styleId="24">
    <w:name w:val="Table Grid"/>
    <w:basedOn w:val="23"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字符"/>
    <w:link w:val="7"/>
    <w:semiHidden/>
    <w:uiPriority w:val="0"/>
    <w:rPr>
      <w:sz w:val="24"/>
      <w:lang w:eastAsia="en-US"/>
    </w:rPr>
  </w:style>
  <w:style w:type="character" w:customStyle="1" w:styleId="38">
    <w:name w:val="页脚 字符"/>
    <w:link w:val="14"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uiPriority w:val="0"/>
    <w:rPr/>
  </w:style>
  <w:style w:type="character" w:customStyle="1" w:styleId="41">
    <w:name w:val="numbering blue Zchn"/>
    <w:link w:val="32"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3635</Words>
  <Characters>1591</Characters>
  <Lines>13</Lines>
  <Paragraphs>10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2020-04-24T07:16:00Z</dcterms:created>
  <dc:creator>Lilly</dc:creator>
  <cp:lastModifiedBy>汪洋</cp:lastModifiedBy>
  <cp:lastPrinted>2017-06-22T01:53:00Z</cp:lastPrinted>
  <dcterms:modified xsi:type="dcterms:W3CDTF">2020-11-25T06:04:34Z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