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4532399"/>
      <w:bookmarkStart w:id="1" w:name="_Toc483666358"/>
      <w:bookmarkStart w:id="2" w:name="_Toc483227223"/>
      <w:bookmarkStart w:id="3" w:name="_Toc483400307"/>
      <w:bookmarkStart w:id="4" w:name="_Toc482717189"/>
    </w:p>
    <w:p>
      <w:pPr>
        <w:spacing w:afterLines="50"/>
        <w:jc w:val="center"/>
        <w:rPr>
          <w:b/>
          <w:szCs w:val="21"/>
          <w:lang w:eastAsia="zh-CN"/>
        </w:rPr>
      </w:pPr>
      <w:permStart w:id="0" w:edGrp="everyone"/>
      <w:r>
        <w:rPr>
          <w:rFonts w:hint="eastAsia"/>
          <w:b/>
          <w:sz w:val="28"/>
          <w:szCs w:val="28"/>
          <w:lang w:val="en-US" w:eastAsia="zh-CN"/>
        </w:rPr>
        <w:t>轮状疫苗楼</w:t>
      </w:r>
      <w:r>
        <w:rPr>
          <w:rFonts w:hint="eastAsia"/>
          <w:b/>
          <w:sz w:val="28"/>
          <w:szCs w:val="28"/>
          <w:lang w:eastAsia="zh-CN"/>
        </w:rPr>
        <w:t>药品综合稳定性试验箱</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widowControl w:val="0"/>
        <w:spacing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2"/>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2"/>
        </w:rPr>
        <w:t>1</w:t>
      </w:r>
      <w:r>
        <w:rPr>
          <w:b w:val="0"/>
          <w:bCs w:val="0"/>
          <w:caps w:val="0"/>
          <w:szCs w:val="22"/>
        </w:rPr>
        <w:tab/>
      </w:r>
      <w:r>
        <w:rPr>
          <w:rStyle w:val="22"/>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2"/>
        </w:rPr>
        <w:t>2</w:t>
      </w:r>
      <w:r>
        <w:rPr>
          <w:b w:val="0"/>
          <w:bCs w:val="0"/>
          <w:caps w:val="0"/>
          <w:szCs w:val="22"/>
        </w:rPr>
        <w:tab/>
      </w:r>
      <w:r>
        <w:rPr>
          <w:rStyle w:val="22"/>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2"/>
        </w:rPr>
        <w:t>3</w:t>
      </w:r>
      <w:r>
        <w:rPr>
          <w:b w:val="0"/>
          <w:bCs w:val="0"/>
          <w:caps w:val="0"/>
          <w:szCs w:val="22"/>
        </w:rPr>
        <w:tab/>
      </w:r>
      <w:r>
        <w:rPr>
          <w:rStyle w:val="22"/>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2"/>
        </w:rPr>
        <w:t>4</w:t>
      </w:r>
      <w:r>
        <w:rPr>
          <w:b w:val="0"/>
          <w:bCs w:val="0"/>
          <w:caps w:val="0"/>
          <w:szCs w:val="22"/>
        </w:rPr>
        <w:tab/>
      </w:r>
      <w:r>
        <w:rPr>
          <w:rStyle w:val="22"/>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2"/>
        </w:rPr>
        <w:t>5</w:t>
      </w:r>
      <w:r>
        <w:rPr>
          <w:b w:val="0"/>
          <w:bCs w:val="0"/>
          <w:caps w:val="0"/>
          <w:szCs w:val="22"/>
        </w:rPr>
        <w:tab/>
      </w:r>
      <w:r>
        <w:rPr>
          <w:rStyle w:val="22"/>
        </w:rPr>
        <w:t>系统描述</w:t>
      </w:r>
      <w:r>
        <w:tab/>
      </w:r>
      <w:r>
        <w:rPr>
          <w:rFonts w:hint="eastAsia"/>
          <w:lang w:val="en-US" w:eastAsia="zh-CN"/>
        </w:rPr>
        <w:t>4</w:t>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2"/>
        </w:rPr>
        <w:t>6</w:t>
      </w:r>
      <w:r>
        <w:rPr>
          <w:b w:val="0"/>
          <w:bCs w:val="0"/>
          <w:caps w:val="0"/>
          <w:szCs w:val="22"/>
        </w:rPr>
        <w:tab/>
      </w:r>
      <w:r>
        <w:rPr>
          <w:rStyle w:val="22"/>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2"/>
        </w:rPr>
        <w:t>7</w:t>
      </w:r>
      <w:r>
        <w:rPr>
          <w:b w:val="0"/>
          <w:bCs w:val="0"/>
          <w:caps w:val="0"/>
          <w:szCs w:val="22"/>
        </w:rPr>
        <w:tab/>
      </w:r>
      <w:r>
        <w:rPr>
          <w:rStyle w:val="22"/>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rFonts w:hint="eastAsia" w:eastAsia="宋体"/>
          <w:b w:val="0"/>
          <w:bCs w:val="0"/>
          <w:caps w:val="0"/>
          <w:szCs w:val="22"/>
          <w:lang w:val="en-US" w:eastAsia="zh-CN"/>
        </w:rPr>
      </w:pPr>
      <w:r>
        <w:fldChar w:fldCharType="begin"/>
      </w:r>
      <w:r>
        <w:instrText xml:space="preserve"> HYPERLINK \l "_Toc522716122" </w:instrText>
      </w:r>
      <w:r>
        <w:fldChar w:fldCharType="separate"/>
      </w:r>
      <w:r>
        <w:rPr>
          <w:rStyle w:val="22"/>
        </w:rPr>
        <w:t>8</w:t>
      </w:r>
      <w:r>
        <w:rPr>
          <w:b w:val="0"/>
          <w:bCs w:val="0"/>
          <w:caps w:val="0"/>
          <w:szCs w:val="22"/>
        </w:rPr>
        <w:tab/>
      </w:r>
      <w:r>
        <w:rPr>
          <w:rStyle w:val="22"/>
        </w:rPr>
        <w:t>电气、自动控制要求</w:t>
      </w:r>
      <w:r>
        <w:tab/>
      </w:r>
      <w:r>
        <w:rPr>
          <w:rFonts w:hint="eastAsia"/>
        </w:rPr>
        <w:fldChar w:fldCharType="end"/>
      </w:r>
      <w:r>
        <w:rPr>
          <w:rFonts w:hint="eastAsia"/>
          <w:lang w:val="en-US" w:eastAsia="zh-CN"/>
        </w:rPr>
        <w:t>7</w:t>
      </w:r>
    </w:p>
    <w:p>
      <w:pPr>
        <w:pStyle w:val="16"/>
        <w:rPr>
          <w:b w:val="0"/>
          <w:bCs w:val="0"/>
          <w:caps w:val="0"/>
          <w:szCs w:val="22"/>
        </w:rPr>
      </w:pPr>
      <w:r>
        <w:fldChar w:fldCharType="begin"/>
      </w:r>
      <w:r>
        <w:instrText xml:space="preserve"> HYPERLINK \l "_Toc522716123" </w:instrText>
      </w:r>
      <w:r>
        <w:fldChar w:fldCharType="separate"/>
      </w:r>
      <w:r>
        <w:rPr>
          <w:rStyle w:val="22"/>
        </w:rPr>
        <w:t>9</w:t>
      </w:r>
      <w:r>
        <w:rPr>
          <w:b w:val="0"/>
          <w:bCs w:val="0"/>
          <w:caps w:val="0"/>
          <w:szCs w:val="22"/>
        </w:rPr>
        <w:tab/>
      </w:r>
      <w:r>
        <w:rPr>
          <w:rStyle w:val="22"/>
        </w:rPr>
        <w:t>安全要求</w:t>
      </w:r>
      <w:r>
        <w:tab/>
      </w:r>
      <w:r>
        <w:rPr>
          <w:rFonts w:hint="eastAsia"/>
          <w:lang w:val="en-US" w:eastAsia="zh-CN"/>
        </w:rPr>
        <w:t>7</w:t>
      </w:r>
      <w:r>
        <w:fldChar w:fldCharType="end"/>
      </w:r>
    </w:p>
    <w:p>
      <w:pPr>
        <w:pStyle w:val="16"/>
        <w:rPr>
          <w:b w:val="0"/>
          <w:bCs w:val="0"/>
          <w:caps w:val="0"/>
          <w:szCs w:val="22"/>
        </w:rPr>
      </w:pPr>
      <w:r>
        <w:fldChar w:fldCharType="begin"/>
      </w:r>
      <w:r>
        <w:instrText xml:space="preserve"> HYPERLINK \l "_Toc522716124" </w:instrText>
      </w:r>
      <w:r>
        <w:fldChar w:fldCharType="separate"/>
      </w:r>
      <w:r>
        <w:rPr>
          <w:rStyle w:val="22"/>
        </w:rPr>
        <w:t>10</w:t>
      </w:r>
      <w:r>
        <w:rPr>
          <w:b w:val="0"/>
          <w:bCs w:val="0"/>
          <w:caps w:val="0"/>
          <w:szCs w:val="22"/>
        </w:rPr>
        <w:tab/>
      </w:r>
      <w:r>
        <w:rPr>
          <w:rStyle w:val="22"/>
        </w:rPr>
        <w:t>文件要求</w:t>
      </w:r>
      <w:r>
        <w:tab/>
      </w:r>
      <w:r>
        <w:rPr>
          <w:rFonts w:hint="eastAsia"/>
          <w:lang w:val="en-US" w:eastAsia="zh-CN"/>
        </w:rPr>
        <w:t>8</w:t>
      </w:r>
      <w:r>
        <w:fldChar w:fldCharType="end"/>
      </w:r>
    </w:p>
    <w:p>
      <w:pPr>
        <w:pStyle w:val="16"/>
        <w:rPr>
          <w:rFonts w:hint="eastAsia" w:eastAsia="宋体"/>
          <w:b w:val="0"/>
          <w:bCs w:val="0"/>
          <w:caps w:val="0"/>
          <w:szCs w:val="22"/>
          <w:lang w:val="en-US" w:eastAsia="zh-CN"/>
        </w:rPr>
      </w:pPr>
      <w:r>
        <w:fldChar w:fldCharType="begin"/>
      </w:r>
      <w:r>
        <w:instrText xml:space="preserve"> HYPERLINK \l "_Toc522716125" </w:instrText>
      </w:r>
      <w:r>
        <w:fldChar w:fldCharType="separate"/>
      </w:r>
      <w:r>
        <w:rPr>
          <w:rStyle w:val="22"/>
        </w:rPr>
        <w:t>11</w:t>
      </w:r>
      <w:r>
        <w:rPr>
          <w:b w:val="0"/>
          <w:bCs w:val="0"/>
          <w:caps w:val="0"/>
          <w:szCs w:val="22"/>
        </w:rPr>
        <w:tab/>
      </w:r>
      <w:r>
        <w:rPr>
          <w:rStyle w:val="22"/>
        </w:rPr>
        <w:t>服务要求</w:t>
      </w:r>
      <w:r>
        <w:tab/>
      </w:r>
      <w:r>
        <w:rPr>
          <w:rFonts w:hint="eastAsia"/>
        </w:rPr>
        <w:fldChar w:fldCharType="end"/>
      </w:r>
      <w:r>
        <w:rPr>
          <w:rFonts w:hint="eastAsia"/>
          <w:lang w:val="en-US" w:eastAsia="zh-CN"/>
        </w:rPr>
        <w:t>9</w:t>
      </w:r>
    </w:p>
    <w:p>
      <w:pPr>
        <w:pStyle w:val="16"/>
        <w:rPr>
          <w:rFonts w:hint="default" w:eastAsia="宋体"/>
          <w:b w:val="0"/>
          <w:bCs w:val="0"/>
          <w:caps w:val="0"/>
          <w:szCs w:val="22"/>
          <w:lang w:val="en-US" w:eastAsia="zh-CN"/>
        </w:rPr>
      </w:pPr>
      <w:r>
        <w:fldChar w:fldCharType="begin"/>
      </w:r>
      <w:r>
        <w:instrText xml:space="preserve"> HYPERLINK \l "_Toc522716126" </w:instrText>
      </w:r>
      <w:r>
        <w:fldChar w:fldCharType="separate"/>
      </w:r>
      <w:r>
        <w:rPr>
          <w:rStyle w:val="22"/>
        </w:rPr>
        <w:t>12</w:t>
      </w:r>
      <w:r>
        <w:rPr>
          <w:b w:val="0"/>
          <w:bCs w:val="0"/>
          <w:caps w:val="0"/>
          <w:szCs w:val="22"/>
        </w:rPr>
        <w:tab/>
      </w:r>
      <w:r>
        <w:rPr>
          <w:rStyle w:val="22"/>
        </w:rPr>
        <w:t>附件</w:t>
      </w:r>
      <w:r>
        <w:tab/>
      </w:r>
      <w:r>
        <w:fldChar w:fldCharType="end"/>
      </w:r>
      <w:r>
        <w:rPr>
          <w:rFonts w:hint="eastAsia"/>
          <w:lang w:val="en-US" w:eastAsia="zh-CN"/>
        </w:rPr>
        <w:t>11</w:t>
      </w:r>
    </w:p>
    <w:p>
      <w:pPr>
        <w:rPr>
          <w:b/>
          <w:bCs/>
          <w:caps/>
          <w:kern w:val="2"/>
          <w:szCs w:val="21"/>
          <w:lang w:eastAsia="zh-CN"/>
        </w:rPr>
      </w:pPr>
      <w:r>
        <w:fldChar w:fldCharType="end"/>
      </w:r>
      <w:permEnd w:id="2"/>
      <w:r>
        <w:rPr>
          <w:b/>
          <w:bCs/>
          <w:caps/>
          <w:kern w:val="2"/>
          <w:szCs w:val="21"/>
          <w:lang w:eastAsia="zh-CN"/>
        </w:rPr>
        <w:br w:type="page"/>
      </w:r>
    </w:p>
    <w:p>
      <w:pPr>
        <w:pStyle w:val="31"/>
        <w:numPr>
          <w:ilvl w:val="0"/>
          <w:numId w:val="3"/>
        </w:numPr>
        <w:spacing w:afterLines="50"/>
        <w:ind w:left="426" w:hanging="426" w:hangingChars="202"/>
        <w:outlineLvl w:val="0"/>
        <w:rPr>
          <w:rFonts w:ascii="Times New Roman" w:hAnsi="Times New Roman"/>
          <w:b/>
        </w:rPr>
      </w:pPr>
      <w:bookmarkStart w:id="5" w:name="_Toc522716115"/>
      <w:bookmarkStart w:id="6" w:name="_Toc522107735"/>
      <w:r>
        <w:rPr>
          <w:rFonts w:ascii="Times New Roman" w:hAnsi="Times New Roman"/>
          <w:b/>
        </w:rPr>
        <w:t>目的</w:t>
      </w:r>
      <w:bookmarkEnd w:id="5"/>
      <w:bookmarkEnd w:id="6"/>
    </w:p>
    <w:p>
      <w:pPr>
        <w:pStyle w:val="35"/>
        <w:spacing w:before="0" w:line="360" w:lineRule="auto"/>
        <w:ind w:left="357"/>
        <w:jc w:val="left"/>
        <w:rPr>
          <w:szCs w:val="21"/>
          <w:lang w:eastAsia="zh-CN"/>
        </w:rPr>
      </w:pPr>
      <w:bookmarkStart w:id="7" w:name="_Toc482625279"/>
      <w:bookmarkStart w:id="8" w:name="_Toc481702475"/>
      <w:bookmarkStart w:id="9" w:name="_Toc482370757"/>
      <w:bookmarkStart w:id="10" w:name="_Toc482369805"/>
      <w:bookmarkStart w:id="11" w:name="_Toc482359936"/>
      <w:bookmarkStart w:id="12" w:name="_Toc482370061"/>
      <w:bookmarkStart w:id="13" w:name="_Toc482370141"/>
      <w:bookmarkStart w:id="14" w:name="_Toc482370349"/>
      <w:bookmarkStart w:id="15" w:name="_Toc482360281"/>
      <w:r>
        <w:rPr>
          <w:szCs w:val="21"/>
          <w:lang w:eastAsia="zh-CN"/>
        </w:rPr>
        <w:t>本文件的目的是描述武汉生物制品研究所有限责任公司</w:t>
      </w:r>
      <w:permStart w:id="3" w:edGrp="everyone"/>
      <w:r>
        <w:rPr>
          <w:szCs w:val="21"/>
          <w:lang w:eastAsia="zh-CN"/>
        </w:rPr>
        <w:t>轮状</w:t>
      </w:r>
      <w:r>
        <w:rPr>
          <w:rFonts w:hint="eastAsia"/>
          <w:szCs w:val="21"/>
          <w:lang w:eastAsia="zh-CN"/>
        </w:rPr>
        <w:t>疫苗</w:t>
      </w:r>
      <w:r>
        <w:rPr>
          <w:szCs w:val="21"/>
          <w:lang w:eastAsia="zh-CN"/>
        </w:rPr>
        <w:t>楼轮状病毒疫苗</w:t>
      </w:r>
      <w:r>
        <w:rPr>
          <w:rFonts w:hint="eastAsia"/>
          <w:szCs w:val="21"/>
          <w:lang w:eastAsia="zh-CN"/>
        </w:rPr>
        <w:t>稳定性试验箱</w:t>
      </w:r>
      <w:permEnd w:id="3"/>
      <w:r>
        <w:rPr>
          <w:szCs w:val="21"/>
          <w:lang w:eastAsia="zh-CN"/>
        </w:rPr>
        <w:t>的用户需求说明（URS），以确保最终用户的需求在项目设计阶段得以实现，并作为后续验证工作的基础。</w:t>
      </w:r>
    </w:p>
    <w:p>
      <w:pPr>
        <w:pStyle w:val="35"/>
        <w:spacing w:before="0"/>
        <w:ind w:left="360"/>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35"/>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轮状疫苗楼用于轮状病毒疫苗稳定性试验孵育用</w:t>
      </w:r>
      <w:permEnd w:id="4"/>
      <w:r>
        <w:rPr>
          <w:szCs w:val="21"/>
          <w:lang w:eastAsia="zh-CN"/>
        </w:rPr>
        <w:t>。</w:t>
      </w:r>
      <w:bookmarkEnd w:id="7"/>
      <w:bookmarkEnd w:id="8"/>
      <w:bookmarkEnd w:id="9"/>
      <w:bookmarkEnd w:id="10"/>
      <w:bookmarkEnd w:id="11"/>
      <w:bookmarkEnd w:id="12"/>
      <w:bookmarkEnd w:id="13"/>
      <w:bookmarkEnd w:id="14"/>
      <w:bookmarkEnd w:id="15"/>
    </w:p>
    <w:p>
      <w:pPr>
        <w:pStyle w:val="35"/>
        <w:spacing w:before="0" w:line="360" w:lineRule="auto"/>
        <w:ind w:left="357"/>
        <w:jc w:val="left"/>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5"/>
        <w:numPr>
          <w:ilvl w:val="0"/>
          <w:numId w:val="4"/>
        </w:numPr>
        <w:spacing w:before="0" w:line="360" w:lineRule="auto"/>
        <w:jc w:val="left"/>
        <w:rPr>
          <w:color w:val="000000"/>
          <w:szCs w:val="21"/>
          <w:lang w:eastAsia="zh-CN"/>
        </w:rPr>
      </w:pPr>
      <w:r>
        <w:rPr>
          <w:color w:val="000000"/>
          <w:szCs w:val="21"/>
          <w:lang w:eastAsia="zh-CN"/>
        </w:rPr>
        <w:t>GMP法规指南和SOP</w:t>
      </w:r>
    </w:p>
    <w:p>
      <w:pPr>
        <w:pStyle w:val="35"/>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5"/>
        <w:numPr>
          <w:ilvl w:val="0"/>
          <w:numId w:val="5"/>
        </w:numPr>
        <w:spacing w:before="0" w:line="360" w:lineRule="auto"/>
        <w:ind w:left="777"/>
        <w:jc w:val="left"/>
        <w:rPr>
          <w:szCs w:val="21"/>
          <w:lang w:eastAsia="zh-CN"/>
        </w:rPr>
      </w:pPr>
      <w:permStart w:id="5" w:edGrp="everyone"/>
      <w:r>
        <w:rPr>
          <w:szCs w:val="21"/>
          <w:lang w:eastAsia="zh-CN"/>
        </w:rPr>
        <w:t xml:space="preserve">中国药典 </w:t>
      </w:r>
      <w:r>
        <w:rPr>
          <w:szCs w:val="21"/>
        </w:rPr>
        <w:t>2015年版</w:t>
      </w:r>
    </w:p>
    <w:p>
      <w:pPr>
        <w:pStyle w:val="35"/>
        <w:numPr>
          <w:ilvl w:val="0"/>
          <w:numId w:val="5"/>
        </w:numPr>
        <w:spacing w:before="0" w:line="360" w:lineRule="auto"/>
        <w:ind w:left="777"/>
        <w:jc w:val="left"/>
        <w:rPr>
          <w:szCs w:val="21"/>
          <w:lang w:eastAsia="zh-CN"/>
        </w:rPr>
      </w:pPr>
      <w:r>
        <w:rPr>
          <w:rFonts w:hint="eastAsia"/>
          <w:szCs w:val="21"/>
          <w:lang w:eastAsia="zh-CN"/>
        </w:rPr>
        <w:t>《药品生产质量管理规范》（2010修订）及附录</w:t>
      </w:r>
    </w:p>
    <w:p>
      <w:pPr>
        <w:pStyle w:val="35"/>
        <w:numPr>
          <w:ilvl w:val="0"/>
          <w:numId w:val="5"/>
        </w:numPr>
        <w:spacing w:before="0" w:line="360" w:lineRule="auto"/>
        <w:ind w:left="777"/>
        <w:jc w:val="left"/>
        <w:rPr>
          <w:szCs w:val="21"/>
          <w:lang w:eastAsia="zh-CN"/>
        </w:rPr>
      </w:pPr>
      <w:r>
        <w:rPr>
          <w:rFonts w:hint="eastAsia"/>
          <w:szCs w:val="21"/>
          <w:lang w:eastAsia="zh-CN"/>
        </w:rPr>
        <w:t>《药品GMP指南》（2011版）</w:t>
      </w:r>
    </w:p>
    <w:permEnd w:id="5"/>
    <w:p>
      <w:pPr>
        <w:pStyle w:val="35"/>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5"/>
        <w:numPr>
          <w:ilvl w:val="0"/>
          <w:numId w:val="5"/>
        </w:numPr>
        <w:spacing w:before="0" w:line="360" w:lineRule="auto"/>
        <w:ind w:left="777"/>
        <w:jc w:val="left"/>
        <w:rPr>
          <w:szCs w:val="21"/>
          <w:lang w:eastAsia="zh-CN"/>
        </w:rPr>
      </w:pPr>
      <w:permStart w:id="6" w:edGrp="everyone"/>
      <w:r>
        <w:rPr>
          <w:szCs w:val="21"/>
          <w:lang w:eastAsia="zh-CN"/>
        </w:rPr>
        <w:t>电气安全应符合GB4793.1和GB4793.4的要求。</w:t>
      </w:r>
    </w:p>
    <w:permEnd w:id="6"/>
    <w:p>
      <w:pPr>
        <w:pStyle w:val="35"/>
        <w:spacing w:before="0" w:line="360" w:lineRule="auto"/>
        <w:ind w:left="357"/>
        <w:jc w:val="left"/>
        <w:rPr>
          <w:i/>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20" w:name="_Toc522107739"/>
      <w:bookmarkStart w:id="21" w:name="_Toc522716119"/>
      <w:permStart w:id="7" w:edGrp="everyone"/>
      <w:permEnd w:id="7"/>
      <w:r>
        <w:rPr>
          <w:rFonts w:ascii="Times New Roman" w:hAnsi="Times New Roman"/>
          <w:b/>
        </w:rPr>
        <w:t>系统描述</w:t>
      </w:r>
      <w:bookmarkEnd w:id="20"/>
      <w:bookmarkEnd w:id="21"/>
    </w:p>
    <w:p>
      <w:pPr>
        <w:pStyle w:val="35"/>
        <w:spacing w:before="0" w:line="360" w:lineRule="auto"/>
        <w:ind w:left="357"/>
        <w:jc w:val="left"/>
        <w:rPr>
          <w:i/>
          <w:color w:val="4472C4"/>
          <w:szCs w:val="21"/>
          <w:lang w:eastAsia="zh-CN"/>
        </w:rPr>
      </w:pPr>
      <w:permStart w:id="8" w:edGrp="everyone"/>
      <w:r>
        <w:rPr>
          <w:rFonts w:hint="eastAsia"/>
          <w:iCs/>
          <w:color w:val="000000"/>
          <w:szCs w:val="21"/>
          <w:lang w:eastAsia="zh-CN"/>
        </w:rPr>
        <w:t>轮状病毒疫苗楼需购买1台药品综合稳定性试验箱主要用于轮状病毒疫苗成品稳定性考察</w:t>
      </w:r>
      <w:r>
        <w:rPr>
          <w:szCs w:val="21"/>
          <w:lang w:eastAsia="zh-CN"/>
        </w:rPr>
        <w:t>。</w:t>
      </w:r>
      <w:permEnd w:id="8"/>
    </w:p>
    <w:p>
      <w:pPr>
        <w:pStyle w:val="31"/>
        <w:numPr>
          <w:ilvl w:val="0"/>
          <w:numId w:val="3"/>
        </w:numPr>
        <w:spacing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bookmarkStart w:id="47" w:name="_GoBack"/>
      <w:bookmarkEnd w:id="47"/>
    </w:p>
    <w:p>
      <w:pPr>
        <w:pStyle w:val="31"/>
        <w:spacing w:afterLines="50"/>
        <w:ind w:left="425" w:firstLine="0" w:firstLineChars="0"/>
        <w:rPr>
          <w:rFonts w:ascii="Times New Roman" w:hAnsi="Times New Roman"/>
          <w:szCs w:val="21"/>
        </w:rPr>
      </w:pPr>
      <w:permStart w:id="9" w:edGrp="everyone"/>
      <w:permEnd w:id="9"/>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szCs w:val="21"/>
                <w:lang w:eastAsia="zh-CN"/>
              </w:rPr>
              <w:t>轮状疫苗楼三楼Q</w:t>
            </w:r>
            <w:r>
              <w:rPr>
                <w:szCs w:val="21"/>
                <w:lang w:eastAsia="zh-CN"/>
              </w:rPr>
              <w:t>C</w:t>
            </w:r>
            <w:r>
              <w:rPr>
                <w:rFonts w:hint="eastAsia"/>
                <w:szCs w:val="21"/>
                <w:lang w:eastAsia="zh-CN"/>
              </w:rPr>
              <w:t>检测区培养基配制间放置</w:t>
            </w:r>
            <w:r>
              <w:rPr>
                <w:rFonts w:hint="eastAsia"/>
                <w:szCs w:val="21"/>
                <w:lang w:val="en-US" w:eastAsia="zh-CN"/>
              </w:rPr>
              <w:t>1</w:t>
            </w:r>
            <w:r>
              <w:rPr>
                <w:rFonts w:hint="eastAsia"/>
                <w:szCs w:val="21"/>
                <w:lang w:eastAsia="zh-CN"/>
              </w:rPr>
              <w:t>台。</w:t>
            </w:r>
          </w:p>
        </w:tc>
        <w:tc>
          <w:tcPr>
            <w:tcW w:w="2125" w:type="dxa"/>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szCs w:val="21"/>
                <w:lang w:eastAsia="zh-CN"/>
              </w:rPr>
            </w:pPr>
            <w:r>
              <w:rPr>
                <w:rFonts w:hint="eastAsia"/>
                <w:szCs w:val="21"/>
                <w:lang w:eastAsia="zh-CN"/>
              </w:rPr>
              <w:t>为上下两个腔体，每个腔内容积均不小于200升。</w:t>
            </w:r>
          </w:p>
        </w:tc>
        <w:tc>
          <w:tcPr>
            <w:tcW w:w="2125"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szCs w:val="21"/>
                <w:lang w:val="en-US" w:eastAsia="zh-CN"/>
              </w:rPr>
            </w:pPr>
            <w:r>
              <w:rPr>
                <w:rFonts w:hint="eastAsia"/>
                <w:szCs w:val="21"/>
                <w:lang w:val="en-US" w:eastAsia="zh-CN"/>
              </w:rPr>
              <w:t>外形尺寸（mm）</w:t>
            </w:r>
            <w:r>
              <w:rPr>
                <w:rFonts w:hint="eastAsia" w:ascii="宋体" w:hAnsi="宋体"/>
                <w:szCs w:val="21"/>
                <w:lang w:eastAsia="zh-CN"/>
              </w:rPr>
              <w:t>深×宽×高：不大于1300×900×2000</w:t>
            </w:r>
          </w:p>
        </w:tc>
        <w:tc>
          <w:tcPr>
            <w:tcW w:w="2125" w:type="dxa"/>
            <w:vAlign w:val="center"/>
          </w:tcPr>
          <w:p>
            <w:pPr>
              <w:jc w:val="both"/>
              <w:rPr>
                <w:szCs w:val="21"/>
                <w:lang w:val="en-US" w:eastAsia="zh-CN"/>
              </w:rPr>
            </w:pPr>
            <w:r>
              <w:rPr>
                <w:rFonts w:hint="eastAsia"/>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szCs w:val="21"/>
                <w:lang w:val="en-US" w:eastAsia="zh-CN"/>
              </w:rPr>
            </w:pPr>
            <w:r>
              <w:rPr>
                <w:rFonts w:hint="eastAsia"/>
                <w:szCs w:val="21"/>
                <w:lang w:val="en-US" w:eastAsia="zh-CN"/>
              </w:rPr>
              <w:t>内胆尺寸（mm）上下两箱：均不小于</w:t>
            </w:r>
            <w:r>
              <w:rPr>
                <w:rFonts w:hint="eastAsia" w:ascii="宋体" w:hAnsi="宋体"/>
                <w:szCs w:val="21"/>
                <w:lang w:eastAsia="zh-CN"/>
              </w:rPr>
              <w:t>600×600×600</w:t>
            </w:r>
          </w:p>
        </w:tc>
        <w:tc>
          <w:tcPr>
            <w:tcW w:w="2125" w:type="dxa"/>
            <w:vAlign w:val="center"/>
          </w:tcPr>
          <w:p>
            <w:pPr>
              <w:jc w:val="both"/>
              <w:rPr>
                <w:szCs w:val="21"/>
                <w:lang w:val="en-US" w:eastAsia="zh-CN"/>
              </w:rPr>
            </w:pPr>
            <w:r>
              <w:rPr>
                <w:rFonts w:hint="eastAsia"/>
                <w:szCs w:val="21"/>
                <w:lang w:val="en-US"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vAlign w:val="center"/>
          </w:tcPr>
          <w:p>
            <w:pPr>
              <w:pStyle w:val="8"/>
              <w:spacing w:line="460" w:lineRule="exact"/>
              <w:rPr>
                <w:sz w:val="21"/>
                <w:szCs w:val="21"/>
                <w:lang w:eastAsia="zh-CN"/>
              </w:rPr>
            </w:pPr>
            <w:r>
              <w:rPr>
                <w:sz w:val="21"/>
                <w:szCs w:val="21"/>
                <w:lang w:eastAsia="zh-CN"/>
              </w:rPr>
              <w:t>仪器的形式尺寸应符合制造商说明书及相关技术图纸规定的要求。</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rFonts w:hint="eastAsia"/>
                <w:szCs w:val="21"/>
                <w:lang w:eastAsia="zh-CN"/>
              </w:rPr>
              <w:t>重量不超过房间地面承重要求</w:t>
            </w:r>
          </w:p>
        </w:tc>
        <w:tc>
          <w:tcPr>
            <w:tcW w:w="2125"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ermStart w:id="16" w:edGrp="everyone"/>
          </w:p>
        </w:tc>
        <w:tc>
          <w:tcPr>
            <w:tcW w:w="9253" w:type="dxa"/>
            <w:gridSpan w:val="2"/>
            <w:vAlign w:val="center"/>
          </w:tcPr>
          <w:p>
            <w:pPr>
              <w:jc w:val="both"/>
              <w:rPr>
                <w:szCs w:val="21"/>
                <w:lang w:eastAsia="zh-CN"/>
              </w:rPr>
            </w:pPr>
            <w:r>
              <w:rPr>
                <w:rFonts w:hint="eastAsia"/>
                <w:szCs w:val="21"/>
                <w:lang w:eastAsia="zh-CN"/>
              </w:rPr>
              <w:t>N/A</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szCs w:val="21"/>
                <w:lang w:eastAsia="zh-CN"/>
              </w:rPr>
            </w:pPr>
            <w:r>
              <w:rPr>
                <w:rFonts w:hint="eastAsia"/>
                <w:iCs/>
                <w:color w:val="000000"/>
                <w:lang w:eastAsia="zh-CN"/>
              </w:rPr>
              <w:t>适用于我公司工作环境</w:t>
            </w:r>
            <w:r>
              <w:rPr>
                <w:iCs/>
                <w:color w:val="000000"/>
                <w:lang w:eastAsia="zh-CN"/>
              </w:rPr>
              <w:t>温</w:t>
            </w:r>
            <w:r>
              <w:rPr>
                <w:color w:val="000000"/>
                <w:lang w:eastAsia="zh-CN"/>
              </w:rPr>
              <w:t>度：能适应</w:t>
            </w:r>
            <w:r>
              <w:rPr>
                <w:rFonts w:hint="eastAsia"/>
                <w:color w:val="000000"/>
                <w:lang w:val="en-US" w:eastAsia="zh-CN"/>
              </w:rPr>
              <w:t>5</w:t>
            </w:r>
            <w:r>
              <w:rPr>
                <w:rFonts w:hint="eastAsia" w:ascii="宋体" w:hAnsi="宋体" w:cs="宋体"/>
                <w:lang w:eastAsia="zh-CN"/>
              </w:rPr>
              <w:t>℃</w:t>
            </w:r>
            <w:r>
              <w:rPr>
                <w:lang w:eastAsia="zh-CN"/>
              </w:rPr>
              <w:t>～3</w:t>
            </w:r>
            <w:r>
              <w:rPr>
                <w:rFonts w:hint="eastAsia"/>
                <w:lang w:val="en-US" w:eastAsia="zh-CN"/>
              </w:rPr>
              <w:t>5</w:t>
            </w:r>
            <w:r>
              <w:rPr>
                <w:rFonts w:hint="eastAsia" w:ascii="宋体" w:hAnsi="宋体" w:cs="宋体"/>
                <w:lang w:eastAsia="zh-CN"/>
              </w:rPr>
              <w:t>℃</w:t>
            </w:r>
            <w:r>
              <w:rPr>
                <w:color w:val="000000"/>
                <w:lang w:eastAsia="zh-CN"/>
              </w:rPr>
              <w:t>环境</w:t>
            </w:r>
          </w:p>
        </w:tc>
        <w:tc>
          <w:tcPr>
            <w:tcW w:w="2125"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szCs w:val="21"/>
                <w:lang w:eastAsia="zh-CN"/>
              </w:rPr>
            </w:pPr>
            <w:r>
              <w:rPr>
                <w:rFonts w:hint="eastAsia"/>
                <w:color w:val="000000"/>
                <w:lang w:eastAsia="zh-CN"/>
              </w:rPr>
              <w:t>适用于我公司</w:t>
            </w:r>
            <w:r>
              <w:rPr>
                <w:color w:val="000000"/>
                <w:lang w:eastAsia="zh-CN"/>
              </w:rPr>
              <w:t>工作环境湿度：</w:t>
            </w:r>
            <w:r>
              <w:rPr>
                <w:rFonts w:hint="eastAsia"/>
                <w:szCs w:val="21"/>
                <w:lang w:eastAsia="zh-CN"/>
              </w:rPr>
              <w:t>≤85%R.H</w:t>
            </w:r>
          </w:p>
        </w:tc>
        <w:tc>
          <w:tcPr>
            <w:tcW w:w="2125" w:type="dxa"/>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color w:val="000000"/>
                <w:lang w:eastAsia="zh-CN"/>
              </w:rPr>
            </w:pPr>
            <w:r>
              <w:rPr>
                <w:color w:val="000000"/>
                <w:lang w:eastAsia="zh-CN"/>
              </w:rPr>
              <w:t>工作环境洁净级别：</w:t>
            </w:r>
            <w:r>
              <w:rPr>
                <w:rFonts w:hint="eastAsia"/>
                <w:lang w:eastAsia="zh-CN"/>
              </w:rPr>
              <w:t>CNC区</w:t>
            </w:r>
          </w:p>
        </w:tc>
        <w:tc>
          <w:tcPr>
            <w:tcW w:w="2125" w:type="dxa"/>
            <w:vAlign w:val="center"/>
          </w:tcPr>
          <w:p>
            <w:pPr>
              <w:jc w:val="both"/>
              <w:rPr>
                <w:szCs w:val="21"/>
                <w:lang w:eastAsia="zh-CN"/>
              </w:rPr>
            </w:pPr>
            <w:r>
              <w:rPr>
                <w:rFonts w:hint="eastAsia"/>
                <w:szCs w:val="21"/>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0" w:edGrp="everyone"/>
          </w:p>
        </w:tc>
        <w:tc>
          <w:tcPr>
            <w:tcW w:w="7128" w:type="dxa"/>
            <w:vAlign w:val="center"/>
          </w:tcPr>
          <w:p>
            <w:pPr>
              <w:spacing w:line="276" w:lineRule="auto"/>
              <w:jc w:val="both"/>
              <w:rPr>
                <w:color w:val="000000"/>
                <w:szCs w:val="21"/>
                <w:lang w:eastAsia="zh-CN"/>
              </w:rPr>
            </w:pPr>
            <w:r>
              <w:rPr>
                <w:szCs w:val="21"/>
                <w:lang w:eastAsia="zh-CN"/>
              </w:rPr>
              <w:t>适用于我公司交流电电源：交流220V±22V，50Hz±1Hz。</w:t>
            </w:r>
          </w:p>
        </w:tc>
        <w:tc>
          <w:tcPr>
            <w:tcW w:w="2125" w:type="dxa"/>
            <w:vAlign w:val="center"/>
          </w:tcPr>
          <w:p>
            <w:pPr>
              <w:jc w:val="both"/>
              <w:rPr>
                <w:szCs w:val="21"/>
                <w:lang w:eastAsia="zh-CN"/>
              </w:rPr>
            </w:pPr>
            <w:r>
              <w:rPr>
                <w:rFonts w:hint="eastAsia"/>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1" w:edGrp="everyone"/>
          </w:p>
        </w:tc>
        <w:tc>
          <w:tcPr>
            <w:tcW w:w="7128" w:type="dxa"/>
            <w:vAlign w:val="center"/>
          </w:tcPr>
          <w:p>
            <w:pPr>
              <w:tabs>
                <w:tab w:val="left" w:pos="927"/>
                <w:tab w:val="left" w:pos="2880"/>
              </w:tabs>
              <w:spacing w:line="460" w:lineRule="exact"/>
              <w:rPr>
                <w:i/>
                <w:color w:val="000000"/>
                <w:szCs w:val="21"/>
                <w:lang w:eastAsia="zh-CN"/>
              </w:rPr>
            </w:pPr>
            <w:r>
              <w:rPr>
                <w:szCs w:val="21"/>
                <w:lang w:eastAsia="zh-CN"/>
              </w:rPr>
              <w:t>仪器外观应端正、整齐，不得有明显的偏歪、毛刺和锈蚀等缺陷。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szCs w:val="21"/>
                <w:lang w:eastAsia="zh-CN"/>
              </w:rPr>
              <w:t>仪器内部表面不得有凹陷、毛刺和锈蚀等缺陷。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tabs>
                <w:tab w:val="left" w:pos="927"/>
                <w:tab w:val="left" w:pos="2880"/>
              </w:tabs>
              <w:spacing w:line="460" w:lineRule="exact"/>
              <w:rPr>
                <w:szCs w:val="21"/>
                <w:lang w:eastAsia="zh-CN"/>
              </w:rPr>
            </w:pPr>
            <w:r>
              <w:rPr>
                <w:szCs w:val="21"/>
                <w:lang w:eastAsia="zh-CN"/>
              </w:rPr>
              <w:t xml:space="preserve">标记：至少应有以下永久贴牢和清楚易认的标记： </w:t>
            </w:r>
          </w:p>
          <w:p>
            <w:pPr>
              <w:tabs>
                <w:tab w:val="left" w:pos="927"/>
                <w:tab w:val="left" w:pos="2880"/>
              </w:tabs>
              <w:spacing w:line="460" w:lineRule="exact"/>
              <w:rPr>
                <w:szCs w:val="21"/>
                <w:lang w:eastAsia="zh-CN"/>
              </w:rPr>
            </w:pPr>
            <w:r>
              <w:rPr>
                <w:szCs w:val="21"/>
                <w:lang w:eastAsia="zh-CN"/>
              </w:rPr>
              <w:t>（1）制造/供应单位；</w:t>
            </w:r>
          </w:p>
          <w:p>
            <w:pPr>
              <w:tabs>
                <w:tab w:val="left" w:pos="927"/>
                <w:tab w:val="left" w:pos="2880"/>
              </w:tabs>
              <w:spacing w:line="460" w:lineRule="exact"/>
              <w:rPr>
                <w:szCs w:val="21"/>
                <w:lang w:eastAsia="zh-CN"/>
              </w:rPr>
            </w:pPr>
            <w:r>
              <w:rPr>
                <w:szCs w:val="21"/>
                <w:lang w:eastAsia="zh-CN"/>
              </w:rPr>
              <w:t>（2）产品注册号；</w:t>
            </w:r>
          </w:p>
          <w:p>
            <w:pPr>
              <w:tabs>
                <w:tab w:val="left" w:pos="927"/>
                <w:tab w:val="left" w:pos="2880"/>
              </w:tabs>
              <w:spacing w:line="460" w:lineRule="exact"/>
              <w:rPr>
                <w:szCs w:val="21"/>
                <w:lang w:eastAsia="zh-CN"/>
              </w:rPr>
            </w:pPr>
            <w:r>
              <w:rPr>
                <w:szCs w:val="21"/>
                <w:lang w:eastAsia="zh-CN"/>
              </w:rPr>
              <w:t>（3）型号标记；</w:t>
            </w:r>
          </w:p>
          <w:p>
            <w:pPr>
              <w:tabs>
                <w:tab w:val="left" w:pos="927"/>
                <w:tab w:val="left" w:pos="2880"/>
              </w:tabs>
              <w:spacing w:line="460" w:lineRule="exact"/>
              <w:rPr>
                <w:szCs w:val="21"/>
                <w:lang w:eastAsia="zh-CN"/>
              </w:rPr>
            </w:pPr>
            <w:r>
              <w:rPr>
                <w:szCs w:val="21"/>
                <w:lang w:eastAsia="zh-CN"/>
              </w:rPr>
              <w:t>（4）生产日期或编号；</w:t>
            </w:r>
          </w:p>
          <w:p>
            <w:pPr>
              <w:tabs>
                <w:tab w:val="left" w:pos="927"/>
                <w:tab w:val="left" w:pos="2880"/>
              </w:tabs>
              <w:spacing w:line="460" w:lineRule="exact"/>
              <w:rPr>
                <w:i/>
                <w:color w:val="0070C0"/>
                <w:szCs w:val="21"/>
                <w:lang w:eastAsia="zh-CN"/>
              </w:rPr>
            </w:pPr>
            <w:r>
              <w:rPr>
                <w:szCs w:val="21"/>
                <w:lang w:eastAsia="zh-CN"/>
              </w:rPr>
              <w:t>（5）必要的功能标识、安全标识及说明；</w:t>
            </w:r>
          </w:p>
        </w:tc>
        <w:tc>
          <w:tcPr>
            <w:tcW w:w="2125" w:type="dxa"/>
            <w:vAlign w:val="center"/>
          </w:tcPr>
          <w:p>
            <w:pPr>
              <w:jc w:val="both"/>
              <w:rPr>
                <w:szCs w:val="21"/>
                <w:lang w:eastAsia="zh-CN"/>
              </w:rPr>
            </w:pPr>
            <w:r>
              <w:rPr>
                <w:rFonts w:hint="eastAsia"/>
                <w:szCs w:val="21"/>
                <w:lang w:eastAsia="zh-CN"/>
              </w:rPr>
              <w:t>关键</w:t>
            </w:r>
          </w:p>
        </w:tc>
      </w:tr>
      <w:bookmarkEnd w:id="23"/>
      <w:bookmarkEnd w:id="24"/>
      <w:permEnd w:id="21"/>
    </w:tbl>
    <w:p>
      <w:pPr>
        <w:pStyle w:val="31"/>
        <w:spacing w:afterLines="50"/>
        <w:ind w:left="425" w:firstLine="0" w:firstLineChars="0"/>
        <w:rPr>
          <w:rFonts w:ascii="Times New Roman" w:hAnsi="Times New Roman"/>
          <w:szCs w:val="21"/>
        </w:rPr>
      </w:pPr>
    </w:p>
    <w:p>
      <w:pPr>
        <w:pStyle w:val="31"/>
        <w:numPr>
          <w:ilvl w:val="0"/>
          <w:numId w:val="3"/>
        </w:numPr>
        <w:spacing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2" w:edGrp="everyone"/>
            <w:permEnd w:id="2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szCs w:val="21"/>
                <w:lang w:eastAsia="zh-CN"/>
              </w:rPr>
            </w:pPr>
            <w:r>
              <w:rPr>
                <w:rFonts w:hint="eastAsia"/>
                <w:iCs/>
                <w:lang w:eastAsia="zh-CN"/>
              </w:rPr>
              <w:t>包装需满足运输和装卸要求，防潮湿、防磕碰、防振动</w:t>
            </w:r>
          </w:p>
        </w:tc>
        <w:tc>
          <w:tcPr>
            <w:tcW w:w="2125" w:type="dxa"/>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ind w:left="426"/>
              <w:rPr>
                <w:szCs w:val="21"/>
                <w:lang w:eastAsia="zh-CN"/>
              </w:rPr>
            </w:pPr>
            <w:permStart w:id="24" w:edGrp="everyone"/>
          </w:p>
          <w:p>
            <w:pPr>
              <w:ind w:left="426"/>
              <w:rPr>
                <w:szCs w:val="21"/>
                <w:lang w:eastAsia="zh-CN"/>
              </w:rPr>
            </w:pPr>
          </w:p>
        </w:tc>
        <w:tc>
          <w:tcPr>
            <w:tcW w:w="9253" w:type="dxa"/>
            <w:gridSpan w:val="2"/>
            <w:vAlign w:val="center"/>
          </w:tcPr>
          <w:p>
            <w:pPr>
              <w:jc w:val="both"/>
              <w:rPr>
                <w:szCs w:val="21"/>
                <w:lang w:eastAsia="zh-CN"/>
              </w:rPr>
            </w:pPr>
            <w:r>
              <w:rPr>
                <w:rFonts w:hint="eastAsia"/>
                <w:szCs w:val="21"/>
                <w:lang w:eastAsia="zh-CN"/>
              </w:rPr>
              <w:t>N/A</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i/>
                <w:szCs w:val="21"/>
                <w:lang w:val="en-US" w:eastAsia="zh-CN"/>
              </w:rPr>
            </w:pPr>
            <w:r>
              <w:rPr>
                <w:szCs w:val="21"/>
              </w:rPr>
              <w:t>温度范围(℃)</w:t>
            </w:r>
            <w:r>
              <w:rPr>
                <w:rFonts w:hint="eastAsia"/>
                <w:szCs w:val="21"/>
                <w:lang w:val="en-US" w:eastAsia="zh-CN"/>
              </w:rPr>
              <w:t>:</w:t>
            </w:r>
            <w:r>
              <w:rPr>
                <w:szCs w:val="21"/>
              </w:rPr>
              <w:t>20~</w:t>
            </w:r>
            <w:r>
              <w:rPr>
                <w:rFonts w:hint="eastAsia"/>
                <w:szCs w:val="21"/>
                <w:lang w:eastAsia="zh-CN"/>
              </w:rPr>
              <w:t>50</w:t>
            </w:r>
          </w:p>
        </w:tc>
        <w:tc>
          <w:tcPr>
            <w:tcW w:w="2125" w:type="dxa"/>
            <w:vAlign w:val="center"/>
          </w:tcPr>
          <w:p>
            <w:pPr>
              <w:jc w:val="both"/>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rFonts w:ascii="宋体" w:hAnsi="宋体"/>
                <w:szCs w:val="21"/>
                <w:lang w:val="en-US" w:eastAsia="zh-CN"/>
              </w:rPr>
            </w:pPr>
            <w:r>
              <w:rPr>
                <w:szCs w:val="21"/>
              </w:rPr>
              <w:t>温度波动度(℃)</w:t>
            </w:r>
            <w:r>
              <w:rPr>
                <w:rFonts w:hint="eastAsia"/>
                <w:szCs w:val="21"/>
                <w:lang w:val="en-US" w:eastAsia="zh-CN"/>
              </w:rPr>
              <w:t>:</w:t>
            </w:r>
            <w:r>
              <w:rPr>
                <w:szCs w:val="21"/>
              </w:rPr>
              <w:t>±0.5</w:t>
            </w:r>
          </w:p>
        </w:tc>
        <w:tc>
          <w:tcPr>
            <w:tcW w:w="2125" w:type="dxa"/>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szCs w:val="21"/>
                <w:lang w:val="en-US" w:eastAsia="zh-CN"/>
              </w:rPr>
            </w:pPr>
            <w:r>
              <w:rPr>
                <w:szCs w:val="21"/>
              </w:rPr>
              <w:t>温度偏差(℃)</w:t>
            </w:r>
            <w:r>
              <w:rPr>
                <w:rFonts w:hint="eastAsia"/>
                <w:szCs w:val="21"/>
                <w:lang w:val="en-US" w:eastAsia="zh-CN"/>
              </w:rPr>
              <w:t>:</w:t>
            </w:r>
            <w:r>
              <w:rPr>
                <w:szCs w:val="21"/>
              </w:rPr>
              <w:t>±1</w:t>
            </w:r>
          </w:p>
        </w:tc>
        <w:tc>
          <w:tcPr>
            <w:tcW w:w="2125" w:type="dxa"/>
            <w:vAlign w:val="center"/>
          </w:tcPr>
          <w:p>
            <w:pPr>
              <w:jc w:val="both"/>
              <w:rPr>
                <w:szCs w:val="21"/>
                <w:lang w:val="en-US"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vAlign w:val="center"/>
          </w:tcPr>
          <w:p>
            <w:pPr>
              <w:spacing w:line="276" w:lineRule="auto"/>
              <w:jc w:val="both"/>
              <w:rPr>
                <w:szCs w:val="21"/>
                <w:lang w:val="en-US" w:eastAsia="zh-CN"/>
              </w:rPr>
            </w:pPr>
            <w:r>
              <w:rPr>
                <w:szCs w:val="21"/>
              </w:rPr>
              <w:t>湿度范围(％R.H)</w:t>
            </w:r>
            <w:r>
              <w:rPr>
                <w:rFonts w:hint="eastAsia"/>
                <w:szCs w:val="21"/>
                <w:lang w:val="en-US" w:eastAsia="zh-CN"/>
              </w:rPr>
              <w:t>:</w:t>
            </w:r>
            <w:r>
              <w:rPr>
                <w:szCs w:val="21"/>
              </w:rPr>
              <w:t>15~95</w:t>
            </w:r>
          </w:p>
        </w:tc>
        <w:tc>
          <w:tcPr>
            <w:tcW w:w="2125" w:type="dxa"/>
            <w:vAlign w:val="center"/>
          </w:tcPr>
          <w:p>
            <w:pPr>
              <w:jc w:val="both"/>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vAlign w:val="center"/>
          </w:tcPr>
          <w:p>
            <w:pPr>
              <w:spacing w:line="276" w:lineRule="auto"/>
              <w:jc w:val="both"/>
              <w:rPr>
                <w:szCs w:val="21"/>
                <w:lang w:val="en-US" w:eastAsia="zh-CN"/>
              </w:rPr>
            </w:pPr>
            <w:r>
              <w:rPr>
                <w:szCs w:val="21"/>
              </w:rPr>
              <w:t>湿度偏差(％R.H)</w:t>
            </w:r>
            <w:r>
              <w:rPr>
                <w:rFonts w:hint="eastAsia"/>
                <w:szCs w:val="21"/>
                <w:lang w:val="en-US" w:eastAsia="zh-CN"/>
              </w:rPr>
              <w:t>:</w:t>
            </w:r>
            <w:r>
              <w:rPr>
                <w:szCs w:val="21"/>
              </w:rPr>
              <w:t>±3</w:t>
            </w:r>
          </w:p>
        </w:tc>
        <w:tc>
          <w:tcPr>
            <w:tcW w:w="2125" w:type="dxa"/>
            <w:vAlign w:val="center"/>
          </w:tcPr>
          <w:p>
            <w:pPr>
              <w:jc w:val="both"/>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vAlign w:val="center"/>
          </w:tcPr>
          <w:p>
            <w:pPr>
              <w:spacing w:line="360" w:lineRule="auto"/>
              <w:rPr>
                <w:szCs w:val="21"/>
                <w:lang w:val="en-US" w:eastAsia="zh-CN"/>
              </w:rPr>
            </w:pPr>
            <w:r>
              <w:rPr>
                <w:szCs w:val="21"/>
                <w:lang w:eastAsia="zh-CN"/>
              </w:rPr>
              <w:t>载物搁板（层）</w:t>
            </w:r>
            <w:r>
              <w:rPr>
                <w:rFonts w:hint="eastAsia"/>
                <w:szCs w:val="21"/>
                <w:lang w:val="en-US" w:eastAsia="zh-CN"/>
              </w:rPr>
              <w:t>: 上下腔体分别至少3个搁板，至少共6个搁板，每层搁板高度均可调整</w:t>
            </w:r>
          </w:p>
        </w:tc>
        <w:tc>
          <w:tcPr>
            <w:tcW w:w="2125" w:type="dxa"/>
            <w:vAlign w:val="center"/>
          </w:tcPr>
          <w:p>
            <w:pPr>
              <w:pStyle w:val="8"/>
              <w:spacing w:line="360" w:lineRule="auto"/>
              <w:rPr>
                <w:szCs w:val="21"/>
                <w:lang w:val="en-US" w:eastAsia="zh-CN"/>
              </w:rPr>
            </w:pPr>
            <w:r>
              <w:rPr>
                <w:rFonts w:hint="eastAsia"/>
                <w:sz w:val="21"/>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验证孔（只）：每个腔1个，共2个，均位于试验箱的侧面</w:t>
            </w:r>
          </w:p>
        </w:tc>
        <w:tc>
          <w:tcPr>
            <w:tcW w:w="2125" w:type="dxa"/>
            <w:vAlign w:val="center"/>
          </w:tcPr>
          <w:p>
            <w:pPr>
              <w:jc w:val="both"/>
              <w:rPr>
                <w:szCs w:val="21"/>
                <w:lang w:eastAsia="zh-CN"/>
              </w:rPr>
            </w:pPr>
            <w:r>
              <w:rPr>
                <w:rFonts w:hint="eastAsia"/>
                <w:szCs w:val="21"/>
                <w:lang w:eastAsia="zh-CN"/>
              </w:rPr>
              <w:t>关键</w:t>
            </w:r>
          </w:p>
        </w:tc>
      </w:tr>
      <w:permEnd w:id="30"/>
    </w:tbl>
    <w:p>
      <w:pPr>
        <w:pStyle w:val="31"/>
        <w:numPr>
          <w:ilvl w:val="0"/>
          <w:numId w:val="3"/>
        </w:numPr>
        <w:spacing w:afterLines="50"/>
        <w:ind w:left="426" w:hanging="426" w:hangingChars="202"/>
        <w:outlineLvl w:val="0"/>
        <w:rPr>
          <w:rFonts w:ascii="Times New Roman" w:hAnsi="Times New Roman"/>
          <w:b/>
        </w:rPr>
      </w:pPr>
      <w:bookmarkStart w:id="27" w:name="_Toc522716122"/>
      <w:bookmarkStart w:id="28" w:name="_Toc522107742"/>
      <w:bookmarkStart w:id="29" w:name="_Toc482370767"/>
      <w:bookmarkStart w:id="30" w:name="_Toc482359946"/>
      <w:bookmarkStart w:id="31" w:name="_Toc482717202"/>
      <w:bookmarkStart w:id="32" w:name="_Toc482370359"/>
      <w:bookmarkStart w:id="33" w:name="_Toc482369815"/>
      <w:bookmarkStart w:id="34" w:name="_Toc482625289"/>
      <w:bookmarkStart w:id="35" w:name="_Toc482370151"/>
      <w:bookmarkStart w:id="36" w:name="_Toc483227237"/>
      <w:bookmarkStart w:id="37" w:name="_Toc482370071"/>
      <w:bookmarkStart w:id="38" w:name="_Toc483400317"/>
      <w:bookmarkStart w:id="39" w:name="_Toc481702480"/>
      <w:bookmarkStart w:id="40" w:name="_Toc482360291"/>
      <w:r>
        <w:rPr>
          <w:rFonts w:ascii="Times New Roman" w:hAnsi="Times New Roman"/>
          <w:b/>
        </w:rPr>
        <w:t>电气、自动控制要求</w:t>
      </w:r>
      <w:bookmarkEnd w:id="27"/>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1" w:edGrp="everyone"/>
            <w:permEnd w:id="3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ind w:left="426"/>
              <w:rPr>
                <w:szCs w:val="21"/>
                <w:lang w:eastAsia="zh-CN"/>
              </w:rPr>
            </w:pPr>
            <w:permStart w:id="32" w:edGrp="everyone"/>
          </w:p>
          <w:p>
            <w:pPr>
              <w:ind w:left="426"/>
              <w:rPr>
                <w:szCs w:val="21"/>
                <w:lang w:eastAsia="zh-CN"/>
              </w:rPr>
            </w:pPr>
          </w:p>
        </w:tc>
        <w:tc>
          <w:tcPr>
            <w:tcW w:w="9253" w:type="dxa"/>
            <w:gridSpan w:val="2"/>
            <w:vAlign w:val="center"/>
          </w:tcPr>
          <w:p>
            <w:pPr>
              <w:jc w:val="both"/>
              <w:rPr>
                <w:szCs w:val="21"/>
                <w:lang w:eastAsia="zh-CN"/>
              </w:rPr>
            </w:pPr>
            <w:r>
              <w:rPr>
                <w:rFonts w:hint="eastAsia"/>
                <w:szCs w:val="21"/>
                <w:lang w:eastAsia="zh-CN"/>
              </w:rPr>
              <w:t>N/A</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vAlign w:val="center"/>
          </w:tcPr>
          <w:p>
            <w:pPr>
              <w:jc w:val="both"/>
              <w:rPr>
                <w:rFonts w:hint="default"/>
                <w:szCs w:val="21"/>
                <w:lang w:val="en-US" w:eastAsia="zh-CN"/>
              </w:rPr>
            </w:pPr>
            <w:r>
              <w:rPr>
                <w:rFonts w:hint="eastAsia"/>
                <w:szCs w:val="21"/>
                <w:lang w:val="en-US" w:eastAsia="zh-CN"/>
              </w:rPr>
              <w:t>液晶仪表盘显示温湿度，至少精确到小数点后一位数。</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hint="eastAsia"/>
                <w:szCs w:val="21"/>
                <w:lang w:val="en-US" w:eastAsia="zh-CN"/>
              </w:rPr>
            </w:pPr>
            <w:r>
              <w:rPr>
                <w:rFonts w:hint="eastAsia"/>
                <w:szCs w:val="21"/>
                <w:lang w:val="en-US" w:eastAsia="zh-CN"/>
              </w:rPr>
              <w:t>可以手动对温湿度进行调节。</w:t>
            </w:r>
          </w:p>
        </w:tc>
        <w:tc>
          <w:tcPr>
            <w:tcW w:w="2125"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hint="eastAsia"/>
                <w:szCs w:val="21"/>
                <w:lang w:val="en-US" w:eastAsia="zh-CN"/>
              </w:rPr>
            </w:pPr>
            <w:r>
              <w:rPr>
                <w:rFonts w:hint="eastAsia"/>
                <w:szCs w:val="21"/>
                <w:lang w:val="en-US" w:eastAsia="zh-CN"/>
              </w:rPr>
              <w:t>表盘状态栏显示当前运行状态，有异常状态时将显示警报标识。</w:t>
            </w:r>
          </w:p>
        </w:tc>
        <w:tc>
          <w:tcPr>
            <w:tcW w:w="2125" w:type="dxa"/>
            <w:vAlign w:val="center"/>
          </w:tcPr>
          <w:p>
            <w:pPr>
              <w:jc w:val="both"/>
              <w:rPr>
                <w:rFonts w:hint="default"/>
                <w:szCs w:val="21"/>
                <w:lang w:val="en-US" w:eastAsia="zh-CN"/>
              </w:rPr>
            </w:pPr>
            <w:r>
              <w:rPr>
                <w:rFonts w:hint="eastAsia"/>
                <w:szCs w:val="21"/>
                <w:lang w:val="en-US" w:eastAsia="zh-CN"/>
              </w:rPr>
              <w:t>关键</w:t>
            </w:r>
          </w:p>
        </w:tc>
      </w:tr>
      <w:permEnd w:id="33"/>
    </w:tbl>
    <w:p>
      <w:pPr>
        <w:spacing w:afterLines="50"/>
        <w:rPr>
          <w:b/>
          <w:lang w:eastAsia="zh-CN"/>
        </w:rPr>
      </w:pPr>
    </w:p>
    <w:p>
      <w:pPr>
        <w:pStyle w:val="31"/>
        <w:numPr>
          <w:ilvl w:val="0"/>
          <w:numId w:val="3"/>
        </w:numPr>
        <w:spacing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4" w:edGrp="everyone"/>
            <w:permEnd w:id="34"/>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vAlign w:val="center"/>
          </w:tcPr>
          <w:p>
            <w:pPr>
              <w:jc w:val="both"/>
              <w:rPr>
                <w:szCs w:val="21"/>
                <w:lang w:eastAsia="zh-CN"/>
              </w:rPr>
            </w:pPr>
            <w:r>
              <w:rPr>
                <w:rFonts w:hint="eastAsia"/>
                <w:szCs w:val="21"/>
                <w:lang w:eastAsia="zh-CN"/>
              </w:rPr>
              <w:t xml:space="preserve">工作室与箱门之间用硅胶密封条密封，并保证密封良好。  </w:t>
            </w:r>
          </w:p>
        </w:tc>
        <w:tc>
          <w:tcPr>
            <w:tcW w:w="2125" w:type="dxa"/>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vAlign w:val="center"/>
          </w:tcPr>
          <w:p>
            <w:pPr>
              <w:jc w:val="both"/>
              <w:rPr>
                <w:szCs w:val="21"/>
                <w:lang w:eastAsia="zh-CN"/>
              </w:rPr>
            </w:pPr>
            <w:r>
              <w:rPr>
                <w:rFonts w:hint="eastAsia"/>
                <w:szCs w:val="21"/>
                <w:lang w:eastAsia="zh-CN"/>
              </w:rPr>
              <w:t>独立工作室超温保护。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水路系统水堵保护，加湿系统断水，缺水保护。</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腔室温度测量值和设定值之差超过±2.0℃时，显示屏上“温偏差”指示灯由灰色变为红色，并发生声音报警。</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腔室湿度测量值和设定值之差超过±5.0%RH，显示屏上“湿偏差”指示灯由灰色变为红色，并发生声音报警</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当试验箱风道内温度超过超温保护器设定值时，显示屏上“超温”指示灯由灰色变为红色，并发生声音报警，设备负载停止工作</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当试验箱因水箱水量不足、抽水泵故障，进水管阻塞等导致水位控制盒水位低于水位浮子下限时触发，显示屏上“断水”指示灯由灰色变为红色，并发生声音报警。</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1310" w:type="dxa"/>
            <w:vAlign w:val="center"/>
          </w:tcPr>
          <w:p>
            <w:pPr>
              <w:pStyle w:val="31"/>
              <w:numPr>
                <w:ilvl w:val="0"/>
                <w:numId w:val="7"/>
              </w:numPr>
              <w:ind w:left="470" w:hanging="120" w:firstLineChars="0"/>
              <w:rPr>
                <w:rFonts w:ascii="Times New Roman" w:hAnsi="Times New Roman"/>
                <w:szCs w:val="21"/>
              </w:rPr>
            </w:pPr>
            <w:r>
              <w:rPr>
                <w:rFonts w:hint="eastAsia" w:ascii="Times New Roman" w:hAnsi="Times New Roman"/>
                <w:szCs w:val="21"/>
              </w:rPr>
              <w:t>当</w:t>
            </w:r>
          </w:p>
        </w:tc>
        <w:tc>
          <w:tcPr>
            <w:tcW w:w="7128" w:type="dxa"/>
            <w:vAlign w:val="center"/>
          </w:tcPr>
          <w:p>
            <w:pPr>
              <w:jc w:val="both"/>
              <w:rPr>
                <w:szCs w:val="21"/>
                <w:lang w:eastAsia="zh-CN"/>
              </w:rPr>
            </w:pPr>
            <w:r>
              <w:rPr>
                <w:rFonts w:hint="eastAsia"/>
                <w:szCs w:val="21"/>
                <w:lang w:eastAsia="zh-CN"/>
              </w:rPr>
              <w:t>当试验箱因出水管道阻塞等原因导致水位控制盒水位高于水位浮子下限时触发，显示屏上“水堵”指示灯由灰色变为红色，并发生声音报警。</w:t>
            </w:r>
          </w:p>
          <w:p>
            <w:pPr>
              <w:jc w:val="both"/>
              <w:rPr>
                <w:szCs w:val="21"/>
                <w:lang w:eastAsia="zh-CN"/>
              </w:rPr>
            </w:pPr>
          </w:p>
        </w:tc>
        <w:tc>
          <w:tcPr>
            <w:tcW w:w="2125" w:type="dxa"/>
            <w:vAlign w:val="center"/>
          </w:tcPr>
          <w:p>
            <w:pPr>
              <w:jc w:val="both"/>
              <w:rPr>
                <w:szCs w:val="21"/>
                <w:lang w:val="en-US" w:eastAsia="zh-CN"/>
              </w:rPr>
            </w:pPr>
            <w:r>
              <w:rPr>
                <w:rFonts w:hint="eastAsia"/>
                <w:szCs w:val="21"/>
                <w:lang w:val="en-US" w:eastAsia="zh-CN"/>
              </w:rPr>
              <w:t>关键</w:t>
            </w:r>
          </w:p>
        </w:tc>
      </w:tr>
      <w:permEnd w:id="36"/>
    </w:tbl>
    <w:p>
      <w:pPr>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7" w:edGrp="everyone"/>
            <w:permEnd w:id="37"/>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vAlign w:val="center"/>
          </w:tcPr>
          <w:p>
            <w:pPr>
              <w:jc w:val="both"/>
              <w:rPr>
                <w:szCs w:val="21"/>
                <w:lang w:eastAsia="zh-CN"/>
              </w:rPr>
            </w:pPr>
            <w:r>
              <w:rPr>
                <w:rFonts w:hint="eastAsia"/>
                <w:szCs w:val="21"/>
                <w:lang w:eastAsia="zh-CN"/>
              </w:rPr>
              <w:t>设备开箱验收时提交投标文件、合同及订单</w:t>
            </w:r>
          </w:p>
        </w:tc>
        <w:tc>
          <w:tcPr>
            <w:tcW w:w="2125"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vAlign w:val="center"/>
          </w:tcPr>
          <w:p>
            <w:pPr>
              <w:jc w:val="both"/>
              <w:rPr>
                <w:szCs w:val="21"/>
                <w:lang w:eastAsia="zh-CN"/>
              </w:rPr>
            </w:pPr>
            <w:r>
              <w:rPr>
                <w:rFonts w:hint="eastAsia"/>
                <w:szCs w:val="21"/>
                <w:lang w:eastAsia="zh-CN"/>
              </w:rPr>
              <w:t>设备开箱验收时提交卖方发运清单及相关检验报告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设备开箱验收时提交</w:t>
            </w:r>
            <w:r>
              <w:rPr>
                <w:szCs w:val="21"/>
                <w:lang w:eastAsia="zh-CN"/>
              </w:rPr>
              <w:t>系统功能配置清单及说明，包含各组件名称、编号、型号、规格、品牌、材质等。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rPr>
              <w:t>设备标准技术文件</w:t>
            </w:r>
            <w:r>
              <w:rPr>
                <w:rFonts w:hint="eastAsia"/>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460" w:lineRule="exact"/>
              <w:rPr>
                <w:sz w:val="21"/>
                <w:szCs w:val="21"/>
                <w:lang w:eastAsia="zh-CN"/>
              </w:rPr>
            </w:pPr>
            <w:r>
              <w:rPr>
                <w:rFonts w:hint="eastAsia"/>
                <w:sz w:val="21"/>
                <w:szCs w:val="21"/>
                <w:lang w:eastAsia="zh-CN"/>
              </w:rPr>
              <w:t>IQ开始前提交</w:t>
            </w:r>
            <w:r>
              <w:rPr>
                <w:sz w:val="21"/>
                <w:szCs w:val="21"/>
                <w:lang w:eastAsia="zh-CN"/>
              </w:rPr>
              <w:t>实物图；各种确认、维修等活动所需的电子版及打印版图纸</w:t>
            </w:r>
            <w:r>
              <w:rPr>
                <w:color w:val="000000"/>
                <w:sz w:val="21"/>
                <w:szCs w:val="21"/>
                <w:lang w:eastAsia="zh-CN"/>
              </w:rPr>
              <w:t>实物图</w:t>
            </w:r>
            <w:r>
              <w:rPr>
                <w:rFonts w:hint="eastAsia"/>
                <w:color w:val="000000"/>
                <w:sz w:val="21"/>
                <w:szCs w:val="21"/>
                <w:lang w:eastAsia="zh-CN"/>
              </w:rPr>
              <w:t>、</w:t>
            </w:r>
            <w:r>
              <w:rPr>
                <w:color w:val="000000"/>
                <w:sz w:val="21"/>
                <w:szCs w:val="21"/>
                <w:lang w:eastAsia="zh-CN"/>
              </w:rPr>
              <w:t>布局图、设备尺寸图、设备局部图（与功能相关的细节图）、控制原理图、</w:t>
            </w:r>
            <w:r>
              <w:rPr>
                <w:sz w:val="21"/>
                <w:szCs w:val="21"/>
                <w:lang w:eastAsia="zh-CN"/>
              </w:rPr>
              <w:t>图纸清单。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IQ开始前提交厂家文件：出厂测试合格证、相关检测报告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设备开箱验证前提交设备交付计划表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设备开箱验收时提交</w:t>
            </w:r>
            <w:r>
              <w:rPr>
                <w:szCs w:val="21"/>
                <w:lang w:eastAsia="zh-CN"/>
              </w:rPr>
              <w:t xml:space="preserve">设备操作手册（SOP）：语言为中文，应说明校准周期，并能提供校准服务（此项服务可付费）。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IQ开始前提交温度探头、湿度探头和验证器具的第三方</w:t>
            </w:r>
            <w:r>
              <w:rPr>
                <w:szCs w:val="21"/>
                <w:lang w:eastAsia="zh-CN"/>
              </w:rPr>
              <w:t>计量证书。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rPr>
              <w:t>安全报告。</w:t>
            </w:r>
          </w:p>
        </w:tc>
        <w:tc>
          <w:tcPr>
            <w:tcW w:w="2125" w:type="dxa"/>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设备开箱验收时提交</w:t>
            </w:r>
            <w:r>
              <w:rPr>
                <w:szCs w:val="21"/>
                <w:lang w:eastAsia="zh-CN"/>
              </w:rPr>
              <w:t>各种必要的合格证，包括部件合格证、风速检测仪校验合格报告、材质证书等。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kern w:val="0"/>
                <w:szCs w:val="21"/>
                <w:lang/>
              </w:rPr>
            </w:pPr>
          </w:p>
        </w:tc>
        <w:tc>
          <w:tcPr>
            <w:tcW w:w="7128" w:type="dxa"/>
            <w:vAlign w:val="center"/>
          </w:tcPr>
          <w:p>
            <w:pPr>
              <w:pStyle w:val="8"/>
              <w:spacing w:line="460" w:lineRule="exact"/>
              <w:rPr>
                <w:sz w:val="21"/>
                <w:szCs w:val="21"/>
                <w:lang w:eastAsia="zh-CN"/>
              </w:rPr>
            </w:pPr>
            <w:r>
              <w:rPr>
                <w:rFonts w:hint="eastAsia"/>
                <w:sz w:val="21"/>
                <w:szCs w:val="21"/>
                <w:lang w:eastAsia="zh-CN"/>
              </w:rPr>
              <w:t>验证文件：</w:t>
            </w:r>
          </w:p>
          <w:p>
            <w:pPr>
              <w:pStyle w:val="8"/>
              <w:spacing w:line="360" w:lineRule="auto"/>
              <w:rPr>
                <w:sz w:val="21"/>
                <w:szCs w:val="21"/>
                <w:lang w:eastAsia="zh-CN"/>
              </w:rPr>
            </w:pPr>
            <w:r>
              <w:rPr>
                <w:rFonts w:hint="eastAsia"/>
                <w:sz w:val="21"/>
                <w:szCs w:val="21"/>
                <w:lang w:eastAsia="zh-CN"/>
              </w:rPr>
              <w:t>（1）验证计划</w:t>
            </w:r>
          </w:p>
          <w:p>
            <w:pPr>
              <w:pStyle w:val="8"/>
              <w:spacing w:line="360" w:lineRule="auto"/>
              <w:rPr>
                <w:sz w:val="21"/>
                <w:szCs w:val="21"/>
                <w:lang w:eastAsia="zh-CN"/>
              </w:rPr>
            </w:pPr>
            <w:r>
              <w:rPr>
                <w:rFonts w:hint="eastAsia"/>
                <w:sz w:val="21"/>
                <w:szCs w:val="21"/>
                <w:lang w:eastAsia="zh-CN"/>
              </w:rPr>
              <w:t>（3）设计确认及文件（DQ）；</w:t>
            </w:r>
          </w:p>
          <w:p>
            <w:pPr>
              <w:pStyle w:val="8"/>
              <w:spacing w:line="360" w:lineRule="auto"/>
              <w:rPr>
                <w:sz w:val="21"/>
                <w:szCs w:val="21"/>
                <w:lang w:eastAsia="zh-CN"/>
              </w:rPr>
            </w:pPr>
            <w:r>
              <w:rPr>
                <w:rFonts w:hint="eastAsia"/>
                <w:sz w:val="21"/>
                <w:szCs w:val="21"/>
                <w:lang w:eastAsia="zh-CN"/>
              </w:rPr>
              <w:t>（4）OQ开始前完成审批并提交安装确认及文件（IQ）；</w:t>
            </w:r>
          </w:p>
          <w:p>
            <w:pPr>
              <w:pStyle w:val="8"/>
              <w:spacing w:line="360" w:lineRule="auto"/>
              <w:rPr>
                <w:sz w:val="21"/>
                <w:szCs w:val="21"/>
                <w:lang w:eastAsia="zh-CN"/>
              </w:rPr>
            </w:pPr>
            <w:r>
              <w:rPr>
                <w:rFonts w:hint="eastAsia"/>
                <w:sz w:val="21"/>
                <w:szCs w:val="21"/>
                <w:lang w:eastAsia="zh-CN"/>
              </w:rPr>
              <w:t>（5）PQ开始前完成审批并提交运行确认及文件（OQ）；</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设备开箱验收时提交</w:t>
            </w:r>
            <w:r>
              <w:rPr>
                <w:szCs w:val="21"/>
                <w:lang w:eastAsia="zh-CN"/>
              </w:rPr>
              <w:t>使用操作说明书及维护保养说明（即运行及维护手册）</w:t>
            </w:r>
            <w:r>
              <w:rPr>
                <w:rFonts w:hint="eastAsia"/>
                <w:szCs w:val="21"/>
                <w:lang w:eastAsia="zh-CN"/>
              </w:rPr>
              <w:t>3份</w:t>
            </w:r>
            <w:r>
              <w:rPr>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360" w:lineRule="auto"/>
              <w:rPr>
                <w:sz w:val="21"/>
                <w:szCs w:val="21"/>
                <w:lang w:eastAsia="zh-CN"/>
              </w:rPr>
            </w:pPr>
            <w:r>
              <w:rPr>
                <w:rFonts w:hint="eastAsia"/>
                <w:sz w:val="21"/>
                <w:szCs w:val="21"/>
                <w:lang w:eastAsia="zh-CN"/>
              </w:rPr>
              <w:t>文件具体要求：</w:t>
            </w:r>
          </w:p>
          <w:p>
            <w:pPr>
              <w:pStyle w:val="8"/>
              <w:spacing w:line="360" w:lineRule="auto"/>
              <w:rPr>
                <w:sz w:val="21"/>
                <w:szCs w:val="21"/>
                <w:lang w:eastAsia="zh-CN"/>
              </w:rPr>
            </w:pPr>
            <w:r>
              <w:rPr>
                <w:rFonts w:hint="eastAsia"/>
                <w:sz w:val="21"/>
                <w:szCs w:val="21"/>
                <w:lang w:eastAsia="zh-CN"/>
              </w:rPr>
              <w:t>（1）系统相关方案中，应明确本系统的配置、规格，并且通过分析阐述每一个系统环节的必要性；</w:t>
            </w:r>
          </w:p>
          <w:p>
            <w:pPr>
              <w:pStyle w:val="8"/>
              <w:spacing w:line="360" w:lineRule="auto"/>
              <w:rPr>
                <w:sz w:val="21"/>
                <w:szCs w:val="21"/>
                <w:lang w:eastAsia="zh-CN"/>
              </w:rPr>
            </w:pPr>
            <w:r>
              <w:rPr>
                <w:rFonts w:hint="eastAsia"/>
                <w:sz w:val="21"/>
                <w:szCs w:val="21"/>
                <w:lang w:eastAsia="zh-CN"/>
              </w:rPr>
              <w:t>（2）标书中明确系统所有组件的品牌、材质、型号，并且注明每一个组件的保修期。</w:t>
            </w:r>
          </w:p>
          <w:p>
            <w:pPr>
              <w:pStyle w:val="8"/>
              <w:spacing w:line="360" w:lineRule="auto"/>
              <w:rPr>
                <w:szCs w:val="21"/>
                <w:lang w:eastAsia="zh-CN"/>
              </w:rPr>
            </w:pPr>
            <w:r>
              <w:rPr>
                <w:rFonts w:hint="eastAsia"/>
                <w:sz w:val="21"/>
                <w:szCs w:val="21"/>
                <w:lang w:eastAsia="zh-CN"/>
              </w:rPr>
              <w:t>（3）需要提供主要配件清单，并作单项报价备案，列在合同方案之内。</w:t>
            </w:r>
          </w:p>
        </w:tc>
        <w:tc>
          <w:tcPr>
            <w:tcW w:w="2125" w:type="dxa"/>
            <w:vAlign w:val="center"/>
          </w:tcPr>
          <w:p>
            <w:pPr>
              <w:jc w:val="both"/>
              <w:rPr>
                <w:szCs w:val="21"/>
                <w:lang w:eastAsia="zh-CN"/>
              </w:rPr>
            </w:pPr>
            <w:r>
              <w:rPr>
                <w:rFonts w:hint="eastAsia"/>
                <w:szCs w:val="21"/>
                <w:lang w:eastAsia="zh-CN"/>
              </w:rPr>
              <w:t>关键</w:t>
            </w:r>
          </w:p>
        </w:tc>
      </w:tr>
      <w:permEnd w:id="39"/>
    </w:tbl>
    <w:p>
      <w:pPr>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0" w:edGrp="everyone"/>
            <w:permEnd w:id="4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rFonts w:ascii="宋体" w:hAnsi="宋体"/>
                <w:color w:val="000000"/>
                <w:szCs w:val="22"/>
                <w:lang w:eastAsia="zh-CN"/>
              </w:rPr>
            </w:pPr>
            <w:r>
              <w:rPr>
                <w:rFonts w:hint="eastAsia" w:ascii="宋体" w:hAnsi="宋体"/>
                <w:color w:val="000000"/>
                <w:szCs w:val="22"/>
                <w:lang w:eastAsia="zh-CN"/>
              </w:rPr>
              <w:t>验证包括</w:t>
            </w:r>
            <w:r>
              <w:rPr>
                <w:rFonts w:hint="eastAsia" w:ascii="宋体" w:hAnsi="宋体"/>
                <w:szCs w:val="22"/>
                <w:lang w:eastAsia="zh-CN"/>
              </w:rPr>
              <w:t>DQ、IQ、OQ文件与服务，供</w:t>
            </w:r>
            <w:r>
              <w:rPr>
                <w:rFonts w:hint="eastAsia" w:ascii="宋体" w:hAnsi="宋体"/>
                <w:color w:val="000000"/>
                <w:szCs w:val="22"/>
                <w:lang w:eastAsia="zh-CN"/>
              </w:rPr>
              <w:t>应商必须派出具备该类系统验证经验，且熟悉验证相关文件编写及验证工作实施的验证工程师开展验证工作。供应商协助完成PQ</w:t>
            </w:r>
          </w:p>
        </w:tc>
        <w:tc>
          <w:tcPr>
            <w:tcW w:w="2125" w:type="dxa"/>
            <w:vAlign w:val="center"/>
          </w:tcPr>
          <w:p>
            <w:pPr>
              <w:jc w:val="both"/>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6" w:edGrp="everyone"/>
          </w:p>
        </w:tc>
        <w:tc>
          <w:tcPr>
            <w:tcW w:w="7128" w:type="dxa"/>
            <w:vAlign w:val="center"/>
          </w:tcPr>
          <w:p>
            <w:pPr>
              <w:spacing w:line="276" w:lineRule="auto"/>
              <w:jc w:val="both"/>
              <w:rPr>
                <w:rFonts w:ascii="宋体" w:hAnsi="宋体"/>
                <w:szCs w:val="22"/>
                <w:lang w:eastAsia="zh-CN"/>
              </w:rPr>
            </w:pPr>
            <w:r>
              <w:rPr>
                <w:rFonts w:hint="eastAsia" w:ascii="宋体" w:hAnsi="宋体"/>
                <w:szCs w:val="22"/>
                <w:lang w:eastAsia="zh-CN"/>
              </w:rPr>
              <w:t>投标方按GMP规范及GAMP5相关法规完成所有验证工作，并提供相应文件（文件必须无条件符合我所QA要求）。各验证工作开始前验证方案需经过本公司相关部门审核，并经质量保证部批准。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7" w:edGrp="everyone"/>
          </w:p>
        </w:tc>
        <w:tc>
          <w:tcPr>
            <w:tcW w:w="7128" w:type="dxa"/>
            <w:vAlign w:val="center"/>
          </w:tcPr>
          <w:p>
            <w:pPr>
              <w:spacing w:line="276" w:lineRule="auto"/>
              <w:jc w:val="both"/>
              <w:rPr>
                <w:szCs w:val="21"/>
                <w:lang w:eastAsia="zh-CN"/>
              </w:rPr>
            </w:pPr>
            <w:r>
              <w:rPr>
                <w:rFonts w:hint="eastAsia"/>
                <w:szCs w:val="21"/>
                <w:lang w:eastAsia="zh-CN"/>
              </w:rPr>
              <w:t>设备保质期从确认验收的阶段就开始计算。</w:t>
            </w:r>
          </w:p>
        </w:tc>
        <w:tc>
          <w:tcPr>
            <w:tcW w:w="2125" w:type="dxa"/>
            <w:vAlign w:val="center"/>
          </w:tcPr>
          <w:p>
            <w:pPr>
              <w:jc w:val="both"/>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8" w:edGrp="everyone"/>
          </w:p>
        </w:tc>
        <w:tc>
          <w:tcPr>
            <w:tcW w:w="7128" w:type="dxa"/>
            <w:vAlign w:val="center"/>
          </w:tcPr>
          <w:p>
            <w:pPr>
              <w:spacing w:line="276" w:lineRule="auto"/>
              <w:jc w:val="both"/>
              <w:rPr>
                <w:szCs w:val="21"/>
                <w:lang w:eastAsia="zh-CN"/>
              </w:rPr>
            </w:pPr>
            <w:r>
              <w:rPr>
                <w:szCs w:val="21"/>
                <w:lang w:eastAsia="zh-CN"/>
              </w:rPr>
              <w:t>设备质保期为一年以上，保质期内免费保修并免费更换所有配件，保质期后应提供良好的售后服务。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售后服务必须响应及时，要求仪器出现须厂家维修的故障后，应在</w:t>
            </w:r>
            <w:r>
              <w:rPr>
                <w:rFonts w:hint="eastAsia"/>
                <w:szCs w:val="21"/>
                <w:lang w:eastAsia="zh-CN"/>
              </w:rPr>
              <w:t>2</w:t>
            </w:r>
            <w:r>
              <w:rPr>
                <w:szCs w:val="21"/>
                <w:lang w:eastAsia="zh-CN"/>
              </w:rPr>
              <w:t>小时内明确答复，当电话沟通无法解决时，须48小时内派人至现场解决。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免费保修期后，厂家应终生提供及时的维修、维护，厂家应定期回访，解决设备运行当中可能出现的疑问，排除潜在故障，使设备保持良好工作状态。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厂家应提供合格的抽水泵等备件，用于设备相应部件的维修、更换。</w:t>
            </w:r>
          </w:p>
        </w:tc>
        <w:tc>
          <w:tcPr>
            <w:tcW w:w="2125" w:type="dxa"/>
            <w:vAlign w:val="center"/>
          </w:tcPr>
          <w:p>
            <w:pPr>
              <w:jc w:val="both"/>
              <w:rPr>
                <w:szCs w:val="21"/>
                <w:lang w:eastAsia="zh-CN"/>
              </w:rPr>
            </w:pPr>
            <w:r>
              <w:rPr>
                <w:rFonts w:hint="eastAsia"/>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9" w:edGrp="everyone"/>
          </w:p>
        </w:tc>
        <w:tc>
          <w:tcPr>
            <w:tcW w:w="7128"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0" w:edGrp="everyone"/>
          </w:p>
        </w:tc>
        <w:tc>
          <w:tcPr>
            <w:tcW w:w="7128" w:type="dxa"/>
            <w:vAlign w:val="center"/>
          </w:tcPr>
          <w:p>
            <w:pPr>
              <w:spacing w:line="276" w:lineRule="auto"/>
              <w:jc w:val="both"/>
              <w:rPr>
                <w:szCs w:val="21"/>
                <w:lang w:eastAsia="zh-CN"/>
              </w:rPr>
            </w:pPr>
            <w:r>
              <w:rPr>
                <w:rFonts w:hint="eastAsia"/>
                <w:szCs w:val="21"/>
                <w:lang w:eastAsia="zh-CN"/>
              </w:rPr>
              <w:t>供应商进厂施工需遵守安全和安装规定。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确认试车验收合格后，买卖双方签订验收报告。</w:t>
            </w:r>
          </w:p>
        </w:tc>
        <w:tc>
          <w:tcPr>
            <w:tcW w:w="2125" w:type="dxa"/>
            <w:vAlign w:val="center"/>
          </w:tcPr>
          <w:p>
            <w:pPr>
              <w:jc w:val="both"/>
              <w:rPr>
                <w:szCs w:val="21"/>
                <w:lang w:eastAsia="zh-CN"/>
              </w:rPr>
            </w:pPr>
            <w:r>
              <w:rPr>
                <w:rFonts w:hint="eastAsia"/>
                <w:szCs w:val="21"/>
                <w:lang w:eastAsia="zh-CN"/>
              </w:rPr>
              <w:t>关键</w:t>
            </w:r>
          </w:p>
        </w:tc>
      </w:tr>
      <w:permEnd w:id="50"/>
    </w:tbl>
    <w:p/>
    <w:p>
      <w:pPr>
        <w:pStyle w:val="31"/>
        <w:numPr>
          <w:ilvl w:val="0"/>
          <w:numId w:val="3"/>
        </w:numPr>
        <w:spacing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5"/>
        <w:spacing w:before="0" w:line="360" w:lineRule="auto"/>
        <w:ind w:left="357"/>
        <w:jc w:val="left"/>
        <w:rPr>
          <w:szCs w:val="21"/>
          <w:lang w:eastAsia="zh-CN"/>
        </w:rPr>
      </w:pPr>
      <w:permStart w:id="51" w:edGrp="everyone"/>
      <w:r>
        <w:rPr>
          <w:rFonts w:hint="eastAsia"/>
          <w:szCs w:val="21"/>
          <w:lang w:eastAsia="zh-CN"/>
        </w:rPr>
        <w:t>不适用</w:t>
      </w:r>
      <w:permEnd w:id="51"/>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1467757">
    <w:nsid w:val="686546ED"/>
    <w:multiLevelType w:val="multilevel"/>
    <w:tmpl w:val="686546ED"/>
    <w:lvl w:ilvl="0" w:tentative="1">
      <w:start w:val="1"/>
      <w:numFmt w:val="decimal"/>
      <w:pStyle w:val="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2663"/>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170"/>
    <w:rsid w:val="000844A8"/>
    <w:rsid w:val="00084F90"/>
    <w:rsid w:val="00086CA0"/>
    <w:rsid w:val="00087002"/>
    <w:rsid w:val="00092C03"/>
    <w:rsid w:val="000956AB"/>
    <w:rsid w:val="00096510"/>
    <w:rsid w:val="00097A7D"/>
    <w:rsid w:val="00097CA2"/>
    <w:rsid w:val="000A1B2F"/>
    <w:rsid w:val="000A1D9E"/>
    <w:rsid w:val="000A2664"/>
    <w:rsid w:val="000A2C3C"/>
    <w:rsid w:val="000A3D78"/>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1EC0"/>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3A62"/>
    <w:rsid w:val="001746E7"/>
    <w:rsid w:val="001757AB"/>
    <w:rsid w:val="001769A8"/>
    <w:rsid w:val="0018043E"/>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0A75"/>
    <w:rsid w:val="001C239E"/>
    <w:rsid w:val="001C2D7E"/>
    <w:rsid w:val="001D1FA0"/>
    <w:rsid w:val="001D32D4"/>
    <w:rsid w:val="001D3C96"/>
    <w:rsid w:val="001D4383"/>
    <w:rsid w:val="001D4742"/>
    <w:rsid w:val="001D474B"/>
    <w:rsid w:val="001D48B0"/>
    <w:rsid w:val="001D5549"/>
    <w:rsid w:val="001D56E2"/>
    <w:rsid w:val="001E0376"/>
    <w:rsid w:val="001E13E0"/>
    <w:rsid w:val="001E2B2B"/>
    <w:rsid w:val="001E353E"/>
    <w:rsid w:val="001E3CBE"/>
    <w:rsid w:val="001E5657"/>
    <w:rsid w:val="001E5F94"/>
    <w:rsid w:val="001E744F"/>
    <w:rsid w:val="001F065A"/>
    <w:rsid w:val="001F1A4D"/>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81C"/>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3AF"/>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4F1"/>
    <w:rsid w:val="003549FE"/>
    <w:rsid w:val="00355AAC"/>
    <w:rsid w:val="00355D7D"/>
    <w:rsid w:val="003647CA"/>
    <w:rsid w:val="00370514"/>
    <w:rsid w:val="0037056A"/>
    <w:rsid w:val="00371C21"/>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263"/>
    <w:rsid w:val="003A1311"/>
    <w:rsid w:val="003A2EC5"/>
    <w:rsid w:val="003A3AAC"/>
    <w:rsid w:val="003A4892"/>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259C"/>
    <w:rsid w:val="003D3C09"/>
    <w:rsid w:val="003D464A"/>
    <w:rsid w:val="003D4EFF"/>
    <w:rsid w:val="003D5F4A"/>
    <w:rsid w:val="003D662C"/>
    <w:rsid w:val="003D77E5"/>
    <w:rsid w:val="003E1DF5"/>
    <w:rsid w:val="003E49F8"/>
    <w:rsid w:val="003E5109"/>
    <w:rsid w:val="003E60EE"/>
    <w:rsid w:val="003E6B48"/>
    <w:rsid w:val="003E748F"/>
    <w:rsid w:val="003F3F47"/>
    <w:rsid w:val="003F6E0C"/>
    <w:rsid w:val="004003A8"/>
    <w:rsid w:val="0040240E"/>
    <w:rsid w:val="00402756"/>
    <w:rsid w:val="00405B3A"/>
    <w:rsid w:val="004074DC"/>
    <w:rsid w:val="004111CC"/>
    <w:rsid w:val="00411E31"/>
    <w:rsid w:val="004122A3"/>
    <w:rsid w:val="00416E8B"/>
    <w:rsid w:val="00420273"/>
    <w:rsid w:val="00420AA0"/>
    <w:rsid w:val="0042116C"/>
    <w:rsid w:val="00422D19"/>
    <w:rsid w:val="00422DFE"/>
    <w:rsid w:val="00424D83"/>
    <w:rsid w:val="00424E29"/>
    <w:rsid w:val="00427D22"/>
    <w:rsid w:val="00427E2D"/>
    <w:rsid w:val="00432568"/>
    <w:rsid w:val="00436565"/>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3E0A"/>
    <w:rsid w:val="00467AE6"/>
    <w:rsid w:val="00467EC9"/>
    <w:rsid w:val="00477791"/>
    <w:rsid w:val="00480286"/>
    <w:rsid w:val="00480C3B"/>
    <w:rsid w:val="00480FE3"/>
    <w:rsid w:val="00481C94"/>
    <w:rsid w:val="00484A8D"/>
    <w:rsid w:val="00486A4E"/>
    <w:rsid w:val="00486B09"/>
    <w:rsid w:val="00486F17"/>
    <w:rsid w:val="0049139F"/>
    <w:rsid w:val="00494F07"/>
    <w:rsid w:val="00496116"/>
    <w:rsid w:val="004965A0"/>
    <w:rsid w:val="004968DE"/>
    <w:rsid w:val="00497335"/>
    <w:rsid w:val="004A05A7"/>
    <w:rsid w:val="004A3F98"/>
    <w:rsid w:val="004A5532"/>
    <w:rsid w:val="004A5958"/>
    <w:rsid w:val="004A725F"/>
    <w:rsid w:val="004A76DF"/>
    <w:rsid w:val="004B0A75"/>
    <w:rsid w:val="004B2190"/>
    <w:rsid w:val="004B28EB"/>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1E37"/>
    <w:rsid w:val="00582DB0"/>
    <w:rsid w:val="00584B8E"/>
    <w:rsid w:val="00586EFD"/>
    <w:rsid w:val="00587AC1"/>
    <w:rsid w:val="00587DE8"/>
    <w:rsid w:val="00590694"/>
    <w:rsid w:val="00590AA6"/>
    <w:rsid w:val="00591A70"/>
    <w:rsid w:val="00592624"/>
    <w:rsid w:val="00593AF8"/>
    <w:rsid w:val="00593EC9"/>
    <w:rsid w:val="005964B1"/>
    <w:rsid w:val="005965FD"/>
    <w:rsid w:val="00596B8B"/>
    <w:rsid w:val="00596D07"/>
    <w:rsid w:val="00597FCC"/>
    <w:rsid w:val="005A0459"/>
    <w:rsid w:val="005A132A"/>
    <w:rsid w:val="005A337C"/>
    <w:rsid w:val="005A34B0"/>
    <w:rsid w:val="005A3ECF"/>
    <w:rsid w:val="005A6821"/>
    <w:rsid w:val="005B2393"/>
    <w:rsid w:val="005B750A"/>
    <w:rsid w:val="005C2B89"/>
    <w:rsid w:val="005C2FA7"/>
    <w:rsid w:val="005C386F"/>
    <w:rsid w:val="005C42AC"/>
    <w:rsid w:val="005C4D05"/>
    <w:rsid w:val="005C506B"/>
    <w:rsid w:val="005C5F32"/>
    <w:rsid w:val="005C6CC3"/>
    <w:rsid w:val="005C71BF"/>
    <w:rsid w:val="005C723D"/>
    <w:rsid w:val="005C7601"/>
    <w:rsid w:val="005D1094"/>
    <w:rsid w:val="005D3394"/>
    <w:rsid w:val="005D3989"/>
    <w:rsid w:val="005D42FF"/>
    <w:rsid w:val="005E2725"/>
    <w:rsid w:val="005E3EA0"/>
    <w:rsid w:val="005E65FA"/>
    <w:rsid w:val="005F19CE"/>
    <w:rsid w:val="005F28F4"/>
    <w:rsid w:val="005F43BB"/>
    <w:rsid w:val="005F503E"/>
    <w:rsid w:val="005F6CB3"/>
    <w:rsid w:val="005F7612"/>
    <w:rsid w:val="005F7663"/>
    <w:rsid w:val="005F7D63"/>
    <w:rsid w:val="00603343"/>
    <w:rsid w:val="006042A5"/>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178B"/>
    <w:rsid w:val="00672B86"/>
    <w:rsid w:val="00673031"/>
    <w:rsid w:val="00673EB3"/>
    <w:rsid w:val="00680BE8"/>
    <w:rsid w:val="00686409"/>
    <w:rsid w:val="00686D19"/>
    <w:rsid w:val="0068777F"/>
    <w:rsid w:val="00690386"/>
    <w:rsid w:val="00693018"/>
    <w:rsid w:val="006A0059"/>
    <w:rsid w:val="006A7425"/>
    <w:rsid w:val="006B058A"/>
    <w:rsid w:val="006B1299"/>
    <w:rsid w:val="006B26D9"/>
    <w:rsid w:val="006B2B55"/>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6AD2"/>
    <w:rsid w:val="006E6D23"/>
    <w:rsid w:val="006E7938"/>
    <w:rsid w:val="006E79FB"/>
    <w:rsid w:val="006F229A"/>
    <w:rsid w:val="006F3BB9"/>
    <w:rsid w:val="006F47CE"/>
    <w:rsid w:val="006F4AA6"/>
    <w:rsid w:val="007007FA"/>
    <w:rsid w:val="00702884"/>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0DE5"/>
    <w:rsid w:val="00750FC3"/>
    <w:rsid w:val="0075142F"/>
    <w:rsid w:val="00751965"/>
    <w:rsid w:val="007524EF"/>
    <w:rsid w:val="00752689"/>
    <w:rsid w:val="007555BF"/>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4935"/>
    <w:rsid w:val="00785B90"/>
    <w:rsid w:val="0078639C"/>
    <w:rsid w:val="007913D3"/>
    <w:rsid w:val="00796302"/>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35E"/>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17A71"/>
    <w:rsid w:val="00820267"/>
    <w:rsid w:val="0082112E"/>
    <w:rsid w:val="00822F2B"/>
    <w:rsid w:val="00823D9A"/>
    <w:rsid w:val="00827EA4"/>
    <w:rsid w:val="008301D6"/>
    <w:rsid w:val="008305B7"/>
    <w:rsid w:val="00830C78"/>
    <w:rsid w:val="00830FB9"/>
    <w:rsid w:val="00834968"/>
    <w:rsid w:val="00834B53"/>
    <w:rsid w:val="00834D83"/>
    <w:rsid w:val="00840298"/>
    <w:rsid w:val="00841BE4"/>
    <w:rsid w:val="00845A53"/>
    <w:rsid w:val="00847E8C"/>
    <w:rsid w:val="008505E1"/>
    <w:rsid w:val="00850B19"/>
    <w:rsid w:val="00852488"/>
    <w:rsid w:val="0085405E"/>
    <w:rsid w:val="008571DD"/>
    <w:rsid w:val="0085772E"/>
    <w:rsid w:val="008577CD"/>
    <w:rsid w:val="00860344"/>
    <w:rsid w:val="00860E2C"/>
    <w:rsid w:val="00864BC6"/>
    <w:rsid w:val="00865EE6"/>
    <w:rsid w:val="008673CD"/>
    <w:rsid w:val="00870D23"/>
    <w:rsid w:val="00872B72"/>
    <w:rsid w:val="00873022"/>
    <w:rsid w:val="00876468"/>
    <w:rsid w:val="008767E1"/>
    <w:rsid w:val="00876CC7"/>
    <w:rsid w:val="008823E4"/>
    <w:rsid w:val="008837C4"/>
    <w:rsid w:val="008849F3"/>
    <w:rsid w:val="00884E78"/>
    <w:rsid w:val="00885065"/>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9A7"/>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04BD"/>
    <w:rsid w:val="008E41D3"/>
    <w:rsid w:val="008E43F1"/>
    <w:rsid w:val="008E594F"/>
    <w:rsid w:val="008E7312"/>
    <w:rsid w:val="008F297F"/>
    <w:rsid w:val="008F3C28"/>
    <w:rsid w:val="008F447E"/>
    <w:rsid w:val="008F5B86"/>
    <w:rsid w:val="009012BC"/>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38F5"/>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B7957"/>
    <w:rsid w:val="009C05E2"/>
    <w:rsid w:val="009C1C79"/>
    <w:rsid w:val="009C339C"/>
    <w:rsid w:val="009C33B8"/>
    <w:rsid w:val="009C7206"/>
    <w:rsid w:val="009D07A0"/>
    <w:rsid w:val="009D107D"/>
    <w:rsid w:val="009D1871"/>
    <w:rsid w:val="009D2985"/>
    <w:rsid w:val="009D3033"/>
    <w:rsid w:val="009D5770"/>
    <w:rsid w:val="009D6AF5"/>
    <w:rsid w:val="009D6CF1"/>
    <w:rsid w:val="009D74BA"/>
    <w:rsid w:val="009D773B"/>
    <w:rsid w:val="009E0874"/>
    <w:rsid w:val="009E1A16"/>
    <w:rsid w:val="009E2045"/>
    <w:rsid w:val="009E4A84"/>
    <w:rsid w:val="009E6973"/>
    <w:rsid w:val="009F0466"/>
    <w:rsid w:val="009F4200"/>
    <w:rsid w:val="009F4933"/>
    <w:rsid w:val="009F4A94"/>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B46"/>
    <w:rsid w:val="00A47E22"/>
    <w:rsid w:val="00A47ED0"/>
    <w:rsid w:val="00A509EA"/>
    <w:rsid w:val="00A51476"/>
    <w:rsid w:val="00A526D2"/>
    <w:rsid w:val="00A540DA"/>
    <w:rsid w:val="00A54412"/>
    <w:rsid w:val="00A5498B"/>
    <w:rsid w:val="00A550C8"/>
    <w:rsid w:val="00A5564C"/>
    <w:rsid w:val="00A559EC"/>
    <w:rsid w:val="00A569F8"/>
    <w:rsid w:val="00A56E60"/>
    <w:rsid w:val="00A571B3"/>
    <w:rsid w:val="00A626B5"/>
    <w:rsid w:val="00A62DF0"/>
    <w:rsid w:val="00A63620"/>
    <w:rsid w:val="00A63ECE"/>
    <w:rsid w:val="00A65A7B"/>
    <w:rsid w:val="00A66342"/>
    <w:rsid w:val="00A665C8"/>
    <w:rsid w:val="00A6749E"/>
    <w:rsid w:val="00A70D88"/>
    <w:rsid w:val="00A71142"/>
    <w:rsid w:val="00A72895"/>
    <w:rsid w:val="00A74208"/>
    <w:rsid w:val="00A74589"/>
    <w:rsid w:val="00A74E1B"/>
    <w:rsid w:val="00A7513A"/>
    <w:rsid w:val="00A75AC9"/>
    <w:rsid w:val="00A75B25"/>
    <w:rsid w:val="00A76AEE"/>
    <w:rsid w:val="00A76E68"/>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67EA"/>
    <w:rsid w:val="00AA73FD"/>
    <w:rsid w:val="00AB2F87"/>
    <w:rsid w:val="00AB2FD3"/>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2DD3"/>
    <w:rsid w:val="00AE304B"/>
    <w:rsid w:val="00AE3D3E"/>
    <w:rsid w:val="00AE49B2"/>
    <w:rsid w:val="00AE6BEB"/>
    <w:rsid w:val="00AE7789"/>
    <w:rsid w:val="00AF32EA"/>
    <w:rsid w:val="00AF3DED"/>
    <w:rsid w:val="00AF48B1"/>
    <w:rsid w:val="00AF4FB8"/>
    <w:rsid w:val="00AF6713"/>
    <w:rsid w:val="00AF6BD6"/>
    <w:rsid w:val="00AF753A"/>
    <w:rsid w:val="00B00E34"/>
    <w:rsid w:val="00B021ED"/>
    <w:rsid w:val="00B0250D"/>
    <w:rsid w:val="00B032B1"/>
    <w:rsid w:val="00B03F46"/>
    <w:rsid w:val="00B059B8"/>
    <w:rsid w:val="00B07418"/>
    <w:rsid w:val="00B11547"/>
    <w:rsid w:val="00B11EF0"/>
    <w:rsid w:val="00B1226C"/>
    <w:rsid w:val="00B14139"/>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7A5"/>
    <w:rsid w:val="00B76AF9"/>
    <w:rsid w:val="00B8115B"/>
    <w:rsid w:val="00B81AE2"/>
    <w:rsid w:val="00B82D30"/>
    <w:rsid w:val="00B86014"/>
    <w:rsid w:val="00B87F62"/>
    <w:rsid w:val="00B914A4"/>
    <w:rsid w:val="00B92497"/>
    <w:rsid w:val="00B92D41"/>
    <w:rsid w:val="00B93679"/>
    <w:rsid w:val="00B9422D"/>
    <w:rsid w:val="00B94335"/>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0DB"/>
    <w:rsid w:val="00BD337A"/>
    <w:rsid w:val="00BD558D"/>
    <w:rsid w:val="00BD5CC3"/>
    <w:rsid w:val="00BE1F47"/>
    <w:rsid w:val="00BE24AD"/>
    <w:rsid w:val="00BE2787"/>
    <w:rsid w:val="00BE51BB"/>
    <w:rsid w:val="00BE546D"/>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3118"/>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1C9A"/>
    <w:rsid w:val="00C826A9"/>
    <w:rsid w:val="00C83D88"/>
    <w:rsid w:val="00C84961"/>
    <w:rsid w:val="00C84B06"/>
    <w:rsid w:val="00C87100"/>
    <w:rsid w:val="00C87519"/>
    <w:rsid w:val="00C87CAC"/>
    <w:rsid w:val="00C904A8"/>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09FC"/>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5B6"/>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45ED"/>
    <w:rsid w:val="00D46699"/>
    <w:rsid w:val="00D47345"/>
    <w:rsid w:val="00D5073F"/>
    <w:rsid w:val="00D51573"/>
    <w:rsid w:val="00D5399A"/>
    <w:rsid w:val="00D5444F"/>
    <w:rsid w:val="00D54E0D"/>
    <w:rsid w:val="00D54F7D"/>
    <w:rsid w:val="00D57528"/>
    <w:rsid w:val="00D602CA"/>
    <w:rsid w:val="00D60DD8"/>
    <w:rsid w:val="00D6344A"/>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87CB2"/>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7F6"/>
    <w:rsid w:val="00DC2BE8"/>
    <w:rsid w:val="00DC2BEC"/>
    <w:rsid w:val="00DC3256"/>
    <w:rsid w:val="00DC35A6"/>
    <w:rsid w:val="00DD090A"/>
    <w:rsid w:val="00DD2421"/>
    <w:rsid w:val="00DD3222"/>
    <w:rsid w:val="00DD3D81"/>
    <w:rsid w:val="00DD53DE"/>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37E4A"/>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595"/>
    <w:rsid w:val="00EB5DEE"/>
    <w:rsid w:val="00EB64CB"/>
    <w:rsid w:val="00EB6D46"/>
    <w:rsid w:val="00EC06D0"/>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6958"/>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6D74"/>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1325390B"/>
    <w:rsid w:val="33DD28FF"/>
    <w:rsid w:val="34F57C4E"/>
    <w:rsid w:val="38F2068B"/>
    <w:rsid w:val="3D2E3BC9"/>
    <w:rsid w:val="503F15AC"/>
    <w:rsid w:val="53D80616"/>
    <w:rsid w:val="57893261"/>
    <w:rsid w:val="6FFC151C"/>
    <w:rsid w:val="773C545F"/>
    <w:rsid w:val="7DED697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99"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qFormat/>
    <w:uiPriority w:val="1"/>
  </w:style>
  <w:style w:type="table" w:default="1" w:styleId="24">
    <w:name w:val="Normal Table"/>
    <w:unhideWhenUsed/>
    <w:qFormat/>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8"/>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0">
    <w:name w:val="Strong"/>
    <w:basedOn w:val="19"/>
    <w:qFormat/>
    <w:uiPriority w:val="99"/>
    <w:rPr>
      <w:rFonts w:cs="Times New Roman"/>
      <w:b/>
      <w:bCs/>
    </w:rPr>
  </w:style>
  <w:style w:type="character" w:styleId="21">
    <w:name w:val="page number"/>
    <w:basedOn w:val="19"/>
    <w:qFormat/>
    <w:uiPriority w:val="0"/>
    <w:rPr/>
  </w:style>
  <w:style w:type="character" w:styleId="22">
    <w:name w:val="Hyperlink"/>
    <w:qFormat/>
    <w:uiPriority w:val="99"/>
    <w:rPr>
      <w:color w:val="0000FF"/>
      <w:u w:val="single"/>
    </w:rPr>
  </w:style>
  <w:style w:type="character" w:styleId="23">
    <w:name w:val="annotation reference"/>
    <w:semiHidden/>
    <w:qFormat/>
    <w:uiPriority w:val="99"/>
    <w:rPr>
      <w:sz w:val="21"/>
      <w:szCs w:val="21"/>
    </w:rPr>
  </w:style>
  <w:style w:type="table" w:styleId="25">
    <w:name w:val="Table Grid"/>
    <w:basedOn w:val="24"/>
    <w:qFormat/>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6">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7">
    <w:name w:val="Default Text"/>
    <w:basedOn w:val="1"/>
    <w:qFormat/>
    <w:uiPriority w:val="0"/>
    <w:pPr>
      <w:textAlignment w:val="auto"/>
    </w:pPr>
    <w:rPr>
      <w:rFonts w:ascii="Arial" w:hAnsi="Arial"/>
      <w:szCs w:val="24"/>
      <w:lang w:val="en-US"/>
    </w:rPr>
  </w:style>
  <w:style w:type="paragraph" w:customStyle="1" w:styleId="28">
    <w:name w:val="Style"/>
    <w:basedOn w:val="1"/>
    <w:qFormat/>
    <w:uiPriority w:val="0"/>
    <w:pPr>
      <w:textAlignment w:val="auto"/>
    </w:pPr>
    <w:rPr>
      <w:rFonts w:ascii="Arial" w:hAnsi="Arial"/>
      <w:szCs w:val="24"/>
      <w:lang w:val="en-US"/>
    </w:rPr>
  </w:style>
  <w:style w:type="paragraph" w:customStyle="1" w:styleId="29">
    <w:name w:val="正文1"/>
    <w:basedOn w:val="1"/>
    <w:qFormat/>
    <w:uiPriority w:val="0"/>
    <w:pPr>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TOC 标题1"/>
    <w:basedOn w:val="2"/>
    <w:next w:val="1"/>
    <w:qFormat/>
    <w:uiPriority w:val="39"/>
    <w:pPr>
      <w:numPr>
        <w:ilvl w:val="0"/>
        <w:numId w:val="0"/>
      </w:numPr>
      <w:outlineLvl w:val="9"/>
    </w:pPr>
  </w:style>
  <w:style w:type="paragraph" w:customStyle="1" w:styleId="33">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4">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Text"/>
    <w:basedOn w:val="1"/>
    <w:link w:val="43"/>
    <w:qFormat/>
    <w:uiPriority w:val="0"/>
    <w:pPr>
      <w:adjustRightInd/>
      <w:spacing w:before="120"/>
      <w:jc w:val="both"/>
      <w:textAlignment w:val="auto"/>
    </w:pPr>
    <w:rPr>
      <w:lang w:val="en-US"/>
    </w:rPr>
  </w:style>
  <w:style w:type="paragraph" w:customStyle="1" w:styleId="36">
    <w:name w:val="Table text"/>
    <w:basedOn w:val="1"/>
    <w:qFormat/>
    <w:uiPriority w:val="0"/>
    <w:pPr>
      <w:adjustRightInd/>
      <w:spacing w:before="120" w:after="120"/>
      <w:jc w:val="both"/>
      <w:textAlignment w:val="auto"/>
    </w:pPr>
    <w:rPr>
      <w:lang w:val="en-US"/>
    </w:rPr>
  </w:style>
  <w:style w:type="character" w:customStyle="1" w:styleId="37">
    <w:name w:val="页眉 Char"/>
    <w:link w:val="15"/>
    <w:qFormat/>
    <w:uiPriority w:val="0"/>
    <w:rPr>
      <w:rFonts w:eastAsia="宋体"/>
      <w:sz w:val="24"/>
      <w:lang w:eastAsia="en-US" w:bidi="ar-SA"/>
    </w:rPr>
  </w:style>
  <w:style w:type="character" w:customStyle="1" w:styleId="38">
    <w:name w:val="批注文字 Char"/>
    <w:link w:val="7"/>
    <w:semiHidden/>
    <w:qFormat/>
    <w:uiPriority w:val="0"/>
    <w:rPr>
      <w:sz w:val="24"/>
      <w:lang w:eastAsia="en-US"/>
    </w:rPr>
  </w:style>
  <w:style w:type="character" w:customStyle="1" w:styleId="39">
    <w:name w:val="页脚 Char"/>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19"/>
    <w:qFormat/>
    <w:uiPriority w:val="0"/>
    <w:rPr/>
  </w:style>
  <w:style w:type="character" w:customStyle="1" w:styleId="42">
    <w:name w:val="numbering blue Zchn"/>
    <w:link w:val="33"/>
    <w:qFormat/>
    <w:uiPriority w:val="0"/>
    <w:rPr>
      <w:rFonts w:ascii="Arial" w:hAnsi="Arial" w:eastAsia="PMingLiU"/>
      <w:color w:val="0070C0"/>
      <w:lang w:eastAsia="zh-TW"/>
    </w:rPr>
  </w:style>
  <w:style w:type="character" w:customStyle="1" w:styleId="43">
    <w:name w:val="Text Char"/>
    <w:link w:val="35"/>
    <w:qFormat/>
    <w:locked/>
    <w:uiPriority w:val="0"/>
    <w:rPr>
      <w:sz w:val="24"/>
      <w:lang w:eastAsia="en-US"/>
    </w:rPr>
  </w:style>
  <w:style w:type="character" w:customStyle="1" w:styleId="44">
    <w:name w:val="ordinary-span-edit2"/>
    <w:qFormat/>
    <w:uiPriority w:val="0"/>
  </w:style>
  <w:style w:type="character" w:customStyle="1" w:styleId="45">
    <w:name w:val="apple-converted-space"/>
    <w:basedOn w:val="19"/>
    <w:qFormat/>
    <w:uiPriority w:val="0"/>
    <w:rPr/>
  </w:style>
  <w:style w:type="character" w:customStyle="1" w:styleId="46">
    <w:name w:val="标题 Char"/>
    <w:link w:val="18"/>
    <w:qFormat/>
    <w:uiPriority w:val="0"/>
    <w:rPr>
      <w:rFonts w:ascii="Calibri Light" w:hAnsi="Calibri Light" w:cs="Times New Roman"/>
      <w:b/>
      <w:bCs/>
      <w:sz w:val="32"/>
      <w:szCs w:val="32"/>
      <w:lang w:eastAsia="en-US"/>
    </w:rPr>
  </w:style>
  <w:style w:type="character" w:customStyle="1" w:styleId="47">
    <w:name w:val="Footer Char"/>
    <w:basedOn w:val="19"/>
    <w:semiHidden/>
    <w:qFormat/>
    <w:locked/>
    <w:uiPriority w:val="0"/>
    <w:rPr>
      <w:rFonts w:cs="Times New Roman"/>
      <w:sz w:val="18"/>
      <w:szCs w:val="18"/>
    </w:rPr>
  </w:style>
  <w:style w:type="character" w:customStyle="1" w:styleId="48">
    <w:name w:val="批注文字 Char1"/>
    <w:semiHidden/>
    <w:qFormat/>
    <w:uiPriority w:val="0"/>
    <w:rPr>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722</Words>
  <Characters>4121</Characters>
  <Lines>34</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2020-05-13T05:36:00Z</dcterms:created>
  <dc:creator>Lilly</dc:creator>
  <cp:lastModifiedBy>汪洋</cp:lastModifiedBy>
  <cp:lastPrinted>2020-09-28T05:57:00Z</cp:lastPrinted>
  <dcterms:modified xsi:type="dcterms:W3CDTF">2020-11-27T03:54:47Z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