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227223"/>
      <w:bookmarkStart w:id="1" w:name="_Toc482717189"/>
      <w:bookmarkStart w:id="2" w:name="_Toc484532399"/>
      <w:bookmarkStart w:id="3" w:name="_Toc483666358"/>
      <w:bookmarkStart w:id="4" w:name="_Toc483400307"/>
    </w:p>
    <w:p>
      <w:pPr>
        <w:spacing w:after="158" w:afterLines="50"/>
        <w:jc w:val="center"/>
        <w:rPr>
          <w:b/>
          <w:szCs w:val="21"/>
          <w:lang w:eastAsia="zh-CN"/>
        </w:rPr>
      </w:pPr>
      <w:permStart w:id="0" w:edGrp="everyone"/>
      <w:r>
        <w:rPr>
          <w:rFonts w:hint="eastAsia"/>
          <w:b/>
          <w:sz w:val="28"/>
          <w:szCs w:val="28"/>
          <w:lang w:eastAsia="zh-CN"/>
        </w:rPr>
        <w:t>流感病毒疫苗室电子秤</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10</w:t>
      </w:r>
      <w:r>
        <w:fldChar w:fldCharType="end"/>
      </w:r>
      <w:r>
        <w:fldChar w:fldCharType="end"/>
      </w:r>
    </w:p>
    <w:p>
      <w:pPr>
        <w:pStyle w:val="16"/>
        <w:rPr>
          <w:b w:val="0"/>
          <w:bCs w:val="0"/>
          <w:caps w:val="0"/>
          <w:szCs w:val="22"/>
        </w:rPr>
      </w:pPr>
      <w:r>
        <w:fldChar w:fldCharType="begin"/>
      </w:r>
      <w:r>
        <w:instrText xml:space="preserve"> 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12</w:t>
      </w:r>
      <w:r>
        <w:fldChar w:fldCharType="end"/>
      </w:r>
      <w:r>
        <w:fldChar w:fldCharType="end"/>
      </w:r>
    </w:p>
    <w:p>
      <w:pPr>
        <w:pStyle w:val="16"/>
        <w:rPr>
          <w:b w:val="0"/>
          <w:bCs w:val="0"/>
          <w:caps w:val="0"/>
          <w:szCs w:val="22"/>
        </w:rPr>
      </w:pPr>
      <w:r>
        <w:fldChar w:fldCharType="begin"/>
      </w:r>
      <w:r>
        <w:instrText xml:space="preserve"> 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19</w:t>
      </w:r>
      <w:r>
        <w:fldChar w:fldCharType="end"/>
      </w:r>
      <w:r>
        <w:fldChar w:fldCharType="end"/>
      </w:r>
    </w:p>
    <w:p>
      <w:pPr>
        <w:pStyle w:val="16"/>
        <w:rPr>
          <w:b w:val="0"/>
          <w:bCs w:val="0"/>
          <w:caps w:val="0"/>
          <w:szCs w:val="22"/>
        </w:rPr>
      </w:pPr>
      <w:r>
        <w:fldChar w:fldCharType="begin"/>
      </w:r>
      <w:r>
        <w:instrText xml:space="preserve"> 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21</w:t>
      </w:r>
      <w:r>
        <w:fldChar w:fldCharType="end"/>
      </w:r>
      <w:r>
        <w:fldChar w:fldCharType="end"/>
      </w:r>
    </w:p>
    <w:p>
      <w:pPr>
        <w:pStyle w:val="16"/>
        <w:rPr>
          <w:b w:val="0"/>
          <w:bCs w:val="0"/>
          <w:caps w:val="0"/>
          <w:szCs w:val="22"/>
        </w:rPr>
      </w:pPr>
      <w:r>
        <w:fldChar w:fldCharType="begin"/>
      </w:r>
      <w:r>
        <w:instrText xml:space="preserve"> 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24</w:t>
      </w:r>
      <w:r>
        <w:fldChar w:fldCharType="end"/>
      </w:r>
      <w:r>
        <w:fldChar w:fldCharType="end"/>
      </w:r>
    </w:p>
    <w:p>
      <w:pPr>
        <w:pStyle w:val="16"/>
        <w:rPr>
          <w:b w:val="0"/>
          <w:bCs w:val="0"/>
          <w:caps w:val="0"/>
          <w:szCs w:val="22"/>
        </w:rPr>
      </w:pPr>
      <w:r>
        <w:fldChar w:fldCharType="begin"/>
      </w:r>
      <w:r>
        <w:instrText xml:space="preserve"> 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26</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0"/>
        <w:numPr>
          <w:ilvl w:val="0"/>
          <w:numId w:val="4"/>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1702475"/>
      <w:bookmarkStart w:id="9" w:name="_Toc482360281"/>
      <w:bookmarkStart w:id="10" w:name="_Toc482370141"/>
      <w:bookmarkStart w:id="11" w:name="_Toc482625279"/>
      <w:bookmarkStart w:id="12" w:name="_Toc482370061"/>
      <w:bookmarkStart w:id="13" w:name="_Toc482359936"/>
      <w:bookmarkStart w:id="14" w:name="_Toc482370757"/>
      <w:bookmarkStart w:id="15" w:name="_Toc482370349"/>
      <w:bookmarkStart w:id="16" w:name="_Toc482369805"/>
      <w:r>
        <w:rPr>
          <w:szCs w:val="21"/>
          <w:lang w:eastAsia="zh-CN"/>
        </w:rPr>
        <w:t>本文件的目的是描述武汉生物制品研究所有限责任公司</w:t>
      </w:r>
      <w:permStart w:id="3" w:edGrp="everyone"/>
      <w:r>
        <w:rPr>
          <w:rFonts w:hint="eastAsia"/>
          <w:szCs w:val="21"/>
          <w:lang w:eastAsia="zh-CN"/>
        </w:rPr>
        <w:t>疫苗楼流感病毒疫苗车间电子秤</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4"/>
        </w:numPr>
        <w:spacing w:after="158"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疫苗楼流感病毒疫苗车间电子秤URS</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4"/>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34"/>
        <w:numPr>
          <w:ilvl w:val="0"/>
          <w:numId w:val="5"/>
        </w:numPr>
        <w:spacing w:before="0" w:line="360" w:lineRule="auto"/>
        <w:jc w:val="left"/>
        <w:rPr>
          <w:color w:val="000000"/>
          <w:szCs w:val="21"/>
          <w:lang w:eastAsia="zh-CN"/>
        </w:rPr>
      </w:pPr>
      <w:r>
        <w:rPr>
          <w:color w:val="000000"/>
          <w:szCs w:val="21"/>
          <w:lang w:eastAsia="zh-CN"/>
        </w:rPr>
        <w:t>GMP法规指南和SOP</w:t>
      </w:r>
    </w:p>
    <w:p>
      <w:pPr>
        <w:pStyle w:val="34"/>
        <w:numPr>
          <w:ilvl w:val="0"/>
          <w:numId w:val="6"/>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6"/>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《药品生产质量管理规范》（2010年修订）</w:t>
      </w:r>
    </w:p>
    <w:permEnd w:id="5"/>
    <w:p>
      <w:pPr>
        <w:pStyle w:val="34"/>
        <w:numPr>
          <w:ilvl w:val="0"/>
          <w:numId w:val="6"/>
        </w:numPr>
        <w:spacing w:before="0" w:line="360" w:lineRule="auto"/>
        <w:ind w:left="777"/>
        <w:jc w:val="left"/>
        <w:rPr>
          <w:color w:val="000000"/>
          <w:szCs w:val="21"/>
          <w:lang w:eastAsia="zh-CN"/>
        </w:rPr>
      </w:pPr>
      <w:r>
        <w:rPr>
          <w:rFonts w:hint="eastAsia"/>
          <w:color w:val="000000"/>
          <w:szCs w:val="21"/>
          <w:lang w:eastAsia="zh-CN"/>
        </w:rPr>
        <w:t>中国药品生产验证指南（2003）</w:t>
      </w:r>
    </w:p>
    <w:p>
      <w:pPr>
        <w:pStyle w:val="34"/>
        <w:numPr>
          <w:ilvl w:val="0"/>
          <w:numId w:val="6"/>
        </w:numPr>
        <w:spacing w:before="0" w:line="360" w:lineRule="auto"/>
        <w:ind w:left="777"/>
        <w:jc w:val="left"/>
        <w:rPr>
          <w:color w:val="000000"/>
          <w:szCs w:val="21"/>
          <w:lang w:eastAsia="zh-CN"/>
        </w:rPr>
      </w:pPr>
      <w:r>
        <w:rPr>
          <w:rFonts w:hint="eastAsia"/>
          <w:color w:val="000000"/>
          <w:szCs w:val="21"/>
          <w:lang w:eastAsia="zh-CN"/>
        </w:rPr>
        <w:t>自动化生产规范（GAMP）</w:t>
      </w:r>
    </w:p>
    <w:p>
      <w:pPr>
        <w:pStyle w:val="34"/>
        <w:numPr>
          <w:ilvl w:val="0"/>
          <w:numId w:val="6"/>
        </w:numPr>
        <w:spacing w:before="0" w:line="360" w:lineRule="auto"/>
        <w:ind w:left="777"/>
        <w:jc w:val="left"/>
        <w:rPr>
          <w:color w:val="000000"/>
          <w:szCs w:val="21"/>
          <w:lang w:eastAsia="zh-CN"/>
        </w:rPr>
      </w:pPr>
      <w:r>
        <w:rPr>
          <w:rFonts w:hint="eastAsia"/>
          <w:color w:val="000000"/>
          <w:szCs w:val="21"/>
          <w:lang w:eastAsia="zh-CN"/>
        </w:rPr>
        <w:t>GB/T7723-2008《固定式电子秤》</w:t>
      </w:r>
    </w:p>
    <w:p>
      <w:pPr>
        <w:pStyle w:val="34"/>
        <w:numPr>
          <w:ilvl w:val="0"/>
          <w:numId w:val="6"/>
        </w:numPr>
        <w:spacing w:before="0" w:line="360" w:lineRule="auto"/>
        <w:ind w:left="777"/>
        <w:jc w:val="left"/>
        <w:rPr>
          <w:color w:val="000000"/>
          <w:szCs w:val="21"/>
          <w:lang w:eastAsia="zh-CN"/>
        </w:rPr>
      </w:pPr>
      <w:r>
        <w:rPr>
          <w:rFonts w:hint="eastAsia"/>
          <w:color w:val="000000"/>
          <w:szCs w:val="21"/>
          <w:lang w:eastAsia="zh-CN"/>
        </w:rPr>
        <w:t>GB/T7724-2008《电子称重仪表》</w:t>
      </w:r>
    </w:p>
    <w:p>
      <w:pPr>
        <w:pStyle w:val="34"/>
        <w:numPr>
          <w:ilvl w:val="0"/>
          <w:numId w:val="6"/>
        </w:numPr>
        <w:spacing w:before="0" w:line="360" w:lineRule="auto"/>
        <w:ind w:left="777"/>
        <w:jc w:val="left"/>
        <w:rPr>
          <w:color w:val="000000"/>
          <w:szCs w:val="21"/>
          <w:lang w:eastAsia="zh-CN"/>
        </w:rPr>
      </w:pPr>
      <w:r>
        <w:rPr>
          <w:rFonts w:hint="eastAsia"/>
          <w:color w:val="000000"/>
          <w:szCs w:val="21"/>
          <w:lang w:eastAsia="zh-CN"/>
        </w:rPr>
        <w:t>计量器具型式批准证书（CPA）</w:t>
      </w:r>
    </w:p>
    <w:p>
      <w:pPr>
        <w:pStyle w:val="34"/>
        <w:numPr>
          <w:ilvl w:val="0"/>
          <w:numId w:val="5"/>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6"/>
        </w:numPr>
        <w:spacing w:before="0" w:line="360" w:lineRule="auto"/>
        <w:ind w:left="777"/>
        <w:jc w:val="left"/>
        <w:rPr>
          <w:i/>
          <w:color w:val="0070C0"/>
          <w:szCs w:val="21"/>
          <w:lang w:eastAsia="zh-CN"/>
        </w:rPr>
      </w:pPr>
      <w:permStart w:id="6" w:edGrp="everyone"/>
      <w:r>
        <w:rPr>
          <w:color w:val="000000"/>
          <w:szCs w:val="21"/>
          <w:lang w:eastAsia="zh-CN"/>
        </w:rPr>
        <w:t>电气安全应符合GB4793.1和GB4793.4的要求。</w:t>
      </w:r>
    </w:p>
    <w:permEnd w:id="6"/>
    <w:p>
      <w:pPr>
        <w:pStyle w:val="34"/>
        <w:spacing w:before="0" w:line="360" w:lineRule="auto"/>
        <w:ind w:left="357"/>
        <w:jc w:val="left"/>
        <w:rPr>
          <w:i/>
          <w:szCs w:val="21"/>
          <w:lang w:eastAsia="zh-CN"/>
        </w:rPr>
      </w:pPr>
      <w:bookmarkStart w:id="48" w:name="_GoBack"/>
      <w:bookmarkEnd w:id="48"/>
    </w:p>
    <w:p>
      <w:pPr>
        <w:pStyle w:val="30"/>
        <w:numPr>
          <w:ilvl w:val="0"/>
          <w:numId w:val="4"/>
        </w:numPr>
        <w:spacing w:after="158" w:afterLines="50"/>
        <w:ind w:left="426" w:hanging="426" w:hangingChars="202"/>
        <w:outlineLvl w:val="0"/>
        <w:rPr>
          <w:rFonts w:ascii="Times New Roman" w:hAnsi="Times New Roman"/>
          <w:b/>
        </w:rPr>
      </w:pPr>
      <w:bookmarkStart w:id="21" w:name="_Toc522716119"/>
      <w:bookmarkStart w:id="22" w:name="_Toc522107739"/>
      <w:permStart w:id="7" w:edGrp="everyone"/>
      <w:permEnd w:id="7"/>
      <w:r>
        <w:rPr>
          <w:rFonts w:ascii="Times New Roman" w:hAnsi="Times New Roman"/>
          <w:b/>
        </w:rPr>
        <w:t>系统描述</w:t>
      </w:r>
      <w:bookmarkEnd w:id="21"/>
      <w:bookmarkEnd w:id="22"/>
    </w:p>
    <w:p>
      <w:pPr>
        <w:pStyle w:val="34"/>
        <w:spacing w:before="0" w:line="360" w:lineRule="auto"/>
        <w:ind w:left="357"/>
        <w:jc w:val="left"/>
        <w:rPr>
          <w:i/>
          <w:color w:val="4472C4"/>
          <w:szCs w:val="21"/>
          <w:lang w:eastAsia="zh-CN"/>
        </w:rPr>
      </w:pPr>
      <w:permStart w:id="8" w:edGrp="everyone"/>
      <w:r>
        <w:rPr>
          <w:rFonts w:hint="eastAsia"/>
          <w:color w:val="000000"/>
          <w:szCs w:val="21"/>
          <w:lang w:eastAsia="zh-CN"/>
        </w:rPr>
        <w:t>疫苗楼流感病毒疫苗车间需购买</w:t>
      </w:r>
      <w:r>
        <w:rPr>
          <w:rFonts w:hint="eastAsia"/>
          <w:color w:val="000000"/>
          <w:szCs w:val="21"/>
          <w:lang w:val="en-US" w:eastAsia="zh-CN"/>
        </w:rPr>
        <w:t>1</w:t>
      </w:r>
      <w:r>
        <w:rPr>
          <w:rFonts w:hint="eastAsia"/>
          <w:color w:val="000000"/>
          <w:szCs w:val="21"/>
          <w:lang w:eastAsia="zh-CN"/>
        </w:rPr>
        <w:t>台电子秤主要用于</w:t>
      </w:r>
      <w:r>
        <w:rPr>
          <w:rFonts w:hint="eastAsia"/>
          <w:szCs w:val="21"/>
          <w:lang w:eastAsia="zh-CN"/>
        </w:rPr>
        <w:t>原液的称量</w:t>
      </w:r>
      <w:r>
        <w:rPr>
          <w:rFonts w:hint="eastAsia"/>
          <w:color w:val="000000"/>
          <w:szCs w:val="21"/>
          <w:lang w:eastAsia="zh-CN"/>
        </w:rPr>
        <w:t>。</w:t>
      </w:r>
    </w:p>
    <w:permEnd w:id="8"/>
    <w:p>
      <w:pPr>
        <w:pStyle w:val="34"/>
        <w:spacing w:before="0" w:line="360" w:lineRule="auto"/>
        <w:ind w:left="357"/>
        <w:jc w:val="left"/>
        <w:rPr>
          <w:i/>
          <w:color w:val="4472C4"/>
          <w:szCs w:val="21"/>
          <w:lang w:eastAsia="zh-CN"/>
        </w:rPr>
      </w:pPr>
    </w:p>
    <w:p>
      <w:pPr>
        <w:pStyle w:val="30"/>
        <w:numPr>
          <w:ilvl w:val="0"/>
          <w:numId w:val="4"/>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color w:val="000000"/>
                <w:szCs w:val="21"/>
                <w:lang w:val="en-US" w:eastAsia="zh-CN"/>
              </w:rPr>
              <w:t>疫苗楼流感病毒疫苗车间原液制备间</w:t>
            </w:r>
          </w:p>
        </w:tc>
        <w:tc>
          <w:tcPr>
            <w:tcW w:w="2125" w:type="dxa"/>
            <w:vAlign w:val="center"/>
          </w:tcPr>
          <w:p>
            <w:pPr>
              <w:jc w:val="center"/>
              <w:rPr>
                <w:i/>
                <w:szCs w:val="21"/>
                <w:lang w:eastAsia="zh-CN"/>
              </w:rPr>
            </w:pPr>
            <w:r>
              <w:rPr>
                <w:rFonts w:hint="eastAsia"/>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ind w:left="426"/>
              <w:rPr>
                <w:szCs w:val="21"/>
              </w:rPr>
            </w:pPr>
            <w:permStart w:id="11" w:edGrp="everyone"/>
          </w:p>
        </w:tc>
        <w:tc>
          <w:tcPr>
            <w:tcW w:w="9253" w:type="dxa"/>
            <w:gridSpan w:val="2"/>
            <w:vAlign w:val="center"/>
          </w:tcPr>
          <w:p>
            <w:pPr>
              <w:rPr>
                <w:szCs w:val="21"/>
                <w:lang w:eastAsia="zh-CN"/>
              </w:rPr>
            </w:pPr>
            <w:r>
              <w:rPr>
                <w:rFonts w:hint="eastAsia"/>
                <w:iCs/>
                <w:szCs w:val="21"/>
                <w:lang w:val="en-US" w:eastAsia="zh-CN"/>
              </w:rPr>
              <w:t>N</w:t>
            </w:r>
            <w:r>
              <w:rPr>
                <w:rFonts w:hint="eastAsia"/>
                <w:i/>
                <w:szCs w:val="21"/>
                <w:lang w:val="en-US" w:eastAsia="zh-CN"/>
              </w:rPr>
              <w:t>/</w:t>
            </w:r>
            <w:r>
              <w:rPr>
                <w:rFonts w:hint="eastAsia"/>
                <w:iCs/>
                <w:szCs w:val="21"/>
                <w:lang w:val="en-US" w:eastAsia="zh-CN"/>
              </w:rPr>
              <w:t>A</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ermStart w:id="12" w:edGrp="everyone"/>
            <w:permEnd w:id="12"/>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
                <w:color w:val="0070C0"/>
                <w:szCs w:val="21"/>
                <w:lang w:eastAsia="zh-CN"/>
              </w:rPr>
            </w:pPr>
            <w:r>
              <w:rPr>
                <w:rFonts w:hint="eastAsia" w:ascii="宋体" w:hAnsi="宋体"/>
                <w:color w:val="000000"/>
              </w:rPr>
              <w:t>重量</w:t>
            </w:r>
            <w:r>
              <w:rPr>
                <w:color w:val="000000"/>
              </w:rPr>
              <w:t xml:space="preserve">（kg） </w:t>
            </w:r>
            <w:r>
              <w:rPr>
                <w:rFonts w:hint="eastAsia" w:ascii="宋体" w:hAnsi="宋体"/>
                <w:color w:val="000000"/>
              </w:rPr>
              <w:t>其重量不超出工作台面承重要求。</w:t>
            </w:r>
          </w:p>
        </w:tc>
        <w:tc>
          <w:tcPr>
            <w:tcW w:w="2125" w:type="dxa"/>
            <w:vAlign w:val="center"/>
          </w:tcPr>
          <w:p>
            <w:pPr>
              <w:jc w:val="center"/>
              <w:rPr>
                <w:szCs w:val="21"/>
                <w:lang w:eastAsia="zh-CN"/>
              </w:rPr>
            </w:pPr>
            <w:r>
              <w:rPr>
                <w:rFonts w:hint="eastAsia"/>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7D7D7"/>
            <w:vAlign w:val="center"/>
          </w:tcPr>
          <w:p>
            <w:pPr>
              <w:ind w:left="426" w:leftChars="0"/>
              <w:rPr>
                <w:rFonts w:ascii="Times New Roman" w:hAnsi="Times New Roman"/>
                <w:szCs w:val="21"/>
              </w:rPr>
            </w:pPr>
            <w:permStart w:id="14" w:edGrp="everyone"/>
          </w:p>
        </w:tc>
        <w:tc>
          <w:tcPr>
            <w:tcW w:w="9253" w:type="dxa"/>
            <w:gridSpan w:val="2"/>
            <w:vAlign w:val="center"/>
          </w:tcPr>
          <w:p>
            <w:pPr>
              <w:rPr>
                <w:rFonts w:hint="eastAsia"/>
                <w:iCs/>
                <w:szCs w:val="21"/>
                <w:lang w:val="en-US" w:eastAsia="zh-CN"/>
              </w:rPr>
            </w:pPr>
            <w:r>
              <w:rPr>
                <w:rFonts w:hint="eastAsia"/>
                <w:iCs/>
                <w:szCs w:val="21"/>
                <w:lang w:val="en-US" w:eastAsia="zh-CN"/>
              </w:rPr>
              <w:t>N</w:t>
            </w:r>
            <w:r>
              <w:rPr>
                <w:rFonts w:hint="eastAsia"/>
                <w:i/>
                <w:szCs w:val="21"/>
                <w:lang w:val="en-US" w:eastAsia="zh-CN"/>
              </w:rPr>
              <w:t>/</w:t>
            </w:r>
            <w:r>
              <w:rPr>
                <w:rFonts w:hint="eastAsia"/>
                <w:iCs/>
                <w:szCs w:val="21"/>
                <w:lang w:val="en-US" w:eastAsia="zh-CN"/>
              </w:rPr>
              <w:t>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ermStart w:id="15" w:edGrp="everyone"/>
            <w:permEnd w:id="15"/>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rFonts w:hint="eastAsia"/>
                <w:color w:val="000000"/>
                <w:szCs w:val="22"/>
                <w:lang w:val="en-US" w:eastAsia="zh-CN"/>
              </w:rPr>
              <w:t>工作</w:t>
            </w:r>
            <w:r>
              <w:rPr>
                <w:color w:val="000000"/>
                <w:szCs w:val="22"/>
                <w:lang w:eastAsia="zh-CN"/>
              </w:rPr>
              <w:t>环境</w:t>
            </w:r>
            <w:r>
              <w:rPr>
                <w:color w:val="000000"/>
                <w:lang w:eastAsia="zh-CN"/>
              </w:rPr>
              <w:t>温度：能适应</w:t>
            </w:r>
            <w:r>
              <w:rPr>
                <w:lang w:eastAsia="zh-CN"/>
              </w:rPr>
              <w:t>10</w:t>
            </w:r>
            <w:r>
              <w:rPr>
                <w:rFonts w:hint="eastAsia" w:ascii="宋体" w:hAnsi="宋体" w:cs="宋体"/>
                <w:color w:val="000000"/>
                <w:lang w:eastAsia="zh-CN"/>
              </w:rPr>
              <w:t>℃</w:t>
            </w:r>
            <w:r>
              <w:rPr>
                <w:color w:val="000000"/>
                <w:lang w:eastAsia="zh-CN"/>
              </w:rPr>
              <w:t>～</w:t>
            </w:r>
            <w:r>
              <w:rPr>
                <w:lang w:eastAsia="zh-CN"/>
              </w:rPr>
              <w:t>32</w:t>
            </w:r>
            <w:r>
              <w:rPr>
                <w:rFonts w:hint="eastAsia" w:ascii="宋体" w:hAnsi="宋体" w:cs="宋体"/>
                <w:color w:val="000000"/>
                <w:lang w:eastAsia="zh-CN"/>
              </w:rPr>
              <w:t>℃</w:t>
            </w:r>
            <w:r>
              <w:rPr>
                <w:color w:val="000000"/>
                <w:lang w:eastAsia="zh-CN"/>
              </w:rPr>
              <w:t xml:space="preserve">环境 </w:t>
            </w:r>
          </w:p>
        </w:tc>
        <w:tc>
          <w:tcPr>
            <w:tcW w:w="2125" w:type="dxa"/>
            <w:vAlign w:val="center"/>
          </w:tcPr>
          <w:p>
            <w:pPr>
              <w:jc w:val="center"/>
              <w:rPr>
                <w:szCs w:val="21"/>
                <w:lang w:eastAsia="zh-CN"/>
              </w:rPr>
            </w:pPr>
            <w:r>
              <w:rPr>
                <w:rFonts w:hint="eastAsia"/>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szCs w:val="21"/>
                <w:lang w:eastAsia="zh-CN"/>
              </w:rPr>
            </w:pPr>
            <w:r>
              <w:rPr>
                <w:color w:val="000000"/>
                <w:lang w:eastAsia="zh-CN"/>
              </w:rPr>
              <w:t>工作环境湿度：至少包括</w:t>
            </w:r>
            <w:r>
              <w:rPr>
                <w:lang w:eastAsia="zh-CN"/>
              </w:rPr>
              <w:t>45%～65%</w:t>
            </w:r>
          </w:p>
        </w:tc>
        <w:tc>
          <w:tcPr>
            <w:tcW w:w="2125" w:type="dxa"/>
            <w:vAlign w:val="center"/>
          </w:tcPr>
          <w:p>
            <w:pPr>
              <w:jc w:val="center"/>
              <w:rPr>
                <w:szCs w:val="21"/>
                <w:lang w:eastAsia="zh-CN"/>
              </w:rPr>
            </w:pPr>
            <w:r>
              <w:rPr>
                <w:rFonts w:hint="eastAsia"/>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color w:val="000000"/>
                <w:lang w:eastAsia="zh-CN"/>
              </w:rPr>
              <w:t>工作环境洁净级别：</w:t>
            </w:r>
            <w:r>
              <w:rPr>
                <w:iCs/>
                <w:lang w:eastAsia="zh-CN"/>
              </w:rPr>
              <w:t>C级</w:t>
            </w:r>
          </w:p>
        </w:tc>
        <w:tc>
          <w:tcPr>
            <w:tcW w:w="2125" w:type="dxa"/>
            <w:vAlign w:val="center"/>
          </w:tcPr>
          <w:p>
            <w:pPr>
              <w:jc w:val="center"/>
              <w:rPr>
                <w:szCs w:val="21"/>
                <w:lang w:eastAsia="zh-CN"/>
              </w:rPr>
            </w:pPr>
            <w:r>
              <w:rPr>
                <w:rFonts w:hint="eastAsia"/>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color w:val="000000"/>
                <w:lang w:eastAsia="zh-CN"/>
              </w:rPr>
            </w:pPr>
            <w:r>
              <w:rPr>
                <w:rFonts w:hint="eastAsia" w:ascii="宋体" w:hAnsi="宋体"/>
                <w:szCs w:val="21"/>
                <w:lang w:eastAsia="zh-CN"/>
              </w:rPr>
              <w:t>交流电电源：</w:t>
            </w:r>
            <w:r>
              <w:rPr>
                <w:rFonts w:hint="eastAsia"/>
                <w:szCs w:val="21"/>
                <w:lang w:val="en-US" w:eastAsia="zh-CN"/>
              </w:rPr>
              <w:t>22</w:t>
            </w:r>
            <w:r>
              <w:rPr>
                <w:szCs w:val="21"/>
                <w:lang w:eastAsia="zh-CN"/>
              </w:rPr>
              <w:t>0V，50Hz</w:t>
            </w:r>
            <w:r>
              <w:rPr>
                <w:rFonts w:hint="eastAsia" w:ascii="宋体" w:hAnsi="宋体"/>
                <w:szCs w:val="21"/>
                <w:lang w:eastAsia="zh-CN"/>
              </w:rPr>
              <w:t>。</w:t>
            </w:r>
          </w:p>
        </w:tc>
        <w:tc>
          <w:tcPr>
            <w:tcW w:w="2125" w:type="dxa"/>
            <w:vAlign w:val="center"/>
          </w:tcPr>
          <w:p>
            <w:pPr>
              <w:jc w:val="center"/>
              <w:rPr>
                <w:szCs w:val="21"/>
                <w:lang w:eastAsia="zh-CN"/>
              </w:rPr>
            </w:pPr>
            <w:r>
              <w:rPr>
                <w:rFonts w:hint="eastAsia"/>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0" w:edGrp="everyone"/>
          </w:p>
        </w:tc>
        <w:tc>
          <w:tcPr>
            <w:tcW w:w="7128" w:type="dxa"/>
            <w:vAlign w:val="center"/>
          </w:tcPr>
          <w:p>
            <w:pPr>
              <w:spacing w:line="276" w:lineRule="auto"/>
              <w:jc w:val="both"/>
              <w:rPr>
                <w:i/>
                <w:color w:val="000000"/>
                <w:sz w:val="21"/>
                <w:szCs w:val="21"/>
                <w:lang w:eastAsia="zh-CN"/>
              </w:rPr>
            </w:pPr>
            <w:r>
              <w:rPr>
                <w:rFonts w:hint="eastAsia" w:ascii="宋体" w:hAnsi="宋体" w:cs="宋体"/>
                <w:bCs/>
                <w:szCs w:val="21"/>
                <w:lang w:eastAsia="zh-CN"/>
              </w:rPr>
              <w:t>总体设计：</w:t>
            </w:r>
            <w:r>
              <w:rPr>
                <w:rFonts w:hint="eastAsia" w:ascii="宋体" w:hAnsi="宋体" w:cs="Arial"/>
                <w:szCs w:val="21"/>
                <w:lang w:eastAsia="zh-CN"/>
              </w:rPr>
              <w:t>设计结构应充分考虑其科学性和适用性，便于清洁消毒，符合卫生设计要求。</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 w:val="21"/>
                <w:szCs w:val="21"/>
                <w:u w:val="none" w:color="000000"/>
                <w:lang w:val="zh-TW" w:eastAsia="zh-CN"/>
              </w:rPr>
            </w:pPr>
            <w:r>
              <w:rPr>
                <w:rFonts w:hint="eastAsia" w:ascii="宋体" w:hAnsi="宋体" w:cs="Arial"/>
                <w:color w:val="000000"/>
                <w:szCs w:val="21"/>
                <w:lang w:eastAsia="zh-CN"/>
              </w:rPr>
              <w:t>密封性：操控按钮均具有较好密封性，可以阻止粉尘、水和湿气进入其中。</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 w:val="21"/>
                <w:szCs w:val="21"/>
                <w:u w:val="none" w:color="000000"/>
                <w:lang w:val="zh-TW" w:eastAsia="zh-CN"/>
              </w:rPr>
            </w:pPr>
            <w:r>
              <w:rPr>
                <w:rFonts w:hint="eastAsia" w:cs="宋体"/>
                <w:szCs w:val="21"/>
                <w:lang w:val="da-DK" w:eastAsia="zh-CN"/>
              </w:rPr>
              <w:t>防护等级不低于IP</w:t>
            </w:r>
            <w:r>
              <w:rPr>
                <w:rFonts w:cs="宋体"/>
                <w:szCs w:val="21"/>
                <w:lang w:val="da-DK" w:eastAsia="zh-CN"/>
              </w:rPr>
              <w:t>6</w:t>
            </w:r>
            <w:r>
              <w:rPr>
                <w:rFonts w:hint="eastAsia" w:cs="宋体"/>
                <w:szCs w:val="21"/>
                <w:lang w:val="en-US" w:eastAsia="zh-CN"/>
              </w:rPr>
              <w:t>7</w:t>
            </w:r>
            <w:r>
              <w:rPr>
                <w:rFonts w:hint="eastAsia" w:cs="宋体"/>
                <w:szCs w:val="21"/>
                <w:lang w:val="da-DK" w:eastAsia="zh-CN"/>
              </w:rPr>
              <w:t>。</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 w:val="21"/>
                <w:szCs w:val="21"/>
                <w:u w:val="none" w:color="000000"/>
                <w:lang w:val="zh-TW" w:eastAsia="zh-CN"/>
              </w:rPr>
            </w:pPr>
            <w:r>
              <w:rPr>
                <w:rFonts w:hint="eastAsia" w:ascii="宋体" w:hAnsi="宋体" w:cs="宋体"/>
                <w:bCs/>
                <w:szCs w:val="21"/>
                <w:lang w:eastAsia="zh-CN"/>
              </w:rPr>
              <w:t>抗干扰设计：</w:t>
            </w:r>
            <w:r>
              <w:rPr>
                <w:rFonts w:hint="eastAsia" w:ascii="宋体" w:hAnsi="宋体"/>
                <w:szCs w:val="21"/>
                <w:lang w:eastAsia="zh-CN"/>
              </w:rPr>
              <w:t>秤及其称重显示仪表应有较强的抗干扰能力设计。</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 w:val="21"/>
                <w:szCs w:val="21"/>
                <w:u w:val="none" w:color="000000"/>
                <w:lang w:val="zh-TW" w:eastAsia="zh-CN"/>
              </w:rPr>
            </w:pPr>
            <w:r>
              <w:rPr>
                <w:rFonts w:hint="eastAsia" w:ascii="宋体" w:hAnsi="宋体"/>
                <w:szCs w:val="21"/>
                <w:lang w:val="da-DK" w:eastAsia="zh-CN"/>
              </w:rPr>
              <w:t>秤体：</w:t>
            </w:r>
            <w:r>
              <w:rPr>
                <w:rFonts w:hint="eastAsia" w:ascii="宋体" w:hAnsi="宋体" w:cs="宋体"/>
                <w:szCs w:val="21"/>
                <w:lang w:eastAsia="zh-CN"/>
              </w:rPr>
              <w:t>工业天平/秤体为</w:t>
            </w:r>
            <w:r>
              <w:rPr>
                <w:rFonts w:hint="eastAsia" w:cs="宋体"/>
                <w:szCs w:val="21"/>
                <w:lang w:val="da-DK" w:eastAsia="zh-CN"/>
              </w:rPr>
              <w:t>全不锈钢304</w:t>
            </w:r>
            <w:r>
              <w:rPr>
                <w:rFonts w:hint="eastAsia" w:ascii="宋体" w:hAnsi="宋体" w:cs="宋体"/>
                <w:szCs w:val="21"/>
                <w:lang w:eastAsia="zh-CN"/>
              </w:rPr>
              <w:t>材质，开放式的秤体结构设计，无卫生死角，方便清洁。</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 w:val="21"/>
                <w:szCs w:val="21"/>
                <w:u w:val="none" w:color="000000"/>
                <w:lang w:val="zh-TW" w:eastAsia="zh-CN"/>
              </w:rPr>
            </w:pPr>
            <w:r>
              <w:rPr>
                <w:rFonts w:hint="eastAsia"/>
                <w:szCs w:val="21"/>
                <w:lang w:eastAsia="zh-CN"/>
              </w:rPr>
              <w:t>秤脚：卫生秤脚</w:t>
            </w:r>
            <w:r>
              <w:rPr>
                <w:rFonts w:hint="eastAsia" w:cs="宋体"/>
                <w:szCs w:val="21"/>
                <w:lang w:eastAsia="zh-CN"/>
              </w:rPr>
              <w:t>隐藏式螺纹设计，结构</w:t>
            </w:r>
            <w:r>
              <w:rPr>
                <w:rFonts w:hint="eastAsia"/>
                <w:szCs w:val="21"/>
                <w:lang w:eastAsia="zh-CN"/>
              </w:rPr>
              <w:t>敞开式设计，无</w:t>
            </w:r>
            <w:r>
              <w:rPr>
                <w:rFonts w:hint="eastAsia" w:cs="宋体"/>
                <w:szCs w:val="21"/>
                <w:lang w:eastAsia="zh-CN"/>
              </w:rPr>
              <w:t>卫生死角，方便清洁。</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color w:val="0070C0"/>
                <w:sz w:val="21"/>
                <w:szCs w:val="21"/>
                <w:lang w:eastAsia="zh-CN"/>
              </w:rPr>
            </w:pPr>
            <w:r>
              <w:rPr>
                <w:rFonts w:hint="eastAsia" w:ascii="宋体" w:hAnsi="宋体"/>
                <w:szCs w:val="21"/>
                <w:lang w:val="da-DK" w:eastAsia="zh-CN"/>
              </w:rPr>
              <w:t>称重显示仪表：称重显示仪表为不锈钢外壳，防护等级不低于IP6</w:t>
            </w:r>
            <w:r>
              <w:rPr>
                <w:rFonts w:hint="eastAsia" w:ascii="宋体" w:hAnsi="宋体"/>
                <w:szCs w:val="21"/>
                <w:lang w:val="en-US" w:eastAsia="zh-CN"/>
              </w:rPr>
              <w:t>7</w:t>
            </w:r>
            <w:r>
              <w:rPr>
                <w:rFonts w:hint="eastAsia" w:ascii="宋体" w:hAnsi="宋体"/>
                <w:szCs w:val="21"/>
                <w:lang w:val="da-DK" w:eastAsia="zh-CN"/>
              </w:rPr>
              <w:t>，可选择桌式或立柱式安装。</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sz w:val="21"/>
                <w:szCs w:val="21"/>
                <w:lang w:val="da-DK" w:eastAsia="zh-CN"/>
              </w:rPr>
            </w:pPr>
            <w:r>
              <w:rPr>
                <w:rFonts w:hint="eastAsia" w:ascii="宋体" w:hAnsi="宋体"/>
                <w:sz w:val="21"/>
                <w:szCs w:val="21"/>
                <w:lang w:val="da-DK" w:eastAsia="zh-CN"/>
              </w:rPr>
              <w:t>供应商提供的本系统上应有铭牌，其铭牌至少包括：</w:t>
            </w:r>
          </w:p>
          <w:p>
            <w:pPr>
              <w:pStyle w:val="8"/>
              <w:numPr>
                <w:ilvl w:val="0"/>
                <w:numId w:val="9"/>
              </w:numPr>
              <w:spacing w:line="276" w:lineRule="auto"/>
              <w:rPr>
                <w:rFonts w:ascii="宋体" w:hAnsi="宋体"/>
                <w:sz w:val="21"/>
                <w:szCs w:val="21"/>
                <w:lang w:val="da-DK" w:eastAsia="zh-CN"/>
              </w:rPr>
            </w:pPr>
            <w:r>
              <w:rPr>
                <w:rFonts w:hint="eastAsia" w:ascii="宋体" w:hAnsi="宋体"/>
                <w:sz w:val="21"/>
                <w:szCs w:val="21"/>
                <w:lang w:val="da-DK" w:eastAsia="zh-CN"/>
              </w:rPr>
              <w:t>产品名称</w:t>
            </w:r>
          </w:p>
          <w:p>
            <w:pPr>
              <w:pStyle w:val="8"/>
              <w:numPr>
                <w:ilvl w:val="0"/>
                <w:numId w:val="9"/>
              </w:numPr>
              <w:spacing w:line="276" w:lineRule="auto"/>
              <w:rPr>
                <w:rFonts w:ascii="宋体" w:hAnsi="宋体"/>
                <w:sz w:val="21"/>
                <w:szCs w:val="21"/>
                <w:lang w:val="da-DK" w:eastAsia="zh-CN"/>
              </w:rPr>
            </w:pPr>
            <w:r>
              <w:rPr>
                <w:rFonts w:hint="eastAsia" w:ascii="宋体" w:hAnsi="宋体"/>
                <w:sz w:val="21"/>
                <w:szCs w:val="21"/>
                <w:lang w:val="da-DK" w:eastAsia="zh-CN"/>
              </w:rPr>
              <w:t>型号</w:t>
            </w:r>
          </w:p>
          <w:p>
            <w:pPr>
              <w:pStyle w:val="8"/>
              <w:numPr>
                <w:ilvl w:val="0"/>
                <w:numId w:val="9"/>
              </w:numPr>
              <w:spacing w:line="276" w:lineRule="auto"/>
              <w:rPr>
                <w:rFonts w:ascii="宋体" w:hAnsi="宋体"/>
                <w:sz w:val="21"/>
                <w:szCs w:val="21"/>
                <w:lang w:val="da-DK" w:eastAsia="zh-CN"/>
              </w:rPr>
            </w:pPr>
            <w:r>
              <w:rPr>
                <w:rFonts w:hint="eastAsia" w:ascii="宋体" w:hAnsi="宋体"/>
                <w:sz w:val="21"/>
                <w:szCs w:val="21"/>
                <w:lang w:val="da-DK" w:eastAsia="zh-CN"/>
              </w:rPr>
              <w:t>产品标准号</w:t>
            </w:r>
          </w:p>
          <w:p>
            <w:pPr>
              <w:pStyle w:val="8"/>
              <w:numPr>
                <w:ilvl w:val="0"/>
                <w:numId w:val="9"/>
              </w:numPr>
              <w:spacing w:line="276" w:lineRule="auto"/>
              <w:rPr>
                <w:rFonts w:ascii="宋体" w:hAnsi="宋体"/>
                <w:sz w:val="21"/>
                <w:szCs w:val="21"/>
                <w:lang w:val="da-DK" w:eastAsia="zh-CN"/>
              </w:rPr>
            </w:pPr>
            <w:r>
              <w:rPr>
                <w:rFonts w:hint="eastAsia" w:ascii="宋体" w:hAnsi="宋体"/>
                <w:sz w:val="21"/>
                <w:szCs w:val="21"/>
                <w:lang w:val="da-DK" w:eastAsia="zh-CN"/>
              </w:rPr>
              <w:t>电源</w:t>
            </w:r>
          </w:p>
          <w:p>
            <w:pPr>
              <w:pStyle w:val="8"/>
              <w:numPr>
                <w:ilvl w:val="0"/>
                <w:numId w:val="9"/>
              </w:numPr>
              <w:spacing w:line="276" w:lineRule="auto"/>
              <w:rPr>
                <w:rFonts w:ascii="宋体" w:hAnsi="宋体"/>
                <w:sz w:val="21"/>
                <w:szCs w:val="21"/>
                <w:lang w:val="da-DK" w:eastAsia="zh-CN"/>
              </w:rPr>
            </w:pPr>
            <w:r>
              <w:rPr>
                <w:rFonts w:hint="eastAsia" w:ascii="宋体" w:hAnsi="宋体"/>
                <w:sz w:val="21"/>
                <w:szCs w:val="21"/>
                <w:lang w:val="da-DK" w:eastAsia="zh-CN"/>
              </w:rPr>
              <w:t>容量及精度等级</w:t>
            </w:r>
          </w:p>
          <w:p>
            <w:pPr>
              <w:pStyle w:val="8"/>
              <w:numPr>
                <w:ilvl w:val="0"/>
                <w:numId w:val="9"/>
              </w:numPr>
              <w:spacing w:line="276" w:lineRule="auto"/>
              <w:rPr>
                <w:rFonts w:ascii="宋体" w:hAnsi="宋体"/>
                <w:sz w:val="21"/>
                <w:szCs w:val="21"/>
                <w:lang w:val="da-DK" w:eastAsia="zh-CN"/>
              </w:rPr>
            </w:pPr>
            <w:r>
              <w:rPr>
                <w:rFonts w:hint="eastAsia" w:ascii="宋体" w:hAnsi="宋体"/>
                <w:sz w:val="21"/>
                <w:szCs w:val="21"/>
                <w:lang w:val="da-DK" w:eastAsia="zh-CN"/>
              </w:rPr>
              <w:t>制造厂名称</w:t>
            </w:r>
          </w:p>
          <w:p>
            <w:pPr>
              <w:pStyle w:val="8"/>
              <w:numPr>
                <w:ilvl w:val="0"/>
                <w:numId w:val="9"/>
              </w:numPr>
              <w:spacing w:line="276" w:lineRule="auto"/>
              <w:rPr>
                <w:rFonts w:ascii="宋体" w:hAnsi="宋体"/>
                <w:sz w:val="21"/>
                <w:szCs w:val="21"/>
                <w:lang w:val="da-DK" w:eastAsia="zh-CN"/>
              </w:rPr>
            </w:pPr>
            <w:r>
              <w:rPr>
                <w:rFonts w:hint="eastAsia" w:ascii="宋体" w:hAnsi="宋体"/>
                <w:sz w:val="21"/>
                <w:szCs w:val="21"/>
                <w:lang w:val="da-DK" w:eastAsia="zh-CN"/>
              </w:rPr>
              <w:t>出厂编号</w:t>
            </w:r>
          </w:p>
          <w:p>
            <w:pPr>
              <w:pStyle w:val="8"/>
              <w:numPr>
                <w:ilvl w:val="0"/>
                <w:numId w:val="9"/>
              </w:numPr>
              <w:spacing w:line="276" w:lineRule="auto"/>
              <w:ind w:left="720" w:leftChars="0" w:hanging="720" w:firstLineChars="0"/>
              <w:rPr>
                <w:rFonts w:hint="eastAsia" w:ascii="宋体" w:hAnsi="宋体" w:eastAsia="宋体" w:cs="Times New Roman"/>
                <w:sz w:val="21"/>
                <w:szCs w:val="21"/>
                <w:lang w:val="da-DK" w:eastAsia="zh-CN" w:bidi="ar-SA"/>
              </w:rPr>
            </w:pPr>
            <w:r>
              <w:rPr>
                <w:rFonts w:hint="eastAsia" w:ascii="宋体" w:hAnsi="宋体"/>
                <w:sz w:val="21"/>
                <w:szCs w:val="21"/>
                <w:lang w:val="da-DK" w:eastAsia="zh-CN"/>
              </w:rPr>
              <w:t>制造日期</w:t>
            </w:r>
          </w:p>
        </w:tc>
        <w:tc>
          <w:tcPr>
            <w:tcW w:w="2125" w:type="dxa"/>
            <w:vAlign w:val="center"/>
          </w:tcPr>
          <w:p>
            <w:pPr>
              <w:jc w:val="center"/>
              <w:rPr>
                <w:rFonts w:hint="eastAsia" w:ascii="Times New Roman" w:hAnsi="Times New Roman" w:eastAsia="宋体" w:cs="Times New Roman"/>
                <w:sz w:val="21"/>
                <w:szCs w:val="21"/>
                <w:lang w:eastAsia="zh-CN" w:bidi="ar-SA"/>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cs="Arial"/>
                <w:color w:val="000000"/>
                <w:sz w:val="21"/>
                <w:szCs w:val="21"/>
                <w:lang w:eastAsia="zh-CN"/>
              </w:rPr>
            </w:pPr>
            <w:r>
              <w:rPr>
                <w:rFonts w:ascii="宋体" w:hAnsi="宋体" w:cs="Arial"/>
                <w:color w:val="000000"/>
                <w:sz w:val="21"/>
                <w:szCs w:val="21"/>
                <w:lang w:eastAsia="zh-CN"/>
              </w:rPr>
              <w:t>本</w:t>
            </w:r>
            <w:r>
              <w:rPr>
                <w:rFonts w:hint="eastAsia" w:ascii="宋体" w:hAnsi="宋体" w:cs="Arial"/>
                <w:color w:val="000000"/>
                <w:sz w:val="21"/>
                <w:szCs w:val="21"/>
                <w:lang w:eastAsia="zh-CN"/>
              </w:rPr>
              <w:t>套系统</w:t>
            </w:r>
            <w:r>
              <w:rPr>
                <w:rFonts w:ascii="宋体" w:hAnsi="宋体" w:cs="Arial"/>
                <w:color w:val="000000"/>
                <w:sz w:val="21"/>
                <w:szCs w:val="21"/>
                <w:lang w:eastAsia="zh-CN"/>
              </w:rPr>
              <w:t>必须附有检验合格证，合格证上至少应包括如下内容：</w:t>
            </w:r>
          </w:p>
          <w:p>
            <w:pPr>
              <w:pStyle w:val="8"/>
              <w:numPr>
                <w:ilvl w:val="0"/>
                <w:numId w:val="10"/>
              </w:numPr>
              <w:spacing w:line="276" w:lineRule="auto"/>
              <w:rPr>
                <w:rFonts w:ascii="宋体" w:hAnsi="宋体" w:cs="Arial"/>
                <w:color w:val="000000"/>
                <w:sz w:val="21"/>
                <w:szCs w:val="21"/>
                <w:lang w:eastAsia="zh-CN"/>
              </w:rPr>
            </w:pPr>
            <w:r>
              <w:rPr>
                <w:rFonts w:ascii="宋体" w:hAnsi="宋体" w:cs="Arial"/>
                <w:color w:val="000000"/>
                <w:sz w:val="21"/>
                <w:szCs w:val="21"/>
                <w:lang w:eastAsia="zh-CN"/>
              </w:rPr>
              <w:t>产品名称</w:t>
            </w:r>
          </w:p>
          <w:p>
            <w:pPr>
              <w:pStyle w:val="8"/>
              <w:numPr>
                <w:ilvl w:val="0"/>
                <w:numId w:val="10"/>
              </w:numPr>
              <w:spacing w:line="276" w:lineRule="auto"/>
              <w:rPr>
                <w:rFonts w:ascii="宋体" w:hAnsi="宋体"/>
                <w:sz w:val="21"/>
                <w:szCs w:val="21"/>
                <w:lang w:val="da-DK" w:eastAsia="zh-CN"/>
              </w:rPr>
            </w:pPr>
            <w:r>
              <w:rPr>
                <w:rFonts w:ascii="宋体" w:hAnsi="宋体" w:cs="Arial"/>
                <w:color w:val="000000"/>
                <w:sz w:val="21"/>
                <w:szCs w:val="21"/>
                <w:lang w:eastAsia="zh-CN"/>
              </w:rPr>
              <w:t>型号</w:t>
            </w:r>
          </w:p>
          <w:p>
            <w:pPr>
              <w:pStyle w:val="8"/>
              <w:numPr>
                <w:ilvl w:val="0"/>
                <w:numId w:val="10"/>
              </w:numPr>
              <w:spacing w:line="276" w:lineRule="auto"/>
              <w:rPr>
                <w:rFonts w:ascii="宋体" w:hAnsi="宋体"/>
                <w:sz w:val="21"/>
                <w:szCs w:val="21"/>
                <w:lang w:val="da-DK" w:eastAsia="zh-CN"/>
              </w:rPr>
            </w:pPr>
            <w:r>
              <w:rPr>
                <w:rFonts w:ascii="宋体" w:hAnsi="宋体" w:cs="Arial"/>
                <w:color w:val="000000"/>
                <w:sz w:val="21"/>
                <w:szCs w:val="21"/>
                <w:lang w:eastAsia="zh-CN"/>
              </w:rPr>
              <w:t>制造厂名</w:t>
            </w:r>
          </w:p>
          <w:p>
            <w:pPr>
              <w:pStyle w:val="8"/>
              <w:numPr>
                <w:ilvl w:val="0"/>
                <w:numId w:val="10"/>
              </w:numPr>
              <w:spacing w:line="276" w:lineRule="auto"/>
              <w:rPr>
                <w:rFonts w:ascii="宋体" w:hAnsi="宋体"/>
                <w:sz w:val="21"/>
                <w:szCs w:val="21"/>
                <w:lang w:val="da-DK" w:eastAsia="zh-CN"/>
              </w:rPr>
            </w:pPr>
            <w:r>
              <w:rPr>
                <w:rFonts w:ascii="宋体" w:hAnsi="宋体" w:cs="Arial"/>
                <w:color w:val="000000"/>
                <w:sz w:val="21"/>
                <w:szCs w:val="21"/>
                <w:lang w:eastAsia="zh-CN"/>
              </w:rPr>
              <w:t>检验员号</w:t>
            </w:r>
          </w:p>
          <w:p>
            <w:pPr>
              <w:pStyle w:val="8"/>
              <w:numPr>
                <w:ilvl w:val="0"/>
                <w:numId w:val="10"/>
              </w:numPr>
              <w:spacing w:line="276" w:lineRule="auto"/>
              <w:ind w:left="720" w:leftChars="0" w:hanging="720" w:firstLineChars="0"/>
              <w:rPr>
                <w:rFonts w:hint="eastAsia" w:ascii="宋体" w:hAnsi="宋体" w:eastAsia="宋体" w:cs="Times New Roman"/>
                <w:sz w:val="21"/>
                <w:szCs w:val="21"/>
                <w:lang w:val="da-DK" w:eastAsia="zh-CN" w:bidi="ar-SA"/>
              </w:rPr>
            </w:pPr>
            <w:r>
              <w:rPr>
                <w:rFonts w:ascii="宋体" w:hAnsi="宋体" w:cs="Arial"/>
                <w:color w:val="000000"/>
                <w:sz w:val="21"/>
                <w:szCs w:val="21"/>
                <w:lang w:eastAsia="zh-CN"/>
              </w:rPr>
              <w:t>检验日期</w:t>
            </w:r>
          </w:p>
        </w:tc>
        <w:tc>
          <w:tcPr>
            <w:tcW w:w="2125" w:type="dxa"/>
            <w:vAlign w:val="center"/>
          </w:tcPr>
          <w:p>
            <w:pPr>
              <w:jc w:val="center"/>
              <w:rPr>
                <w:rFonts w:hint="eastAsia" w:ascii="Times New Roman" w:hAnsi="Times New Roman" w:eastAsia="宋体" w:cs="Times New Roman"/>
                <w:sz w:val="21"/>
                <w:szCs w:val="21"/>
                <w:lang w:eastAsia="zh-CN" w:bidi="ar-SA"/>
              </w:rPr>
            </w:pPr>
            <w:r>
              <w:rPr>
                <w:rFonts w:hint="eastAsia"/>
                <w:szCs w:val="21"/>
                <w:lang w:eastAsia="zh-CN"/>
              </w:rPr>
              <w:t>关键</w:t>
            </w:r>
          </w:p>
        </w:tc>
      </w:tr>
      <w:bookmarkEnd w:id="24"/>
      <w:bookmarkEnd w:id="25"/>
      <w:permEnd w:id="20"/>
    </w:tbl>
    <w:p>
      <w:pPr>
        <w:pStyle w:val="30"/>
        <w:spacing w:after="158" w:afterLines="50"/>
        <w:ind w:left="425" w:firstLine="0" w:firstLineChars="0"/>
        <w:rPr>
          <w:rFonts w:ascii="Times New Roman" w:hAnsi="Times New Roman"/>
          <w:szCs w:val="21"/>
        </w:rPr>
      </w:pPr>
    </w:p>
    <w:p>
      <w:pPr>
        <w:pStyle w:val="30"/>
        <w:numPr>
          <w:ilvl w:val="0"/>
          <w:numId w:val="4"/>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1" w:edGrp="everyone"/>
            <w:permEnd w:id="2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7D7D7"/>
            <w:vAlign w:val="center"/>
          </w:tcPr>
          <w:p>
            <w:pPr>
              <w:ind w:left="426" w:leftChars="0"/>
              <w:rPr>
                <w:rFonts w:ascii="Times New Roman" w:hAnsi="Times New Roman"/>
                <w:szCs w:val="21"/>
              </w:rPr>
            </w:pPr>
            <w:permStart w:id="22" w:edGrp="everyone"/>
          </w:p>
        </w:tc>
        <w:tc>
          <w:tcPr>
            <w:tcW w:w="9253" w:type="dxa"/>
            <w:gridSpan w:val="2"/>
            <w:vAlign w:val="center"/>
          </w:tcPr>
          <w:p>
            <w:pPr>
              <w:rPr>
                <w:szCs w:val="21"/>
                <w:lang w:eastAsia="zh-CN"/>
              </w:rPr>
            </w:pPr>
            <w:r>
              <w:rPr>
                <w:rFonts w:hint="eastAsia"/>
                <w:iCs/>
                <w:szCs w:val="21"/>
                <w:lang w:val="en-US" w:eastAsia="zh-CN"/>
              </w:rPr>
              <w:t>N</w:t>
            </w:r>
            <w:r>
              <w:rPr>
                <w:rFonts w:hint="eastAsia"/>
                <w:i/>
                <w:szCs w:val="21"/>
                <w:lang w:val="en-US" w:eastAsia="zh-CN"/>
              </w:rPr>
              <w:t>/</w:t>
            </w:r>
            <w:r>
              <w:rPr>
                <w:rFonts w:hint="eastAsia"/>
                <w:iCs/>
                <w:szCs w:val="21"/>
                <w:lang w:val="en-US" w:eastAsia="zh-CN"/>
              </w:rPr>
              <w:t>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7D7D7"/>
            <w:vAlign w:val="center"/>
          </w:tcPr>
          <w:p>
            <w:pPr>
              <w:ind w:left="426" w:leftChars="0"/>
              <w:rPr>
                <w:rFonts w:ascii="Times New Roman" w:hAnsi="Times New Roman"/>
                <w:szCs w:val="21"/>
              </w:rPr>
            </w:pPr>
            <w:permStart w:id="23" w:edGrp="everyone"/>
          </w:p>
        </w:tc>
        <w:tc>
          <w:tcPr>
            <w:tcW w:w="9253" w:type="dxa"/>
            <w:gridSpan w:val="2"/>
            <w:vAlign w:val="center"/>
          </w:tcPr>
          <w:p>
            <w:pPr>
              <w:rPr>
                <w:szCs w:val="21"/>
                <w:lang w:eastAsia="zh-CN"/>
              </w:rPr>
            </w:pPr>
            <w:r>
              <w:rPr>
                <w:rFonts w:hint="eastAsia"/>
                <w:iCs/>
                <w:szCs w:val="21"/>
                <w:lang w:val="en-US" w:eastAsia="zh-CN"/>
              </w:rPr>
              <w:t>N</w:t>
            </w:r>
            <w:r>
              <w:rPr>
                <w:rFonts w:hint="eastAsia"/>
                <w:i/>
                <w:szCs w:val="21"/>
                <w:lang w:val="en-US" w:eastAsia="zh-CN"/>
              </w:rPr>
              <w:t>/</w:t>
            </w:r>
            <w:r>
              <w:rPr>
                <w:rFonts w:hint="eastAsia"/>
                <w:iCs/>
                <w:szCs w:val="21"/>
                <w:lang w:val="en-US" w:eastAsia="zh-CN"/>
              </w:rPr>
              <w:t>A</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hint="eastAsia" w:cs="宋体"/>
                <w:szCs w:val="21"/>
                <w:lang w:val="da-DK" w:eastAsia="zh-CN"/>
              </w:rPr>
              <w:t>最大称量值120kg；</w:t>
            </w:r>
          </w:p>
        </w:tc>
        <w:tc>
          <w:tcPr>
            <w:tcW w:w="2125" w:type="dxa"/>
            <w:vAlign w:val="center"/>
          </w:tcPr>
          <w:p>
            <w:pPr>
              <w:jc w:val="center"/>
              <w:rPr>
                <w:rFonts w:hint="eastAsia" w:ascii="Times New Roman" w:hAnsi="Times New Roman" w:eastAsia="宋体" w:cs="Times New Roman"/>
                <w:sz w:val="21"/>
                <w:szCs w:val="21"/>
                <w:lang w:eastAsia="zh-CN" w:bidi="ar-SA"/>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hint="eastAsia" w:cs="宋体"/>
                <w:szCs w:val="21"/>
                <w:lang w:val="da-DK" w:eastAsia="zh-CN"/>
              </w:rPr>
              <w:t>最小称量值50g；检定分度值10g；显示分度值1</w:t>
            </w:r>
            <w:r>
              <w:rPr>
                <w:rFonts w:cs="宋体"/>
                <w:szCs w:val="21"/>
                <w:lang w:val="da-DK" w:eastAsia="zh-CN"/>
              </w:rPr>
              <w:t>g</w:t>
            </w:r>
            <w:r>
              <w:rPr>
                <w:rFonts w:hint="eastAsia" w:cs="宋体"/>
                <w:szCs w:val="21"/>
                <w:lang w:val="da-DK" w:eastAsia="zh-CN"/>
              </w:rPr>
              <w:t>；</w:t>
            </w:r>
          </w:p>
        </w:tc>
        <w:tc>
          <w:tcPr>
            <w:tcW w:w="2125" w:type="dxa"/>
            <w:vAlign w:val="top"/>
          </w:tcPr>
          <w:p>
            <w:pPr>
              <w:jc w:val="center"/>
              <w:rPr>
                <w:rFonts w:hint="eastAsia" w:ascii="Times New Roman" w:hAnsi="Times New Roman" w:eastAsia="宋体" w:cs="Times New Roman"/>
                <w:sz w:val="21"/>
                <w:lang w:eastAsia="zh-CN" w:bidi="ar-SA"/>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hint="eastAsia" w:cs="宋体"/>
                <w:szCs w:val="21"/>
                <w:lang w:val="da-DK" w:eastAsia="zh-CN"/>
              </w:rPr>
              <w:t>秤体内置传感器校准砝码，自动检测，维护方便。</w:t>
            </w:r>
          </w:p>
        </w:tc>
        <w:tc>
          <w:tcPr>
            <w:tcW w:w="2125" w:type="dxa"/>
            <w:vAlign w:val="top"/>
          </w:tcPr>
          <w:p>
            <w:pPr>
              <w:jc w:val="center"/>
              <w:rPr>
                <w:rFonts w:hint="eastAsia" w:ascii="Times New Roman" w:hAnsi="Times New Roman" w:eastAsia="宋体" w:cs="Times New Roman"/>
                <w:sz w:val="21"/>
                <w:szCs w:val="21"/>
                <w:lang w:eastAsia="zh-CN" w:bidi="ar-SA"/>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lang w:eastAsia="zh-CN"/>
              </w:rPr>
              <w:t>需要提供经校验合格的</w:t>
            </w:r>
            <w:r>
              <w:rPr>
                <w:rFonts w:hint="eastAsia"/>
                <w:lang w:eastAsia="zh-CN"/>
              </w:rPr>
              <w:t>外校</w:t>
            </w:r>
            <w:r>
              <w:rPr>
                <w:lang w:eastAsia="zh-CN"/>
              </w:rPr>
              <w:t>标准砝码一套</w:t>
            </w:r>
            <w:r>
              <w:rPr>
                <w:rFonts w:hint="eastAsia"/>
                <w:lang w:eastAsia="zh-CN"/>
              </w:rPr>
              <w:t>。</w:t>
            </w:r>
          </w:p>
        </w:tc>
        <w:tc>
          <w:tcPr>
            <w:tcW w:w="2125" w:type="dxa"/>
            <w:vAlign w:val="top"/>
          </w:tcPr>
          <w:p>
            <w:pPr>
              <w:jc w:val="center"/>
              <w:rPr>
                <w:rFonts w:hint="eastAsia" w:ascii="Times New Roman" w:hAnsi="Times New Roman" w:eastAsia="宋体" w:cs="Times New Roman"/>
                <w:sz w:val="21"/>
                <w:lang w:eastAsia="zh-CN" w:bidi="ar-SA"/>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8"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hint="eastAsia"/>
                <w:szCs w:val="21"/>
                <w:lang w:val="da-DK" w:eastAsia="zh-CN"/>
              </w:rPr>
              <w:t>称重显示屏</w:t>
            </w:r>
            <w:r>
              <w:rPr>
                <w:rFonts w:hint="eastAsia" w:cs="宋体"/>
                <w:szCs w:val="21"/>
                <w:lang w:eastAsia="zh-CN"/>
              </w:rPr>
              <w:t>，操作界面显示清晰。</w:t>
            </w:r>
          </w:p>
        </w:tc>
        <w:tc>
          <w:tcPr>
            <w:tcW w:w="2125" w:type="dxa"/>
            <w:vAlign w:val="top"/>
          </w:tcPr>
          <w:p>
            <w:pPr>
              <w:jc w:val="center"/>
              <w:rPr>
                <w:rFonts w:hint="eastAsia" w:ascii="Times New Roman" w:hAnsi="Times New Roman" w:eastAsia="宋体" w:cs="Times New Roman"/>
                <w:sz w:val="21"/>
                <w:lang w:eastAsia="zh-CN" w:bidi="ar-SA"/>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9" w:edGrp="everyone"/>
          </w:p>
        </w:tc>
        <w:tc>
          <w:tcPr>
            <w:tcW w:w="7128" w:type="dxa"/>
            <w:vAlign w:val="center"/>
          </w:tcPr>
          <w:p>
            <w:pPr>
              <w:spacing w:line="276" w:lineRule="auto"/>
              <w:jc w:val="both"/>
              <w:rPr>
                <w:rFonts w:hint="eastAsia" w:ascii="Times New Roman" w:hAnsi="Times New Roman" w:eastAsia="宋体" w:cs="Times New Roman"/>
                <w:sz w:val="21"/>
                <w:szCs w:val="21"/>
                <w:lang w:eastAsia="zh-CN" w:bidi="ar-SA"/>
              </w:rPr>
            </w:pPr>
            <w:r>
              <w:rPr>
                <w:rFonts w:hint="eastAsia" w:ascii="宋体" w:hAnsi="宋体" w:cs="宋体"/>
                <w:szCs w:val="21"/>
                <w:lang w:val="da-DK" w:eastAsia="zh-CN"/>
              </w:rPr>
              <w:t>热转印型不干胶标签打印机</w:t>
            </w:r>
            <w:r>
              <w:rPr>
                <w:rFonts w:ascii="宋体" w:hAnsi="宋体" w:cs="宋体"/>
                <w:szCs w:val="21"/>
                <w:lang w:val="da-DK" w:eastAsia="zh-CN"/>
              </w:rPr>
              <w:t>1</w:t>
            </w:r>
            <w:r>
              <w:rPr>
                <w:rFonts w:hint="eastAsia" w:ascii="宋体" w:hAnsi="宋体" w:cs="宋体"/>
                <w:szCs w:val="21"/>
                <w:lang w:val="da-DK" w:eastAsia="zh-CN"/>
              </w:rPr>
              <w:t>台，</w:t>
            </w:r>
            <w:r>
              <w:rPr>
                <w:rFonts w:hint="eastAsia" w:cs="宋体"/>
                <w:szCs w:val="21"/>
                <w:lang w:val="da-DK" w:eastAsia="zh-CN"/>
              </w:rPr>
              <w:t>需满足U</w:t>
            </w:r>
            <w:r>
              <w:rPr>
                <w:rFonts w:cs="宋体"/>
                <w:szCs w:val="21"/>
                <w:lang w:val="da-DK" w:eastAsia="zh-CN"/>
              </w:rPr>
              <w:t xml:space="preserve">RS </w:t>
            </w:r>
            <w:r>
              <w:rPr>
                <w:rFonts w:hint="eastAsia" w:cs="宋体"/>
                <w:szCs w:val="21"/>
                <w:lang w:val="da-DK" w:eastAsia="zh-CN"/>
              </w:rPr>
              <w:t>2</w:t>
            </w:r>
            <w:r>
              <w:rPr>
                <w:rFonts w:hint="eastAsia" w:cs="宋体"/>
                <w:szCs w:val="21"/>
                <w:lang w:val="en-US" w:eastAsia="zh-CN"/>
              </w:rPr>
              <w:t>2</w:t>
            </w:r>
            <w:r>
              <w:rPr>
                <w:rFonts w:hint="eastAsia" w:cs="宋体"/>
                <w:szCs w:val="21"/>
                <w:lang w:val="da-DK" w:eastAsia="zh-CN"/>
              </w:rPr>
              <w:t>-</w:t>
            </w:r>
            <w:r>
              <w:rPr>
                <w:rFonts w:cs="宋体"/>
                <w:szCs w:val="21"/>
                <w:lang w:val="da-DK" w:eastAsia="zh-CN"/>
              </w:rPr>
              <w:t xml:space="preserve">URS </w:t>
            </w:r>
            <w:r>
              <w:rPr>
                <w:rFonts w:hint="eastAsia" w:cs="宋体"/>
                <w:szCs w:val="21"/>
                <w:lang w:val="en-US" w:eastAsia="zh-CN"/>
              </w:rPr>
              <w:t>26</w:t>
            </w:r>
            <w:r>
              <w:rPr>
                <w:rFonts w:hint="eastAsia" w:ascii="宋体" w:hAnsi="宋体" w:cs="宋体"/>
                <w:szCs w:val="21"/>
                <w:lang w:val="da-DK" w:eastAsia="zh-CN"/>
              </w:rPr>
              <w:t>：</w:t>
            </w:r>
          </w:p>
        </w:tc>
        <w:tc>
          <w:tcPr>
            <w:tcW w:w="2125" w:type="dxa"/>
            <w:vAlign w:val="top"/>
          </w:tcPr>
          <w:p>
            <w:pPr>
              <w:jc w:val="center"/>
              <w:rPr>
                <w:rFonts w:hint="eastAsia" w:ascii="Times New Roman" w:hAnsi="Times New Roman" w:eastAsia="宋体" w:cs="Times New Roman"/>
                <w:sz w:val="21"/>
                <w:szCs w:val="21"/>
                <w:lang w:eastAsia="zh-CN" w:bidi="ar-SA"/>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0"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hint="eastAsia" w:ascii="宋体" w:hAnsi="宋体" w:cs="宋体"/>
                <w:szCs w:val="21"/>
                <w:lang w:val="da-DK" w:eastAsia="zh-CN"/>
              </w:rPr>
              <w:t>打印字迹清晰，7</w:t>
            </w:r>
            <w:r>
              <w:rPr>
                <w:rFonts w:ascii="宋体" w:hAnsi="宋体" w:cs="宋体"/>
                <w:szCs w:val="21"/>
                <w:lang w:val="da-DK" w:eastAsia="zh-CN"/>
              </w:rPr>
              <w:t>5</w:t>
            </w:r>
            <w:r>
              <w:rPr>
                <w:rFonts w:hint="eastAsia" w:ascii="宋体" w:hAnsi="宋体" w:cs="宋体"/>
                <w:szCs w:val="21"/>
                <w:lang w:val="da-DK" w:eastAsia="zh-CN"/>
              </w:rPr>
              <w:t>%酒精表面消毒或V</w:t>
            </w:r>
            <w:r>
              <w:rPr>
                <w:rFonts w:ascii="宋体" w:hAnsi="宋体" w:cs="宋体"/>
                <w:szCs w:val="21"/>
                <w:lang w:val="da-DK" w:eastAsia="zh-CN"/>
              </w:rPr>
              <w:t>HP</w:t>
            </w:r>
            <w:r>
              <w:rPr>
                <w:rFonts w:hint="eastAsia" w:ascii="宋体" w:hAnsi="宋体" w:cs="宋体"/>
                <w:szCs w:val="21"/>
                <w:lang w:val="da-DK" w:eastAsia="zh-CN"/>
              </w:rPr>
              <w:t>消毒后字迹依然清晰可见，打印布局合理，操作简单；</w:t>
            </w:r>
          </w:p>
        </w:tc>
        <w:tc>
          <w:tcPr>
            <w:tcW w:w="2125" w:type="dxa"/>
            <w:vAlign w:val="top"/>
          </w:tcPr>
          <w:p>
            <w:pPr>
              <w:jc w:val="center"/>
              <w:rPr>
                <w:rFonts w:hint="eastAsia" w:ascii="Times New Roman" w:hAnsi="Times New Roman" w:eastAsia="宋体" w:cs="Times New Roman"/>
                <w:sz w:val="21"/>
                <w:lang w:eastAsia="zh-CN" w:bidi="ar-SA"/>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1"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hint="eastAsia" w:ascii="宋体" w:hAnsi="宋体" w:cs="宋体"/>
                <w:szCs w:val="21"/>
                <w:lang w:val="da-DK" w:eastAsia="zh-CN"/>
              </w:rPr>
              <w:t>满足G</w:t>
            </w:r>
            <w:r>
              <w:rPr>
                <w:rFonts w:ascii="宋体" w:hAnsi="宋体" w:cs="宋体"/>
                <w:szCs w:val="21"/>
                <w:lang w:val="da-DK" w:eastAsia="zh-CN"/>
              </w:rPr>
              <w:t>MP</w:t>
            </w:r>
            <w:r>
              <w:rPr>
                <w:rFonts w:hint="eastAsia" w:ascii="宋体" w:hAnsi="宋体" w:cs="宋体"/>
                <w:szCs w:val="21"/>
                <w:lang w:val="da-DK" w:eastAsia="zh-CN"/>
              </w:rPr>
              <w:t>和WHO法规洁净区要求；</w:t>
            </w:r>
          </w:p>
        </w:tc>
        <w:tc>
          <w:tcPr>
            <w:tcW w:w="2125" w:type="dxa"/>
            <w:vAlign w:val="top"/>
          </w:tcPr>
          <w:p>
            <w:pPr>
              <w:jc w:val="center"/>
              <w:rPr>
                <w:rFonts w:hint="eastAsia" w:ascii="Times New Roman" w:hAnsi="Times New Roman" w:eastAsia="宋体" w:cs="Times New Roman"/>
                <w:sz w:val="21"/>
                <w:lang w:eastAsia="zh-CN" w:bidi="ar-SA"/>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2"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hint="eastAsia" w:ascii="宋体" w:hAnsi="宋体" w:cs="宋体"/>
                <w:szCs w:val="21"/>
                <w:lang w:val="da-DK" w:eastAsia="zh-CN"/>
              </w:rPr>
              <w:t>标签打印模板可编辑，打印内容可根据需要现场编辑</w:t>
            </w:r>
          </w:p>
        </w:tc>
        <w:tc>
          <w:tcPr>
            <w:tcW w:w="2125" w:type="dxa"/>
            <w:vAlign w:val="center"/>
          </w:tcPr>
          <w:p>
            <w:pPr>
              <w:jc w:val="center"/>
              <w:rPr>
                <w:rFonts w:hint="eastAsia" w:ascii="Times New Roman" w:hAnsi="Times New Roman" w:eastAsia="宋体" w:cs="Times New Roman"/>
                <w:sz w:val="21"/>
                <w:szCs w:val="21"/>
                <w:lang w:eastAsia="zh-CN" w:bidi="ar-SA"/>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3" w:edGrp="everyone"/>
          </w:p>
        </w:tc>
        <w:tc>
          <w:tcPr>
            <w:tcW w:w="7128" w:type="dxa"/>
            <w:vAlign w:val="center"/>
          </w:tcPr>
          <w:p>
            <w:pPr>
              <w:spacing w:line="276" w:lineRule="auto"/>
              <w:jc w:val="both"/>
              <w:rPr>
                <w:rFonts w:ascii="Times New Roman" w:hAnsi="Times New Roman" w:eastAsia="宋体" w:cs="Times New Roman"/>
                <w:sz w:val="21"/>
                <w:szCs w:val="21"/>
                <w:lang w:val="en-US" w:eastAsia="zh-CN" w:bidi="ar-SA"/>
              </w:rPr>
            </w:pPr>
            <w:r>
              <w:rPr>
                <w:rFonts w:hint="eastAsia" w:ascii="宋体" w:hAnsi="宋体" w:cs="宋体"/>
                <w:szCs w:val="21"/>
                <w:lang w:val="da-DK" w:eastAsia="zh-CN"/>
              </w:rPr>
              <w:t>需支持中文或英文打印；</w:t>
            </w:r>
          </w:p>
        </w:tc>
        <w:tc>
          <w:tcPr>
            <w:tcW w:w="2125" w:type="dxa"/>
            <w:vAlign w:val="center"/>
          </w:tcPr>
          <w:p>
            <w:pPr>
              <w:jc w:val="center"/>
              <w:rPr>
                <w:rFonts w:hint="eastAsia" w:ascii="Times New Roman" w:hAnsi="Times New Roman" w:eastAsia="宋体" w:cs="Times New Roman"/>
                <w:sz w:val="21"/>
                <w:szCs w:val="21"/>
                <w:lang w:eastAsia="zh-CN" w:bidi="ar-SA"/>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4" w:edGrp="everyone"/>
          </w:p>
        </w:tc>
        <w:tc>
          <w:tcPr>
            <w:tcW w:w="7128" w:type="dxa"/>
            <w:vAlign w:val="center"/>
          </w:tcPr>
          <w:p>
            <w:pPr>
              <w:spacing w:line="276" w:lineRule="auto"/>
              <w:jc w:val="both"/>
              <w:rPr>
                <w:rFonts w:ascii="Times New Roman" w:hAnsi="Times New Roman" w:eastAsia="宋体" w:cs="Times New Roman"/>
                <w:sz w:val="21"/>
                <w:szCs w:val="21"/>
                <w:lang w:eastAsia="zh-CN" w:bidi="ar-SA"/>
              </w:rPr>
            </w:pPr>
            <w:r>
              <w:rPr>
                <w:rFonts w:hint="eastAsia" w:ascii="宋体" w:hAnsi="宋体" w:cs="宋体"/>
                <w:szCs w:val="21"/>
                <w:lang w:val="da-DK" w:eastAsia="zh-CN"/>
              </w:rPr>
              <w:t>打印内容可保存3年以上。</w:t>
            </w:r>
          </w:p>
        </w:tc>
        <w:tc>
          <w:tcPr>
            <w:tcW w:w="2125" w:type="dxa"/>
            <w:vAlign w:val="center"/>
          </w:tcPr>
          <w:p>
            <w:pPr>
              <w:jc w:val="center"/>
              <w:rPr>
                <w:rFonts w:hint="eastAsia" w:ascii="Times New Roman" w:hAnsi="Times New Roman" w:eastAsia="宋体" w:cs="Times New Roman"/>
                <w:sz w:val="21"/>
                <w:szCs w:val="21"/>
                <w:lang w:eastAsia="zh-CN" w:bidi="ar-SA"/>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5" w:edGrp="everyone"/>
          </w:p>
        </w:tc>
        <w:tc>
          <w:tcPr>
            <w:tcW w:w="7128" w:type="dxa"/>
            <w:vAlign w:val="center"/>
          </w:tcPr>
          <w:p>
            <w:pPr>
              <w:spacing w:line="276" w:lineRule="auto"/>
              <w:jc w:val="both"/>
              <w:rPr>
                <w:szCs w:val="21"/>
                <w:lang w:eastAsia="zh-CN"/>
              </w:rPr>
            </w:pPr>
            <w:r>
              <w:rPr>
                <w:rFonts w:hint="eastAsia" w:cs="宋体"/>
                <w:bCs/>
                <w:szCs w:val="21"/>
                <w:lang w:eastAsia="zh-CN"/>
              </w:rPr>
              <w:t>称重显示界面</w:t>
            </w:r>
            <w:r>
              <w:rPr>
                <w:rFonts w:hint="eastAsia" w:cs="宋体"/>
                <w:szCs w:val="21"/>
                <w:lang w:eastAsia="zh-CN"/>
              </w:rPr>
              <w:t>为中文显示并且支持中文输入，操作简单易懂</w:t>
            </w:r>
            <w:r>
              <w:rPr>
                <w:rFonts w:hint="eastAsia" w:ascii="宋体" w:hAnsi="宋体" w:cs="宋体"/>
                <w:szCs w:val="21"/>
                <w:lang w:val="da-DK" w:eastAsia="zh-CN"/>
              </w:rPr>
              <w:t>。</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cs="宋体"/>
                <w:szCs w:val="21"/>
                <w:lang w:eastAsia="zh-CN"/>
              </w:rPr>
              <w:t>至少含一个R</w:t>
            </w:r>
            <w:r>
              <w:rPr>
                <w:rFonts w:hint="eastAsia" w:cs="宋体"/>
                <w:szCs w:val="21"/>
                <w:lang w:val="en-US" w:eastAsia="zh-CN"/>
              </w:rPr>
              <w:t>485</w:t>
            </w:r>
            <w:r>
              <w:rPr>
                <w:rFonts w:hint="eastAsia" w:cs="宋体"/>
                <w:szCs w:val="21"/>
                <w:lang w:eastAsia="zh-CN"/>
              </w:rPr>
              <w:t>接口(用于采集数据)。</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 w:val="21"/>
                <w:szCs w:val="21"/>
                <w:lang w:eastAsia="zh-CN"/>
              </w:rPr>
            </w:pPr>
            <w:r>
              <w:rPr>
                <w:rFonts w:hint="eastAsia" w:cs="宋体"/>
                <w:szCs w:val="21"/>
                <w:lang w:eastAsia="zh-CN"/>
              </w:rPr>
              <w:t>具备全量程去皮功能。</w:t>
            </w:r>
          </w:p>
        </w:tc>
        <w:tc>
          <w:tcPr>
            <w:tcW w:w="2125" w:type="dxa"/>
            <w:vAlign w:val="center"/>
          </w:tcPr>
          <w:p>
            <w:pPr>
              <w:jc w:val="center"/>
              <w:rPr>
                <w:rFonts w:hint="eastAsia"/>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 w:val="21"/>
                <w:szCs w:val="21"/>
                <w:lang w:eastAsia="zh-CN"/>
              </w:rPr>
            </w:pPr>
            <w:r>
              <w:rPr>
                <w:rFonts w:hint="eastAsia" w:cs="宋体"/>
                <w:bCs/>
                <w:szCs w:val="21"/>
                <w:lang w:eastAsia="zh-CN"/>
              </w:rPr>
              <w:t>标签打印：</w:t>
            </w:r>
            <w:r>
              <w:rPr>
                <w:rFonts w:hint="eastAsia" w:cs="宋体"/>
                <w:szCs w:val="21"/>
                <w:lang w:eastAsia="zh-CN"/>
              </w:rPr>
              <w:t>称重结束时打印出标签，打印字迹清晰可辨，内容不得缺失，标签可牢固粘贴，不掉落</w:t>
            </w:r>
          </w:p>
        </w:tc>
        <w:tc>
          <w:tcPr>
            <w:tcW w:w="2125" w:type="dxa"/>
            <w:vAlign w:val="center"/>
          </w:tcPr>
          <w:p>
            <w:pPr>
              <w:jc w:val="center"/>
              <w:rPr>
                <w:rFonts w:hint="eastAsia"/>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 w:val="21"/>
                <w:szCs w:val="21"/>
                <w:lang w:eastAsia="zh-CN"/>
              </w:rPr>
            </w:pPr>
            <w:r>
              <w:rPr>
                <w:rFonts w:hint="eastAsia" w:cs="宋体"/>
                <w:bCs/>
                <w:szCs w:val="21"/>
                <w:lang w:eastAsia="zh-CN"/>
              </w:rPr>
              <w:t>称重显示界面</w:t>
            </w:r>
            <w:r>
              <w:rPr>
                <w:rFonts w:hint="eastAsia" w:cs="宋体"/>
                <w:szCs w:val="21"/>
                <w:lang w:eastAsia="zh-CN"/>
              </w:rPr>
              <w:t>为中文显示，操作简单易懂</w:t>
            </w:r>
            <w:r>
              <w:rPr>
                <w:rFonts w:hint="eastAsia" w:ascii="宋体" w:hAnsi="宋体" w:cs="宋体"/>
                <w:szCs w:val="21"/>
                <w:lang w:val="da-DK" w:eastAsia="zh-CN"/>
              </w:rPr>
              <w:t>。</w:t>
            </w:r>
          </w:p>
        </w:tc>
        <w:tc>
          <w:tcPr>
            <w:tcW w:w="2125" w:type="dxa"/>
            <w:vAlign w:val="center"/>
          </w:tcPr>
          <w:p>
            <w:pPr>
              <w:jc w:val="center"/>
              <w:rPr>
                <w:rFonts w:hint="eastAsia"/>
                <w:lang w:eastAsia="zh-CN"/>
              </w:rPr>
            </w:pPr>
            <w:r>
              <w:rPr>
                <w:rFonts w:hint="eastAsia"/>
                <w:lang w:eastAsia="zh-CN"/>
              </w:rPr>
              <w:t>关键</w:t>
            </w:r>
          </w:p>
        </w:tc>
      </w:tr>
      <w:permEnd w:id="35"/>
    </w:tbl>
    <w:p>
      <w:pPr>
        <w:pStyle w:val="30"/>
        <w:numPr>
          <w:ilvl w:val="0"/>
          <w:numId w:val="4"/>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151"/>
      <w:bookmarkStart w:id="31" w:name="_Toc482370071"/>
      <w:bookmarkStart w:id="32" w:name="_Toc482359946"/>
      <w:bookmarkStart w:id="33" w:name="_Toc482717202"/>
      <w:bookmarkStart w:id="34" w:name="_Toc483400317"/>
      <w:bookmarkStart w:id="35" w:name="_Toc482360291"/>
      <w:bookmarkStart w:id="36" w:name="_Toc482625289"/>
      <w:bookmarkStart w:id="37" w:name="_Toc481702480"/>
      <w:bookmarkStart w:id="38" w:name="_Toc482369815"/>
      <w:bookmarkStart w:id="39" w:name="_Toc483227237"/>
      <w:bookmarkStart w:id="40" w:name="_Toc482370767"/>
      <w:bookmarkStart w:id="41" w:name="_Toc482370359"/>
      <w:r>
        <w:rPr>
          <w:rFonts w:ascii="Times New Roman" w:hAnsi="Times New Roman"/>
          <w:b/>
        </w:rPr>
        <w:t>电气、自动控制要求</w:t>
      </w:r>
      <w:bookmarkEnd w:id="2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6" w:edGrp="everyone"/>
            <w:permEnd w:id="3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7" w:edGrp="everyone"/>
          </w:p>
        </w:tc>
        <w:tc>
          <w:tcPr>
            <w:tcW w:w="7128" w:type="dxa"/>
            <w:vAlign w:val="center"/>
          </w:tcPr>
          <w:p>
            <w:pPr>
              <w:pStyle w:val="8"/>
              <w:spacing w:before="158" w:beforeLines="50" w:line="276" w:lineRule="auto"/>
              <w:rPr>
                <w:i/>
                <w:sz w:val="21"/>
                <w:szCs w:val="21"/>
                <w:lang w:eastAsia="zh-CN"/>
              </w:rPr>
            </w:pPr>
            <w:r>
              <w:rPr>
                <w:rFonts w:hint="eastAsia" w:ascii="宋体" w:hAnsi="宋体"/>
                <w:color w:val="000000"/>
                <w:sz w:val="21"/>
                <w:szCs w:val="21"/>
                <w:lang w:eastAsia="zh-CN"/>
              </w:rPr>
              <w:t>显示屏可直接显示读数，易于操作。</w:t>
            </w:r>
          </w:p>
        </w:tc>
        <w:tc>
          <w:tcPr>
            <w:tcW w:w="2125" w:type="dxa"/>
            <w:vAlign w:val="center"/>
          </w:tcPr>
          <w:p>
            <w:pPr>
              <w:jc w:val="center"/>
              <w:rPr>
                <w:szCs w:val="21"/>
                <w:lang w:eastAsia="zh-CN"/>
              </w:rPr>
            </w:pPr>
            <w:r>
              <w:rPr>
                <w:rFonts w:hint="eastAsia"/>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8" w:edGrp="everyone"/>
          </w:p>
        </w:tc>
        <w:tc>
          <w:tcPr>
            <w:tcW w:w="7128" w:type="dxa"/>
            <w:vAlign w:val="center"/>
          </w:tcPr>
          <w:p>
            <w:pPr>
              <w:pStyle w:val="8"/>
              <w:spacing w:line="240" w:lineRule="exact"/>
              <w:rPr>
                <w:rFonts w:ascii="宋体" w:hAnsi="宋体"/>
                <w:sz w:val="21"/>
                <w:szCs w:val="21"/>
                <w:lang w:eastAsia="zh-CN"/>
              </w:rPr>
            </w:pPr>
            <w:r>
              <w:rPr>
                <w:rFonts w:hint="eastAsia" w:ascii="宋体" w:hAnsi="宋体" w:cs="宋体"/>
                <w:sz w:val="21"/>
                <w:szCs w:val="21"/>
                <w:lang w:eastAsia="zh-CN"/>
              </w:rPr>
              <w:t>全自动内部校准系统，快速稳定时间</w:t>
            </w:r>
          </w:p>
        </w:tc>
        <w:tc>
          <w:tcPr>
            <w:tcW w:w="2125" w:type="dxa"/>
            <w:vAlign w:val="center"/>
          </w:tcPr>
          <w:p>
            <w:pPr>
              <w:jc w:val="center"/>
              <w:rPr>
                <w:szCs w:val="21"/>
                <w:lang w:eastAsia="zh-CN"/>
              </w:rPr>
            </w:pPr>
            <w:r>
              <w:rPr>
                <w:rFonts w:hint="eastAsia"/>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9" w:edGrp="everyone"/>
          </w:p>
        </w:tc>
        <w:tc>
          <w:tcPr>
            <w:tcW w:w="7128" w:type="dxa"/>
            <w:vAlign w:val="center"/>
          </w:tcPr>
          <w:p>
            <w:pPr>
              <w:pStyle w:val="8"/>
              <w:spacing w:line="240" w:lineRule="exact"/>
              <w:rPr>
                <w:rFonts w:ascii="宋体" w:hAnsi="宋体"/>
                <w:sz w:val="21"/>
                <w:szCs w:val="21"/>
                <w:lang w:eastAsia="zh-CN"/>
              </w:rPr>
            </w:pPr>
            <w:r>
              <w:rPr>
                <w:rFonts w:hint="eastAsia" w:ascii="宋体" w:hAnsi="宋体"/>
                <w:color w:val="000000"/>
                <w:sz w:val="21"/>
                <w:szCs w:val="21"/>
                <w:lang w:eastAsia="zh-CN"/>
              </w:rPr>
              <w:t>具备多种称量模式，包括：</w:t>
            </w:r>
            <w:r>
              <w:rPr>
                <w:rFonts w:hint="eastAsia" w:ascii="宋体" w:hAnsi="宋体" w:cs="Tahoma"/>
                <w:color w:val="000000"/>
                <w:sz w:val="21"/>
                <w:szCs w:val="21"/>
                <w:lang w:eastAsia="zh-CN"/>
              </w:rPr>
              <w:t>基本称量</w:t>
            </w:r>
            <w:r>
              <w:rPr>
                <w:rFonts w:hint="eastAsia" w:ascii="宋体" w:hAnsi="宋体"/>
                <w:color w:val="000000"/>
                <w:sz w:val="21"/>
                <w:szCs w:val="21"/>
                <w:lang w:eastAsia="zh-CN"/>
              </w:rPr>
              <w:t>等</w:t>
            </w:r>
          </w:p>
        </w:tc>
        <w:tc>
          <w:tcPr>
            <w:tcW w:w="2125" w:type="dxa"/>
            <w:vAlign w:val="center"/>
          </w:tcPr>
          <w:p>
            <w:pPr>
              <w:jc w:val="center"/>
              <w:rPr>
                <w:szCs w:val="21"/>
                <w:lang w:eastAsia="zh-CN"/>
              </w:rPr>
            </w:pPr>
            <w:r>
              <w:rPr>
                <w:rFonts w:hint="eastAsia"/>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0" w:edGrp="everyone"/>
          </w:p>
        </w:tc>
        <w:tc>
          <w:tcPr>
            <w:tcW w:w="7128" w:type="dxa"/>
            <w:vAlign w:val="center"/>
          </w:tcPr>
          <w:p>
            <w:pPr>
              <w:pStyle w:val="8"/>
              <w:spacing w:before="158" w:beforeLines="50" w:line="276" w:lineRule="auto"/>
              <w:rPr>
                <w:rFonts w:ascii="宋体" w:hAnsi="宋体"/>
                <w:sz w:val="21"/>
                <w:szCs w:val="21"/>
                <w:lang w:eastAsia="zh-CN"/>
              </w:rPr>
            </w:pPr>
            <w:r>
              <w:rPr>
                <w:rFonts w:hint="eastAsia" w:ascii="宋体" w:hAnsi="宋体"/>
                <w:color w:val="000000"/>
                <w:sz w:val="21"/>
                <w:szCs w:val="21"/>
                <w:lang w:eastAsia="zh-CN"/>
              </w:rPr>
              <w:t>设备可配置通用打印机，具备自动打印功能，至少显示称量时间、操作者信息、称量质量等数据；打印过程中尽可能不产生微粒并且所使用的打印纸为市场上常用的规格，打印记录位非热敏纸，在日常环境下能较长期保存。</w:t>
            </w:r>
          </w:p>
        </w:tc>
        <w:tc>
          <w:tcPr>
            <w:tcW w:w="2125" w:type="dxa"/>
            <w:vAlign w:val="center"/>
          </w:tcPr>
          <w:p>
            <w:pPr>
              <w:jc w:val="center"/>
              <w:rPr>
                <w:szCs w:val="21"/>
                <w:lang w:eastAsia="zh-CN"/>
              </w:rPr>
            </w:pPr>
            <w:r>
              <w:rPr>
                <w:rFonts w:hint="eastAsia"/>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1" w:edGrp="everyone"/>
          </w:p>
        </w:tc>
        <w:tc>
          <w:tcPr>
            <w:tcW w:w="7128" w:type="dxa"/>
            <w:vAlign w:val="center"/>
          </w:tcPr>
          <w:p>
            <w:pPr>
              <w:pStyle w:val="8"/>
              <w:spacing w:line="360" w:lineRule="auto"/>
              <w:jc w:val="left"/>
              <w:rPr>
                <w:szCs w:val="21"/>
                <w:lang w:eastAsia="zh-CN"/>
              </w:rPr>
            </w:pPr>
            <w:r>
              <w:rPr>
                <w:sz w:val="21"/>
                <w:szCs w:val="21"/>
                <w:lang w:val="en-US" w:eastAsia="zh-CN"/>
              </w:rPr>
              <w:t>N/A</w:t>
            </w:r>
            <w:permEnd w:id="41"/>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color w:val="000000"/>
                <w:szCs w:val="21"/>
                <w:lang w:eastAsia="zh-CN"/>
              </w:rPr>
              <w:t>应具备至少三级权限划分功能，每级权限和设置多个账户，每个账户设置独立密码保护，密码可设置定时更改功能，每级权限级别下用户权限可根据职责设置；具备审计追踪功能，可生成不可修改的审计追踪记录，可导出、打印；</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 w:val="21"/>
                <w:szCs w:val="21"/>
                <w:lang w:val="en-US" w:eastAsia="zh-CN"/>
              </w:rPr>
            </w:pPr>
            <w:r>
              <w:rPr>
                <w:rFonts w:hint="eastAsia" w:cs="宋体"/>
                <w:bCs/>
                <w:color w:val="000000"/>
                <w:szCs w:val="21"/>
                <w:lang w:eastAsia="zh-CN"/>
              </w:rPr>
              <w:t>数据储存：所有称量数据都能储存到</w:t>
            </w:r>
            <w:r>
              <w:rPr>
                <w:rFonts w:hint="eastAsia" w:cs="宋体"/>
                <w:color w:val="000000"/>
                <w:szCs w:val="21"/>
                <w:lang w:eastAsia="zh-CN"/>
              </w:rPr>
              <w:t>称重显示仪表</w:t>
            </w:r>
            <w:r>
              <w:rPr>
                <w:rFonts w:hint="eastAsia" w:cs="宋体"/>
                <w:bCs/>
                <w:color w:val="000000"/>
                <w:szCs w:val="21"/>
                <w:lang w:eastAsia="zh-CN"/>
              </w:rPr>
              <w:t>中，并不可修改数据。</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 w:val="21"/>
                <w:szCs w:val="21"/>
                <w:lang w:eastAsia="zh-CN"/>
              </w:rPr>
            </w:pPr>
            <w:r>
              <w:rPr>
                <w:rFonts w:hint="eastAsia" w:cs="宋体"/>
                <w:bCs/>
                <w:szCs w:val="21"/>
                <w:lang w:eastAsia="zh-CN"/>
              </w:rPr>
              <w:t>数据导出：</w:t>
            </w:r>
            <w:r>
              <w:rPr>
                <w:rFonts w:hint="eastAsia" w:cs="宋体"/>
                <w:szCs w:val="21"/>
                <w:lang w:eastAsia="zh-CN"/>
              </w:rPr>
              <w:t>可根据需要导出所有的储存记录，包括</w:t>
            </w:r>
            <w:r>
              <w:rPr>
                <w:rFonts w:hint="eastAsia" w:cs="宋体"/>
                <w:bCs/>
                <w:szCs w:val="21"/>
                <w:lang w:eastAsia="zh-CN"/>
              </w:rPr>
              <w:t>物料信息、称量数据等。导出的电子记录可读取、打印。</w:t>
            </w:r>
          </w:p>
        </w:tc>
        <w:tc>
          <w:tcPr>
            <w:tcW w:w="2125" w:type="dxa"/>
            <w:vAlign w:val="center"/>
          </w:tcPr>
          <w:p>
            <w:pPr>
              <w:jc w:val="center"/>
              <w:rPr>
                <w:szCs w:val="21"/>
                <w:lang w:val="en-US" w:eastAsia="zh-CN"/>
              </w:rPr>
            </w:pPr>
            <w:r>
              <w:rPr>
                <w:rFonts w:hint="eastAsia"/>
                <w:szCs w:val="21"/>
                <w:lang w:val="en-US" w:eastAsia="zh-CN"/>
              </w:rPr>
              <w:t>关键</w:t>
            </w:r>
          </w:p>
        </w:tc>
      </w:tr>
      <w:permEnd w:id="42"/>
    </w:tbl>
    <w:p>
      <w:pPr>
        <w:spacing w:after="158" w:afterLines="50"/>
        <w:rPr>
          <w:b/>
          <w:lang w:eastAsia="zh-CN"/>
        </w:rPr>
      </w:pPr>
    </w:p>
    <w:p>
      <w:pPr>
        <w:pStyle w:val="30"/>
        <w:numPr>
          <w:ilvl w:val="0"/>
          <w:numId w:val="4"/>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3" w:edGrp="everyone"/>
            <w:permEnd w:id="43"/>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7D7D7"/>
            <w:vAlign w:val="center"/>
          </w:tcPr>
          <w:p>
            <w:pPr>
              <w:pStyle w:val="30"/>
              <w:numPr>
                <w:numId w:val="0"/>
              </w:numPr>
              <w:ind w:left="350" w:leftChars="0"/>
              <w:rPr>
                <w:rFonts w:ascii="Times New Roman" w:hAnsi="Times New Roman"/>
                <w:szCs w:val="21"/>
              </w:rPr>
            </w:pPr>
            <w:permStart w:id="44" w:edGrp="everyone"/>
          </w:p>
        </w:tc>
        <w:tc>
          <w:tcPr>
            <w:tcW w:w="9253" w:type="dxa"/>
            <w:gridSpan w:val="2"/>
            <w:vAlign w:val="center"/>
          </w:tcPr>
          <w:p>
            <w:pPr>
              <w:jc w:val="both"/>
              <w:rPr>
                <w:szCs w:val="21"/>
                <w:lang w:eastAsia="zh-CN"/>
              </w:rPr>
            </w:pPr>
            <w:r>
              <w:rPr>
                <w:rFonts w:hint="eastAsia"/>
                <w:szCs w:val="21"/>
                <w:lang w:val="en-US" w:eastAsia="zh-CN"/>
              </w:rPr>
              <w:t>N/A</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ermStart w:id="45" w:edGrp="everyone"/>
            <w:permEnd w:id="45"/>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7D7D7"/>
            <w:vAlign w:val="center"/>
          </w:tcPr>
          <w:p>
            <w:pPr>
              <w:pStyle w:val="30"/>
              <w:numPr>
                <w:numId w:val="0"/>
              </w:numPr>
              <w:ind w:left="350" w:leftChars="0"/>
              <w:rPr>
                <w:rFonts w:ascii="Times New Roman" w:hAnsi="Times New Roman"/>
                <w:szCs w:val="21"/>
              </w:rPr>
            </w:pPr>
            <w:permStart w:id="46" w:edGrp="everyone"/>
          </w:p>
        </w:tc>
        <w:tc>
          <w:tcPr>
            <w:tcW w:w="9253" w:type="dxa"/>
            <w:gridSpan w:val="2"/>
            <w:vAlign w:val="center"/>
          </w:tcPr>
          <w:p>
            <w:pPr>
              <w:jc w:val="both"/>
              <w:rPr>
                <w:szCs w:val="21"/>
                <w:lang w:eastAsia="zh-CN"/>
              </w:rPr>
            </w:pPr>
            <w:r>
              <w:rPr>
                <w:rFonts w:hint="eastAsia"/>
                <w:szCs w:val="21"/>
                <w:lang w:val="en-US" w:eastAsia="zh-CN"/>
              </w:rPr>
              <w:t>N/A</w:t>
            </w:r>
          </w:p>
        </w:tc>
      </w:tr>
      <w:permEnd w:id="46"/>
    </w:tbl>
    <w:p>
      <w:pPr>
        <w:rPr>
          <w:szCs w:val="21"/>
          <w:lang w:eastAsia="zh-CN"/>
        </w:rPr>
      </w:pPr>
    </w:p>
    <w:p>
      <w:pPr>
        <w:pStyle w:val="30"/>
        <w:numPr>
          <w:ilvl w:val="0"/>
          <w:numId w:val="4"/>
        </w:numPr>
        <w:spacing w:after="158"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7" w:edGrp="everyone"/>
            <w:permEnd w:id="47"/>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8" w:edGrp="everyone"/>
          </w:p>
        </w:tc>
        <w:tc>
          <w:tcPr>
            <w:tcW w:w="7128" w:type="dxa"/>
            <w:vAlign w:val="center"/>
          </w:tcPr>
          <w:p>
            <w:pPr>
              <w:spacing w:before="158" w:beforeLines="50" w:after="158" w:afterLines="50" w:line="276" w:lineRule="auto"/>
              <w:jc w:val="both"/>
              <w:rPr>
                <w:szCs w:val="21"/>
                <w:lang w:eastAsia="zh-CN"/>
              </w:rPr>
            </w:pPr>
            <w:r>
              <w:rPr>
                <w:szCs w:val="21"/>
                <w:lang w:eastAsia="zh-CN"/>
              </w:rPr>
              <w:t xml:space="preserve"> </w:t>
            </w:r>
            <w:r>
              <w:rPr>
                <w:rFonts w:hint="eastAsia"/>
                <w:szCs w:val="21"/>
                <w:lang w:eastAsia="zh-CN"/>
              </w:rPr>
              <w:t>到厂资料：装箱单、合格证、用户安装/操作/维护手册、备件清单、功能设计说明、不锈钢材质报告。</w:t>
            </w:r>
          </w:p>
        </w:tc>
        <w:tc>
          <w:tcPr>
            <w:tcW w:w="2125" w:type="dxa"/>
            <w:vAlign w:val="center"/>
          </w:tcPr>
          <w:p>
            <w:pPr>
              <w:jc w:val="center"/>
              <w:rPr>
                <w:szCs w:val="21"/>
                <w:lang w:eastAsia="zh-CN"/>
              </w:rPr>
            </w:pPr>
            <w:r>
              <w:rPr>
                <w:rFonts w:hint="eastAsia"/>
                <w:szCs w:val="21"/>
                <w:lang w:val="en-US"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9" w:edGrp="everyone"/>
          </w:p>
        </w:tc>
        <w:tc>
          <w:tcPr>
            <w:tcW w:w="7128" w:type="dxa"/>
            <w:vAlign w:val="center"/>
          </w:tcPr>
          <w:p>
            <w:pPr>
              <w:spacing w:before="158" w:beforeLines="50" w:after="158" w:afterLines="50" w:line="276" w:lineRule="auto"/>
              <w:jc w:val="both"/>
              <w:rPr>
                <w:szCs w:val="21"/>
                <w:lang w:eastAsia="zh-CN"/>
              </w:rPr>
            </w:pPr>
            <w:r>
              <w:rPr>
                <w:rFonts w:hint="eastAsia"/>
                <w:szCs w:val="21"/>
                <w:lang w:eastAsia="zh-CN"/>
              </w:rPr>
              <w:t>校准证书：提供具有相关资质单位出具的检定证书。</w:t>
            </w:r>
          </w:p>
        </w:tc>
        <w:tc>
          <w:tcPr>
            <w:tcW w:w="2125" w:type="dxa"/>
            <w:vAlign w:val="center"/>
          </w:tcPr>
          <w:p>
            <w:pPr>
              <w:jc w:val="center"/>
              <w:rPr>
                <w:szCs w:val="21"/>
                <w:lang w:eastAsia="zh-CN"/>
              </w:rPr>
            </w:pPr>
            <w:r>
              <w:rPr>
                <w:rFonts w:hint="eastAsia"/>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50" w:edGrp="everyone"/>
          </w:p>
        </w:tc>
        <w:tc>
          <w:tcPr>
            <w:tcW w:w="7128" w:type="dxa"/>
            <w:vAlign w:val="center"/>
          </w:tcPr>
          <w:p>
            <w:pPr>
              <w:jc w:val="both"/>
              <w:rPr>
                <w:szCs w:val="21"/>
                <w:lang w:val="en-US" w:eastAsia="zh-CN"/>
              </w:rPr>
            </w:pPr>
            <w:r>
              <w:rPr>
                <w:rFonts w:hint="eastAsia"/>
                <w:szCs w:val="21"/>
                <w:lang w:val="en-US" w:eastAsia="zh-CN"/>
              </w:rPr>
              <w:t>验证文件：应在合同签订后设备发运前交付审核</w:t>
            </w:r>
          </w:p>
          <w:p>
            <w:pPr>
              <w:pStyle w:val="30"/>
              <w:numPr>
                <w:ilvl w:val="0"/>
                <w:numId w:val="14"/>
              </w:numPr>
              <w:ind w:firstLineChars="0"/>
              <w:rPr>
                <w:szCs w:val="21"/>
              </w:rPr>
            </w:pPr>
            <w:r>
              <w:rPr>
                <w:rFonts w:hint="eastAsia"/>
                <w:szCs w:val="21"/>
              </w:rPr>
              <w:t>验证计划</w:t>
            </w:r>
          </w:p>
          <w:p>
            <w:pPr>
              <w:pStyle w:val="30"/>
              <w:numPr>
                <w:ilvl w:val="0"/>
                <w:numId w:val="14"/>
              </w:numPr>
              <w:ind w:firstLineChars="0"/>
              <w:rPr>
                <w:szCs w:val="21"/>
              </w:rPr>
            </w:pPr>
            <w:r>
              <w:rPr>
                <w:rFonts w:hint="eastAsia"/>
                <w:szCs w:val="21"/>
              </w:rPr>
              <w:t>设计确认及文件（</w:t>
            </w:r>
            <w:r>
              <w:rPr>
                <w:szCs w:val="21"/>
              </w:rPr>
              <w:t>DQ</w:t>
            </w:r>
            <w:r>
              <w:rPr>
                <w:rFonts w:hint="eastAsia"/>
                <w:szCs w:val="21"/>
              </w:rPr>
              <w:t>），</w:t>
            </w:r>
          </w:p>
          <w:p>
            <w:pPr>
              <w:pStyle w:val="30"/>
              <w:numPr>
                <w:ilvl w:val="0"/>
                <w:numId w:val="14"/>
              </w:numPr>
              <w:ind w:firstLineChars="0"/>
              <w:rPr>
                <w:szCs w:val="21"/>
              </w:rPr>
            </w:pPr>
            <w:r>
              <w:rPr>
                <w:rFonts w:hint="eastAsia"/>
                <w:szCs w:val="21"/>
              </w:rPr>
              <w:t>安装确认及文件（</w:t>
            </w:r>
            <w:r>
              <w:rPr>
                <w:szCs w:val="21"/>
              </w:rPr>
              <w:t>IQ</w:t>
            </w:r>
            <w:r>
              <w:rPr>
                <w:rFonts w:hint="eastAsia"/>
                <w:szCs w:val="21"/>
              </w:rPr>
              <w:t>）；</w:t>
            </w:r>
          </w:p>
          <w:p>
            <w:pPr>
              <w:pStyle w:val="30"/>
              <w:numPr>
                <w:ilvl w:val="0"/>
                <w:numId w:val="14"/>
              </w:numPr>
              <w:ind w:firstLineChars="0"/>
              <w:rPr>
                <w:szCs w:val="21"/>
              </w:rPr>
            </w:pPr>
            <w:r>
              <w:rPr>
                <w:rFonts w:hint="eastAsia"/>
                <w:szCs w:val="21"/>
              </w:rPr>
              <w:t>运行确认及文件（</w:t>
            </w:r>
            <w:r>
              <w:rPr>
                <w:szCs w:val="21"/>
              </w:rPr>
              <w:t>OQ</w:t>
            </w:r>
            <w:r>
              <w:rPr>
                <w:rFonts w:hint="eastAsia"/>
                <w:szCs w:val="21"/>
              </w:rPr>
              <w:t>）；</w:t>
            </w:r>
          </w:p>
          <w:p>
            <w:pPr>
              <w:pStyle w:val="8"/>
              <w:spacing w:before="158" w:beforeLines="50" w:line="276" w:lineRule="auto"/>
              <w:rPr>
                <w:rFonts w:ascii="宋体" w:hAnsi="宋体" w:cs="宋体"/>
                <w:sz w:val="24"/>
                <w:lang w:eastAsia="zh-CN"/>
              </w:rPr>
            </w:pPr>
            <w:r>
              <w:rPr>
                <w:rFonts w:hint="eastAsia" w:ascii="Times New Roman" w:hAnsi="Times New Roman" w:eastAsia="宋体" w:cs="Times New Roman"/>
                <w:sz w:val="21"/>
                <w:szCs w:val="21"/>
                <w:lang w:val="en-US" w:eastAsia="zh-CN" w:bidi="ar-SA"/>
              </w:rPr>
              <w:t xml:space="preserve">设备生产商负责制定设备验证计划、评估文件、DQ/IQ/OQ验证文件、验证总结报告，并负责验证工作的实施，该验证文件作为设备必备文件。 </w:t>
            </w:r>
          </w:p>
        </w:tc>
        <w:tc>
          <w:tcPr>
            <w:tcW w:w="2125" w:type="dxa"/>
            <w:vAlign w:val="center"/>
          </w:tcPr>
          <w:p>
            <w:pPr>
              <w:jc w:val="center"/>
              <w:rPr>
                <w:szCs w:val="21"/>
                <w:lang w:eastAsia="zh-CN"/>
              </w:rPr>
            </w:pPr>
            <w:r>
              <w:rPr>
                <w:rFonts w:hint="eastAsia"/>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51" w:edGrp="everyone"/>
          </w:p>
        </w:tc>
        <w:tc>
          <w:tcPr>
            <w:tcW w:w="7128" w:type="dxa"/>
            <w:vAlign w:val="center"/>
          </w:tcPr>
          <w:p>
            <w:pPr>
              <w:pStyle w:val="8"/>
              <w:spacing w:line="460" w:lineRule="exact"/>
              <w:rPr>
                <w:rFonts w:ascii="宋体" w:hAnsi="宋体" w:cs="宋体"/>
                <w:sz w:val="24"/>
                <w:lang w:eastAsia="zh-CN"/>
              </w:rPr>
            </w:pPr>
            <w:r>
              <w:rPr>
                <w:rFonts w:hint="eastAsia" w:ascii="Times New Roman" w:hAnsi="Times New Roman" w:eastAsia="宋体" w:cs="Times New Roman"/>
                <w:sz w:val="21"/>
                <w:szCs w:val="21"/>
                <w:lang w:val="en-US" w:eastAsia="zh-CN" w:bidi="ar-SA"/>
              </w:rPr>
              <w:t>所有的文件及报告均能提供电子版及纸质版。</w:t>
            </w:r>
          </w:p>
        </w:tc>
        <w:tc>
          <w:tcPr>
            <w:tcW w:w="2125" w:type="dxa"/>
            <w:vAlign w:val="center"/>
          </w:tcPr>
          <w:p>
            <w:pPr>
              <w:jc w:val="center"/>
              <w:rPr>
                <w:szCs w:val="21"/>
                <w:lang w:eastAsia="zh-CN"/>
              </w:rPr>
            </w:pPr>
            <w:r>
              <w:rPr>
                <w:rFonts w:hint="eastAsia"/>
                <w:szCs w:val="21"/>
                <w:lang w:val="en-US" w:eastAsia="zh-CN"/>
              </w:rPr>
              <w:t>关键</w:t>
            </w:r>
          </w:p>
        </w:tc>
      </w:tr>
      <w:permEnd w:id="51"/>
    </w:tbl>
    <w:p>
      <w:pPr>
        <w:rPr>
          <w:szCs w:val="21"/>
          <w:lang w:eastAsia="zh-CN"/>
        </w:rPr>
      </w:pPr>
    </w:p>
    <w:p>
      <w:pPr>
        <w:pStyle w:val="30"/>
        <w:numPr>
          <w:ilvl w:val="0"/>
          <w:numId w:val="4"/>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52" w:edGrp="everyone"/>
            <w:permEnd w:id="5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53" w:edGrp="everyone"/>
          </w:p>
        </w:tc>
        <w:tc>
          <w:tcPr>
            <w:tcW w:w="7128" w:type="dxa"/>
            <w:vAlign w:val="center"/>
          </w:tcPr>
          <w:p>
            <w:pPr>
              <w:spacing w:before="158" w:beforeLines="50" w:after="158" w:afterLines="50" w:line="276" w:lineRule="auto"/>
              <w:jc w:val="both"/>
              <w:rPr>
                <w:color w:val="0070C0"/>
                <w:szCs w:val="21"/>
                <w:lang w:eastAsia="zh-CN"/>
              </w:rPr>
            </w:pPr>
            <w:r>
              <w:rPr>
                <w:rFonts w:hint="eastAsia"/>
                <w:szCs w:val="21"/>
                <w:lang w:val="en-US" w:eastAsia="zh-CN"/>
              </w:rPr>
              <w:t>供应商工程师应在用户现场对管理、操作、维修等人员免费进行培训，帮助用户相关人员熟练操作及学会日常维护。</w:t>
            </w:r>
          </w:p>
        </w:tc>
        <w:tc>
          <w:tcPr>
            <w:tcW w:w="2125" w:type="dxa"/>
            <w:vAlign w:val="center"/>
          </w:tcPr>
          <w:p>
            <w:pPr>
              <w:jc w:val="center"/>
              <w:rPr>
                <w:szCs w:val="21"/>
                <w:lang w:val="en-US" w:eastAsia="zh-CN"/>
              </w:rPr>
            </w:pPr>
            <w:r>
              <w:rPr>
                <w:rFonts w:hint="eastAsia"/>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5"/>
              </w:numPr>
              <w:ind w:firstLineChars="0"/>
              <w:rPr>
                <w:rFonts w:ascii="Times New Roman" w:hAnsi="Times New Roman"/>
                <w:szCs w:val="21"/>
              </w:rPr>
            </w:pPr>
            <w:permStart w:id="54" w:edGrp="everyone"/>
            <w:permEnd w:id="54"/>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55" w:edGrp="everyone"/>
          </w:p>
        </w:tc>
        <w:tc>
          <w:tcPr>
            <w:tcW w:w="7128" w:type="dxa"/>
            <w:vAlign w:val="center"/>
          </w:tcPr>
          <w:p>
            <w:pPr>
              <w:spacing w:line="276" w:lineRule="auto"/>
              <w:jc w:val="both"/>
              <w:rPr>
                <w:szCs w:val="21"/>
                <w:lang w:eastAsia="zh-CN"/>
              </w:rPr>
            </w:pPr>
            <w:r>
              <w:rPr>
                <w:rFonts w:hint="eastAsia"/>
                <w:szCs w:val="21"/>
                <w:lang w:eastAsia="zh-CN"/>
              </w:rPr>
              <w:t>包装满足运输和装卸要求，防潮湿、防磕碰、防振动，因包装不良造成的损失，卖方承担全部损失和费用。</w:t>
            </w:r>
          </w:p>
        </w:tc>
        <w:tc>
          <w:tcPr>
            <w:tcW w:w="2125" w:type="dxa"/>
            <w:vAlign w:val="center"/>
          </w:tcPr>
          <w:p>
            <w:pPr>
              <w:jc w:val="center"/>
              <w:rPr>
                <w:szCs w:val="21"/>
                <w:lang w:val="en-US" w:eastAsia="zh-CN"/>
              </w:rPr>
            </w:pPr>
            <w:r>
              <w:rPr>
                <w:rFonts w:hint="eastAsia"/>
                <w:szCs w:val="21"/>
                <w:lang w:val="en-US"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56" w:edGrp="everyone"/>
          </w:p>
        </w:tc>
        <w:tc>
          <w:tcPr>
            <w:tcW w:w="7128" w:type="dxa"/>
            <w:vAlign w:val="center"/>
          </w:tcPr>
          <w:p>
            <w:pPr>
              <w:spacing w:line="276" w:lineRule="auto"/>
              <w:jc w:val="both"/>
              <w:rPr>
                <w:rFonts w:ascii="Times New Roman" w:hAnsi="Times New Roman" w:eastAsia="宋体" w:cs="Times New Roman"/>
                <w:color w:val="0070C0"/>
                <w:sz w:val="21"/>
                <w:lang w:val="en-US" w:eastAsia="zh-CN" w:bidi="ar-SA"/>
              </w:rPr>
            </w:pPr>
            <w:r>
              <w:rPr>
                <w:rFonts w:hint="eastAsia"/>
                <w:szCs w:val="21"/>
                <w:lang w:eastAsia="zh-CN"/>
              </w:rPr>
              <w:t>运输时间包含在供货周期内，供方负责运输。</w:t>
            </w:r>
          </w:p>
        </w:tc>
        <w:tc>
          <w:tcPr>
            <w:tcW w:w="2125" w:type="dxa"/>
            <w:vAlign w:val="center"/>
          </w:tcPr>
          <w:p>
            <w:pPr>
              <w:jc w:val="center"/>
              <w:rPr>
                <w:rFonts w:hint="eastAsia"/>
                <w:szCs w:val="21"/>
                <w:lang w:val="en-US" w:eastAsia="zh-CN"/>
              </w:rPr>
            </w:pPr>
            <w:r>
              <w:rPr>
                <w:rFonts w:hint="eastAsia"/>
                <w:szCs w:val="21"/>
                <w:lang w:val="en-US"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57" w:edGrp="everyone"/>
          </w:p>
        </w:tc>
        <w:tc>
          <w:tcPr>
            <w:tcW w:w="7128" w:type="dxa"/>
            <w:vAlign w:val="center"/>
          </w:tcPr>
          <w:p>
            <w:pPr>
              <w:spacing w:line="276" w:lineRule="auto"/>
              <w:jc w:val="both"/>
              <w:rPr>
                <w:rFonts w:ascii="Times New Roman" w:hAnsi="Times New Roman" w:eastAsia="宋体" w:cs="Times New Roman"/>
                <w:color w:val="0070C0"/>
                <w:sz w:val="21"/>
                <w:lang w:eastAsia="zh-CN" w:bidi="ar-SA"/>
              </w:rPr>
            </w:pPr>
            <w:r>
              <w:rPr>
                <w:rFonts w:hint="eastAsia"/>
                <w:szCs w:val="21"/>
                <w:lang w:eastAsia="zh-CN"/>
              </w:rPr>
              <w:t>电子秤到货清单必须详列每装箱内容物。</w:t>
            </w:r>
          </w:p>
        </w:tc>
        <w:tc>
          <w:tcPr>
            <w:tcW w:w="2125" w:type="dxa"/>
            <w:vAlign w:val="center"/>
          </w:tcPr>
          <w:p>
            <w:pPr>
              <w:jc w:val="center"/>
              <w:rPr>
                <w:rFonts w:hint="eastAsia"/>
                <w:szCs w:val="21"/>
                <w:lang w:val="en-US" w:eastAsia="zh-CN"/>
              </w:rPr>
            </w:pPr>
            <w:r>
              <w:rPr>
                <w:rFonts w:hint="eastAsia"/>
                <w:szCs w:val="21"/>
                <w:lang w:val="en-US"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58" w:edGrp="everyone"/>
          </w:p>
        </w:tc>
        <w:tc>
          <w:tcPr>
            <w:tcW w:w="7128" w:type="dxa"/>
            <w:vAlign w:val="center"/>
          </w:tcPr>
          <w:p>
            <w:pPr>
              <w:spacing w:line="276" w:lineRule="auto"/>
              <w:jc w:val="both"/>
              <w:rPr>
                <w:lang w:eastAsia="zh-CN"/>
              </w:rPr>
            </w:pPr>
            <w:r>
              <w:rPr>
                <w:rFonts w:hint="eastAsia"/>
                <w:szCs w:val="21"/>
                <w:lang w:eastAsia="zh-CN"/>
              </w:rPr>
              <w:t>厂家包装箱需标示重量提醒及运输过程中的注意事项。</w:t>
            </w:r>
          </w:p>
        </w:tc>
        <w:tc>
          <w:tcPr>
            <w:tcW w:w="2125" w:type="dxa"/>
            <w:vAlign w:val="center"/>
          </w:tcPr>
          <w:p>
            <w:pPr>
              <w:jc w:val="center"/>
              <w:rPr>
                <w:rFonts w:hint="eastAsia"/>
                <w:szCs w:val="21"/>
                <w:lang w:val="en-US" w:eastAsia="zh-CN"/>
              </w:rPr>
            </w:pPr>
            <w:r>
              <w:rPr>
                <w:rFonts w:hint="eastAsia"/>
                <w:szCs w:val="21"/>
                <w:lang w:val="en-US"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59" w:edGrp="everyone"/>
          </w:p>
        </w:tc>
        <w:tc>
          <w:tcPr>
            <w:tcW w:w="7128" w:type="dxa"/>
            <w:vAlign w:val="center"/>
          </w:tcPr>
          <w:p>
            <w:pPr>
              <w:spacing w:before="158" w:beforeLines="50" w:after="158" w:afterLines="50" w:line="276" w:lineRule="auto"/>
              <w:jc w:val="both"/>
              <w:rPr>
                <w:i/>
                <w:szCs w:val="21"/>
                <w:lang w:eastAsia="zh-CN"/>
              </w:rPr>
            </w:pPr>
            <w:r>
              <w:rPr>
                <w:rFonts w:hint="eastAsia"/>
                <w:szCs w:val="21"/>
                <w:lang w:val="en-US" w:eastAsia="zh-CN"/>
              </w:rPr>
              <w:t>验证包括验证计划、DQ、IQ、OQ文件与服务，供应商必须派出具备该类系统验证经验，且熟悉验证相关文件编写及验证工作实施的验证工程师开展验证工作。供应商协助完成PQ。</w:t>
            </w:r>
          </w:p>
        </w:tc>
        <w:tc>
          <w:tcPr>
            <w:tcW w:w="2125" w:type="dxa"/>
            <w:vAlign w:val="center"/>
          </w:tcPr>
          <w:p>
            <w:pPr>
              <w:jc w:val="center"/>
              <w:rPr>
                <w:szCs w:val="21"/>
                <w:lang w:eastAsia="zh-CN"/>
              </w:rPr>
            </w:pPr>
            <w:r>
              <w:rPr>
                <w:rFonts w:hint="eastAsia"/>
                <w:szCs w:val="21"/>
                <w:lang w:val="en-US" w:eastAsia="zh-CN"/>
              </w:rPr>
              <w:t>关键</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60" w:edGrp="everyone"/>
          </w:p>
        </w:tc>
        <w:tc>
          <w:tcPr>
            <w:tcW w:w="7128" w:type="dxa"/>
            <w:vAlign w:val="center"/>
          </w:tcPr>
          <w:p>
            <w:pPr>
              <w:spacing w:before="158" w:beforeLines="50" w:after="158" w:afterLines="50" w:line="276" w:lineRule="auto"/>
              <w:jc w:val="both"/>
              <w:rPr>
                <w:rFonts w:ascii="宋体" w:hAnsi="宋体"/>
                <w:color w:val="000000"/>
                <w:sz w:val="24"/>
                <w:lang w:eastAsia="zh-CN"/>
              </w:rPr>
            </w:pPr>
            <w:r>
              <w:rPr>
                <w:szCs w:val="21"/>
                <w:lang w:eastAsia="zh-CN"/>
              </w:rPr>
              <w:t>投</w:t>
            </w:r>
            <w:r>
              <w:rPr>
                <w:rFonts w:hint="eastAsia" w:ascii="宋体" w:hAnsi="宋体" w:cs="宋体"/>
                <w:szCs w:val="21"/>
                <w:lang w:eastAsia="zh-CN"/>
              </w:rPr>
              <w:t>投标方按</w:t>
            </w:r>
            <w:r>
              <w:rPr>
                <w:rFonts w:ascii="宋体" w:hAnsi="宋体" w:cs="宋体"/>
                <w:szCs w:val="21"/>
                <w:lang w:eastAsia="zh-CN"/>
              </w:rPr>
              <w:t>GMP</w:t>
            </w:r>
            <w:r>
              <w:rPr>
                <w:rFonts w:hint="eastAsia" w:ascii="宋体" w:hAnsi="宋体" w:cs="宋体"/>
                <w:szCs w:val="21"/>
                <w:lang w:eastAsia="zh-CN"/>
              </w:rPr>
              <w:t>规范完成所有验证工作，</w:t>
            </w:r>
            <w:r>
              <w:rPr>
                <w:rFonts w:hint="eastAsia" w:ascii="宋体" w:hAnsi="宋体"/>
                <w:szCs w:val="21"/>
                <w:lang w:eastAsia="zh-CN"/>
              </w:rPr>
              <w:t>各验证工作开始前验证方案需经过本公司相关部门审核，并经质量保证部批准。</w:t>
            </w:r>
          </w:p>
        </w:tc>
        <w:tc>
          <w:tcPr>
            <w:tcW w:w="2125" w:type="dxa"/>
            <w:vAlign w:val="center"/>
          </w:tcPr>
          <w:p>
            <w:pPr>
              <w:jc w:val="center"/>
              <w:rPr>
                <w:szCs w:val="21"/>
                <w:lang w:eastAsia="zh-CN"/>
              </w:rPr>
            </w:pPr>
            <w:r>
              <w:rPr>
                <w:rFonts w:hint="eastAsia"/>
                <w:szCs w:val="21"/>
                <w:lang w:val="en-US" w:eastAsia="zh-CN"/>
              </w:rPr>
              <w:t>关键</w:t>
            </w:r>
          </w:p>
        </w:tc>
      </w:tr>
      <w:permEnd w:id="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61" w:edGrp="everyone"/>
          </w:p>
        </w:tc>
        <w:tc>
          <w:tcPr>
            <w:tcW w:w="7128" w:type="dxa"/>
            <w:vAlign w:val="center"/>
          </w:tcPr>
          <w:p>
            <w:pPr>
              <w:spacing w:line="276" w:lineRule="auto"/>
              <w:jc w:val="both"/>
              <w:rPr>
                <w:rFonts w:ascii="宋体" w:hAnsi="宋体"/>
                <w:color w:val="000000"/>
                <w:sz w:val="24"/>
                <w:lang w:eastAsia="zh-CN"/>
              </w:rPr>
            </w:pPr>
            <w:r>
              <w:rPr>
                <w:rFonts w:hint="eastAsia"/>
                <w:lang w:eastAsia="zh-CN"/>
              </w:rPr>
              <w:t>验证工作应按时保质完成，供应商需提供验证工作计划表验证工作应按时保质完成，供应商需提供验证工作计划表</w:t>
            </w:r>
          </w:p>
        </w:tc>
        <w:tc>
          <w:tcPr>
            <w:tcW w:w="2125" w:type="dxa"/>
            <w:vAlign w:val="center"/>
          </w:tcPr>
          <w:p>
            <w:pPr>
              <w:jc w:val="center"/>
              <w:rPr>
                <w:szCs w:val="21"/>
                <w:lang w:eastAsia="zh-CN"/>
              </w:rPr>
            </w:pPr>
            <w:r>
              <w:rPr>
                <w:rFonts w:hint="eastAsia"/>
                <w:szCs w:val="21"/>
                <w:lang w:val="en-US" w:eastAsia="zh-CN"/>
              </w:rPr>
              <w:t>关键</w:t>
            </w:r>
          </w:p>
        </w:tc>
      </w:tr>
      <w:perm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62" w:edGrp="everyone"/>
          </w:p>
        </w:tc>
        <w:tc>
          <w:tcPr>
            <w:tcW w:w="7128" w:type="dxa"/>
            <w:vAlign w:val="center"/>
          </w:tcPr>
          <w:p>
            <w:pPr>
              <w:spacing w:line="276" w:lineRule="auto"/>
              <w:jc w:val="both"/>
              <w:rPr>
                <w:szCs w:val="21"/>
                <w:lang w:eastAsia="zh-CN"/>
              </w:rPr>
            </w:pPr>
            <w:r>
              <w:rPr>
                <w:rFonts w:hint="eastAsia"/>
                <w:lang w:eastAsia="zh-CN"/>
              </w:rPr>
              <w:t>验证项目应包含法规要求的测试项目，以及本公司提出的测试项目</w:t>
            </w:r>
          </w:p>
        </w:tc>
        <w:tc>
          <w:tcPr>
            <w:tcW w:w="2125" w:type="dxa"/>
            <w:vAlign w:val="center"/>
          </w:tcPr>
          <w:p>
            <w:pPr>
              <w:jc w:val="center"/>
              <w:rPr>
                <w:szCs w:val="21"/>
                <w:lang w:eastAsia="zh-CN"/>
              </w:rPr>
            </w:pPr>
            <w:r>
              <w:rPr>
                <w:rFonts w:hint="eastAsia"/>
                <w:szCs w:val="21"/>
                <w:lang w:val="en-US" w:eastAsia="zh-CN"/>
              </w:rPr>
              <w:t>关键</w:t>
            </w:r>
          </w:p>
        </w:tc>
      </w:tr>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63" w:edGrp="everyone"/>
          </w:p>
        </w:tc>
        <w:tc>
          <w:tcPr>
            <w:tcW w:w="7128" w:type="dxa"/>
            <w:vAlign w:val="center"/>
          </w:tcPr>
          <w:p>
            <w:pPr>
              <w:spacing w:before="158" w:beforeLines="50" w:after="158" w:afterLines="50" w:line="276" w:lineRule="auto"/>
              <w:jc w:val="both"/>
              <w:rPr>
                <w:rFonts w:ascii="宋体" w:hAnsi="宋体"/>
                <w:color w:val="000000"/>
                <w:sz w:val="24"/>
                <w:lang w:eastAsia="zh-CN"/>
              </w:rPr>
            </w:pPr>
            <w:r>
              <w:rPr>
                <w:rFonts w:hint="eastAsia" w:ascii="宋体" w:hAnsi="宋体"/>
                <w:color w:val="000000"/>
                <w:szCs w:val="21"/>
                <w:lang w:eastAsia="zh-CN"/>
              </w:rPr>
              <w:t>验证工作完成后，验证记录经本公司相关部门审核，并经质量保证部批准。</w:t>
            </w:r>
          </w:p>
        </w:tc>
        <w:tc>
          <w:tcPr>
            <w:tcW w:w="2125" w:type="dxa"/>
            <w:vAlign w:val="center"/>
          </w:tcPr>
          <w:p>
            <w:pPr>
              <w:jc w:val="center"/>
              <w:rPr>
                <w:szCs w:val="21"/>
                <w:lang w:eastAsia="zh-CN"/>
              </w:rPr>
            </w:pPr>
            <w:r>
              <w:rPr>
                <w:rFonts w:hint="eastAsia"/>
                <w:szCs w:val="21"/>
                <w:lang w:val="en-US" w:eastAsia="zh-CN"/>
              </w:rPr>
              <w:t>关键</w:t>
            </w:r>
          </w:p>
        </w:tc>
      </w:tr>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64" w:edGrp="everyone"/>
          </w:p>
        </w:tc>
        <w:tc>
          <w:tcPr>
            <w:tcW w:w="7128" w:type="dxa"/>
            <w:vAlign w:val="center"/>
          </w:tcPr>
          <w:p>
            <w:pPr>
              <w:pStyle w:val="8"/>
              <w:spacing w:before="158" w:beforeLines="50" w:line="276" w:lineRule="auto"/>
              <w:rPr>
                <w:rFonts w:ascii="宋体" w:hAnsi="宋体"/>
                <w:color w:val="000000"/>
                <w:sz w:val="24"/>
                <w:lang w:eastAsia="zh-CN"/>
              </w:rPr>
            </w:pPr>
            <w:r>
              <w:rPr>
                <w:rFonts w:hint="eastAsia" w:ascii="宋体" w:hAnsi="宋体"/>
                <w:color w:val="000000"/>
                <w:sz w:val="21"/>
                <w:szCs w:val="21"/>
                <w:lang w:eastAsia="zh-CN"/>
              </w:rPr>
              <w:t>验收前，验证工作已成功完成，验证最终报告已经本公司相关部门审核，并经质量保证部批准。</w:t>
            </w:r>
          </w:p>
        </w:tc>
        <w:tc>
          <w:tcPr>
            <w:tcW w:w="2125" w:type="dxa"/>
            <w:vAlign w:val="center"/>
          </w:tcPr>
          <w:p>
            <w:pPr>
              <w:jc w:val="center"/>
              <w:rPr>
                <w:szCs w:val="21"/>
                <w:lang w:eastAsia="zh-CN"/>
              </w:rPr>
            </w:pPr>
            <w:r>
              <w:rPr>
                <w:rFonts w:hint="eastAsia"/>
                <w:szCs w:val="21"/>
                <w:lang w:val="en-US" w:eastAsia="zh-CN"/>
              </w:rPr>
              <w:t>关键</w:t>
            </w:r>
          </w:p>
        </w:tc>
      </w:tr>
      <w:permEnd w:id="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65" w:edGrp="everyone"/>
          </w:p>
        </w:tc>
        <w:tc>
          <w:tcPr>
            <w:tcW w:w="7128" w:type="dxa"/>
            <w:vAlign w:val="center"/>
          </w:tcPr>
          <w:p>
            <w:pPr>
              <w:spacing w:line="276" w:lineRule="auto"/>
              <w:jc w:val="both"/>
              <w:rPr>
                <w:szCs w:val="21"/>
                <w:lang w:eastAsia="zh-CN"/>
              </w:rPr>
            </w:pPr>
            <w:r>
              <w:rPr>
                <w:rFonts w:hint="eastAsia" w:ascii="宋体" w:hAnsi="宋体"/>
                <w:szCs w:val="21"/>
                <w:lang w:eastAsia="zh-CN"/>
              </w:rPr>
              <w:t>设备保质期从签订验收报告后开始计算。</w:t>
            </w:r>
          </w:p>
        </w:tc>
        <w:tc>
          <w:tcPr>
            <w:tcW w:w="2125" w:type="dxa"/>
            <w:vAlign w:val="center"/>
          </w:tcPr>
          <w:p>
            <w:pPr>
              <w:jc w:val="center"/>
              <w:rPr>
                <w:szCs w:val="21"/>
                <w:lang w:eastAsia="zh-CN"/>
              </w:rPr>
            </w:pPr>
            <w:r>
              <w:rPr>
                <w:rFonts w:hint="eastAsia"/>
                <w:szCs w:val="21"/>
                <w:lang w:val="en-US" w:eastAsia="zh-CN"/>
              </w:rPr>
              <w:t>关键</w:t>
            </w:r>
          </w:p>
        </w:tc>
      </w:tr>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66" w:edGrp="everyone"/>
          </w:p>
        </w:tc>
        <w:tc>
          <w:tcPr>
            <w:tcW w:w="7128" w:type="dxa"/>
            <w:vAlign w:val="center"/>
          </w:tcPr>
          <w:p>
            <w:pPr>
              <w:pStyle w:val="8"/>
              <w:spacing w:before="158" w:beforeLines="50" w:line="276" w:lineRule="auto"/>
              <w:rPr>
                <w:szCs w:val="21"/>
                <w:lang w:eastAsia="zh-CN"/>
              </w:rPr>
            </w:pPr>
            <w:r>
              <w:rPr>
                <w:rFonts w:hint="eastAsia" w:ascii="宋体" w:hAnsi="宋体"/>
                <w:sz w:val="21"/>
                <w:szCs w:val="21"/>
                <w:lang w:eastAsia="zh-CN"/>
              </w:rPr>
              <w:t>设备质保期为不低于一年，质保期内免费保修，质保期后应提供良好的售后服务。</w:t>
            </w:r>
          </w:p>
        </w:tc>
        <w:tc>
          <w:tcPr>
            <w:tcW w:w="2125" w:type="dxa"/>
            <w:vAlign w:val="center"/>
          </w:tcPr>
          <w:p>
            <w:pPr>
              <w:jc w:val="center"/>
              <w:rPr>
                <w:szCs w:val="21"/>
                <w:lang w:eastAsia="zh-CN"/>
              </w:rPr>
            </w:pPr>
            <w:r>
              <w:rPr>
                <w:rFonts w:hint="eastAsia"/>
                <w:szCs w:val="21"/>
                <w:lang w:val="en-US" w:eastAsia="zh-CN"/>
              </w:rPr>
              <w:t>关键</w:t>
            </w:r>
          </w:p>
        </w:tc>
      </w:tr>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67" w:edGrp="everyone"/>
          </w:p>
        </w:tc>
        <w:tc>
          <w:tcPr>
            <w:tcW w:w="7128" w:type="dxa"/>
            <w:vAlign w:val="center"/>
          </w:tcPr>
          <w:p>
            <w:pPr>
              <w:pStyle w:val="8"/>
              <w:spacing w:before="158" w:beforeLines="50" w:line="276" w:lineRule="auto"/>
              <w:rPr>
                <w:szCs w:val="21"/>
                <w:lang w:eastAsia="zh-CN"/>
              </w:rPr>
            </w:pPr>
            <w:r>
              <w:rPr>
                <w:sz w:val="21"/>
                <w:szCs w:val="21"/>
                <w:lang w:eastAsia="zh-CN"/>
              </w:rPr>
              <w:t>售后服务必须响应及时，设备出现需厂家维修的故障后，厂家应在4小时内明确答复，当电话沟通无法解决时，须24小时内派人至现场解决。</w:t>
            </w:r>
          </w:p>
        </w:tc>
        <w:tc>
          <w:tcPr>
            <w:tcW w:w="2125" w:type="dxa"/>
            <w:vAlign w:val="center"/>
          </w:tcPr>
          <w:p>
            <w:pPr>
              <w:jc w:val="center"/>
              <w:rPr>
                <w:szCs w:val="21"/>
                <w:lang w:eastAsia="zh-CN"/>
              </w:rPr>
            </w:pPr>
            <w:r>
              <w:rPr>
                <w:rFonts w:hint="eastAsia"/>
                <w:szCs w:val="21"/>
                <w:lang w:val="en-US" w:eastAsia="zh-CN"/>
              </w:rPr>
              <w:t>关键</w:t>
            </w:r>
          </w:p>
        </w:tc>
      </w:tr>
      <w:perm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68" w:edGrp="everyone"/>
          </w:p>
        </w:tc>
        <w:tc>
          <w:tcPr>
            <w:tcW w:w="7128" w:type="dxa"/>
            <w:vAlign w:val="center"/>
          </w:tcPr>
          <w:p>
            <w:pPr>
              <w:spacing w:before="158" w:beforeLines="50" w:after="158" w:afterLines="50" w:line="276" w:lineRule="auto"/>
              <w:jc w:val="both"/>
              <w:rPr>
                <w:szCs w:val="21"/>
                <w:lang w:eastAsia="zh-CN"/>
              </w:rPr>
            </w:pPr>
            <w:r>
              <w:rPr>
                <w:rFonts w:hint="eastAsia" w:ascii="Arial" w:hAnsi="Arial" w:cs="Arial"/>
                <w:spacing w:val="6"/>
                <w:szCs w:val="21"/>
                <w:lang w:eastAsia="zh-CN"/>
              </w:rPr>
              <w:t>厂家需在国内配备有具有认证资质的工程师提供设备安装、调整、验证、培训及维修等收到服务，不得委托第三方工程师提供服务。</w:t>
            </w:r>
          </w:p>
        </w:tc>
        <w:tc>
          <w:tcPr>
            <w:tcW w:w="2125" w:type="dxa"/>
            <w:vAlign w:val="center"/>
          </w:tcPr>
          <w:p>
            <w:pPr>
              <w:jc w:val="center"/>
              <w:rPr>
                <w:szCs w:val="21"/>
                <w:lang w:eastAsia="zh-CN"/>
              </w:rPr>
            </w:pPr>
            <w:r>
              <w:rPr>
                <w:rFonts w:hint="eastAsia"/>
                <w:szCs w:val="21"/>
                <w:lang w:val="en-US" w:eastAsia="zh-CN"/>
              </w:rPr>
              <w:t>关键</w:t>
            </w:r>
          </w:p>
        </w:tc>
      </w:tr>
      <w:perm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69" w:edGrp="everyone"/>
          </w:p>
        </w:tc>
        <w:tc>
          <w:tcPr>
            <w:tcW w:w="7128" w:type="dxa"/>
            <w:vAlign w:val="center"/>
          </w:tcPr>
          <w:p>
            <w:pPr>
              <w:spacing w:before="158" w:beforeLines="50" w:after="158" w:afterLines="50" w:line="276" w:lineRule="auto"/>
              <w:jc w:val="both"/>
              <w:rPr>
                <w:szCs w:val="21"/>
                <w:lang w:eastAsia="zh-CN"/>
              </w:rPr>
            </w:pPr>
            <w:r>
              <w:rPr>
                <w:rFonts w:hint="eastAsia" w:ascii="宋体" w:hAnsi="宋体"/>
                <w:szCs w:val="21"/>
                <w:lang w:eastAsia="zh-CN"/>
              </w:rPr>
              <w:t>质保期后，厂家应终生提供及时的维修、维护，厂家应定期回访，解决设备运行当中可能出现的疑问，排除潜在故障，使设备保持良好工作状态。</w:t>
            </w:r>
          </w:p>
        </w:tc>
        <w:tc>
          <w:tcPr>
            <w:tcW w:w="2125" w:type="dxa"/>
            <w:vAlign w:val="center"/>
          </w:tcPr>
          <w:p>
            <w:pPr>
              <w:jc w:val="center"/>
              <w:rPr>
                <w:szCs w:val="21"/>
                <w:lang w:eastAsia="zh-CN"/>
              </w:rPr>
            </w:pPr>
            <w:r>
              <w:rPr>
                <w:rFonts w:hint="eastAsia"/>
                <w:szCs w:val="21"/>
                <w:lang w:val="en-US" w:eastAsia="zh-CN"/>
              </w:rPr>
              <w:t>关键</w:t>
            </w:r>
          </w:p>
        </w:tc>
      </w:tr>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70" w:edGrp="everyone"/>
          </w:p>
        </w:tc>
        <w:tc>
          <w:tcPr>
            <w:tcW w:w="7128" w:type="dxa"/>
            <w:vAlign w:val="center"/>
          </w:tcPr>
          <w:p>
            <w:pPr>
              <w:spacing w:line="276" w:lineRule="auto"/>
              <w:jc w:val="both"/>
              <w:rPr>
                <w:rFonts w:ascii="宋体" w:hAnsi="宋体"/>
                <w:sz w:val="24"/>
                <w:lang w:eastAsia="zh-CN"/>
              </w:rPr>
            </w:pPr>
            <w:r>
              <w:rPr>
                <w:rFonts w:hint="eastAsia" w:ascii="宋体" w:hAnsi="宋体"/>
                <w:color w:val="000000"/>
                <w:szCs w:val="21"/>
                <w:lang w:eastAsia="zh-CN"/>
              </w:rPr>
              <w:t>厂家应及时提供合格的备件，用于设备相应部件的维修、更换。</w:t>
            </w:r>
          </w:p>
        </w:tc>
        <w:tc>
          <w:tcPr>
            <w:tcW w:w="2125" w:type="dxa"/>
            <w:vAlign w:val="center"/>
          </w:tcPr>
          <w:p>
            <w:pPr>
              <w:jc w:val="center"/>
              <w:rPr>
                <w:szCs w:val="21"/>
                <w:lang w:eastAsia="zh-CN"/>
              </w:rPr>
            </w:pPr>
            <w:r>
              <w:rPr>
                <w:rFonts w:hint="eastAsia"/>
                <w:szCs w:val="21"/>
                <w:lang w:val="en-US" w:eastAsia="zh-CN"/>
              </w:rPr>
              <w:t>关键</w:t>
            </w:r>
          </w:p>
        </w:tc>
      </w:tr>
      <w:perm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71" w:edGrp="everyone"/>
          </w:p>
        </w:tc>
        <w:tc>
          <w:tcPr>
            <w:tcW w:w="7128" w:type="dxa"/>
            <w:vAlign w:val="center"/>
          </w:tcPr>
          <w:p>
            <w:pPr>
              <w:tabs>
                <w:tab w:val="center" w:pos="4153"/>
                <w:tab w:val="right" w:pos="8306"/>
              </w:tabs>
              <w:snapToGrid w:val="0"/>
              <w:spacing w:line="320" w:lineRule="exact"/>
              <w:rPr>
                <w:szCs w:val="21"/>
                <w:lang w:eastAsia="zh-CN"/>
              </w:rPr>
            </w:pPr>
            <w:r>
              <w:rPr>
                <w:rFonts w:hint="eastAsia" w:ascii="宋体" w:hAnsi="宋体"/>
                <w:bCs/>
                <w:color w:val="000000"/>
                <w:szCs w:val="21"/>
                <w:lang w:eastAsia="zh-CN"/>
              </w:rPr>
              <w:t>到货</w:t>
            </w:r>
            <w:r>
              <w:rPr>
                <w:rFonts w:ascii="宋体" w:hAnsi="宋体"/>
                <w:bCs/>
                <w:color w:val="000000"/>
                <w:szCs w:val="21"/>
                <w:lang w:eastAsia="zh-CN"/>
              </w:rPr>
              <w:t>拆箱</w:t>
            </w:r>
            <w:r>
              <w:rPr>
                <w:rFonts w:hint="eastAsia" w:ascii="宋体" w:hAnsi="宋体"/>
                <w:bCs/>
                <w:color w:val="000000"/>
                <w:szCs w:val="21"/>
                <w:lang w:eastAsia="zh-CN"/>
              </w:rPr>
              <w:t>：电子秤</w:t>
            </w:r>
            <w:r>
              <w:rPr>
                <w:rFonts w:ascii="宋体" w:hAnsi="宋体"/>
                <w:bCs/>
                <w:color w:val="000000"/>
                <w:szCs w:val="21"/>
                <w:lang w:eastAsia="zh-CN"/>
              </w:rPr>
              <w:t>到货拆箱时供应商必须陪同现场人员进行拆箱</w:t>
            </w:r>
            <w:r>
              <w:rPr>
                <w:rFonts w:hint="eastAsia" w:ascii="宋体" w:hAnsi="宋体"/>
                <w:bCs/>
                <w:color w:val="000000"/>
                <w:szCs w:val="21"/>
                <w:lang w:eastAsia="zh-CN"/>
              </w:rPr>
              <w:t>，</w:t>
            </w:r>
            <w:r>
              <w:rPr>
                <w:rFonts w:ascii="宋体" w:hAnsi="宋体"/>
                <w:bCs/>
                <w:color w:val="000000"/>
                <w:szCs w:val="21"/>
                <w:lang w:eastAsia="zh-CN"/>
              </w:rPr>
              <w:t>如供应商授权我方自行拆箱</w:t>
            </w:r>
            <w:r>
              <w:rPr>
                <w:rFonts w:hint="eastAsia" w:ascii="宋体" w:hAnsi="宋体"/>
                <w:bCs/>
                <w:color w:val="000000"/>
                <w:szCs w:val="21"/>
                <w:lang w:eastAsia="zh-CN"/>
              </w:rPr>
              <w:t>，</w:t>
            </w:r>
            <w:r>
              <w:rPr>
                <w:rFonts w:ascii="宋体" w:hAnsi="宋体"/>
                <w:bCs/>
                <w:color w:val="000000"/>
                <w:szCs w:val="21"/>
                <w:lang w:eastAsia="zh-CN"/>
              </w:rPr>
              <w:t>拆箱后如发现设备及其附件有任何损坏、缺少，供应商应负全责</w:t>
            </w:r>
            <w:r>
              <w:rPr>
                <w:rFonts w:hint="eastAsia" w:ascii="宋体" w:hAnsi="宋体"/>
                <w:bCs/>
                <w:color w:val="000000"/>
                <w:szCs w:val="21"/>
                <w:lang w:eastAsia="zh-CN"/>
              </w:rPr>
              <w:t>，</w:t>
            </w:r>
            <w:r>
              <w:rPr>
                <w:rFonts w:ascii="宋体" w:hAnsi="宋体"/>
                <w:bCs/>
                <w:color w:val="000000"/>
                <w:szCs w:val="21"/>
                <w:lang w:eastAsia="zh-CN"/>
              </w:rPr>
              <w:t>不得推诿</w:t>
            </w:r>
            <w:r>
              <w:rPr>
                <w:rFonts w:hint="eastAsia" w:ascii="宋体" w:hAnsi="宋体"/>
                <w:bCs/>
                <w:color w:val="000000"/>
                <w:szCs w:val="21"/>
                <w:lang w:eastAsia="zh-CN"/>
              </w:rPr>
              <w:t>。</w:t>
            </w:r>
          </w:p>
        </w:tc>
        <w:tc>
          <w:tcPr>
            <w:tcW w:w="2125" w:type="dxa"/>
            <w:vAlign w:val="center"/>
          </w:tcPr>
          <w:p>
            <w:pPr>
              <w:jc w:val="center"/>
              <w:rPr>
                <w:szCs w:val="21"/>
                <w:lang w:eastAsia="zh-CN"/>
              </w:rPr>
            </w:pPr>
            <w:r>
              <w:rPr>
                <w:rFonts w:hint="eastAsia"/>
                <w:szCs w:val="21"/>
                <w:lang w:val="en-US" w:eastAsia="zh-CN"/>
              </w:rPr>
              <w:t>关键</w:t>
            </w:r>
          </w:p>
        </w:tc>
      </w:tr>
      <w:perm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72" w:edGrp="everyone"/>
          </w:p>
        </w:tc>
        <w:tc>
          <w:tcPr>
            <w:tcW w:w="7128" w:type="dxa"/>
            <w:vAlign w:val="center"/>
          </w:tcPr>
          <w:p>
            <w:pPr>
              <w:spacing w:line="276" w:lineRule="auto"/>
              <w:jc w:val="both"/>
              <w:rPr>
                <w:rFonts w:ascii="宋体" w:hAnsi="宋体"/>
                <w:sz w:val="24"/>
                <w:lang w:eastAsia="zh-CN"/>
              </w:rPr>
            </w:pPr>
            <w:r>
              <w:rPr>
                <w:rFonts w:hint="eastAsia" w:ascii="宋体" w:hAnsi="宋体"/>
                <w:bCs/>
                <w:color w:val="000000"/>
                <w:szCs w:val="21"/>
                <w:lang w:eastAsia="zh-CN"/>
              </w:rPr>
              <w:t>现场安装：</w:t>
            </w:r>
            <w:r>
              <w:rPr>
                <w:rFonts w:ascii="宋体" w:hAnsi="宋体"/>
                <w:bCs/>
                <w:color w:val="000000"/>
                <w:szCs w:val="21"/>
                <w:lang w:eastAsia="zh-CN"/>
              </w:rPr>
              <w:t>供应商负责</w:t>
            </w:r>
            <w:r>
              <w:rPr>
                <w:rFonts w:hint="eastAsia" w:ascii="宋体" w:hAnsi="宋体"/>
                <w:bCs/>
                <w:color w:val="000000"/>
                <w:szCs w:val="21"/>
                <w:lang w:eastAsia="zh-CN"/>
              </w:rPr>
              <w:t>现场安装调试。</w:t>
            </w:r>
          </w:p>
        </w:tc>
        <w:tc>
          <w:tcPr>
            <w:tcW w:w="2125" w:type="dxa"/>
            <w:vAlign w:val="center"/>
          </w:tcPr>
          <w:p>
            <w:pPr>
              <w:jc w:val="center"/>
              <w:rPr>
                <w:szCs w:val="21"/>
                <w:lang w:eastAsia="zh-CN"/>
              </w:rPr>
            </w:pPr>
            <w:r>
              <w:rPr>
                <w:rFonts w:hint="eastAsia"/>
                <w:szCs w:val="21"/>
                <w:lang w:val="en-US" w:eastAsia="zh-CN"/>
              </w:rPr>
              <w:t>关键</w:t>
            </w:r>
          </w:p>
        </w:tc>
      </w:tr>
      <w:perm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73" w:edGrp="everyone"/>
          </w:p>
        </w:tc>
        <w:tc>
          <w:tcPr>
            <w:tcW w:w="7128" w:type="dxa"/>
            <w:vAlign w:val="center"/>
          </w:tcPr>
          <w:p>
            <w:pPr>
              <w:spacing w:line="276" w:lineRule="auto"/>
              <w:jc w:val="both"/>
              <w:rPr>
                <w:szCs w:val="21"/>
                <w:lang w:eastAsia="zh-CN"/>
              </w:rPr>
            </w:pPr>
            <w:r>
              <w:rPr>
                <w:rFonts w:hint="eastAsia" w:ascii="宋体" w:hAnsi="宋体"/>
                <w:bCs/>
                <w:color w:val="000000"/>
                <w:szCs w:val="21"/>
                <w:lang w:eastAsia="zh-CN"/>
              </w:rPr>
              <w:t>零件</w:t>
            </w:r>
            <w:r>
              <w:rPr>
                <w:rFonts w:ascii="宋体" w:hAnsi="宋体"/>
                <w:bCs/>
                <w:color w:val="000000"/>
                <w:szCs w:val="21"/>
                <w:lang w:eastAsia="zh-CN"/>
              </w:rPr>
              <w:t>费用</w:t>
            </w:r>
            <w:r>
              <w:rPr>
                <w:rFonts w:hint="eastAsia" w:ascii="宋体" w:hAnsi="宋体"/>
                <w:bCs/>
                <w:color w:val="000000"/>
                <w:szCs w:val="21"/>
                <w:lang w:eastAsia="zh-CN"/>
              </w:rPr>
              <w:t>：</w:t>
            </w:r>
            <w:r>
              <w:rPr>
                <w:rFonts w:ascii="宋体" w:hAnsi="宋体"/>
                <w:bCs/>
                <w:color w:val="000000"/>
                <w:szCs w:val="21"/>
                <w:lang w:eastAsia="zh-CN"/>
              </w:rPr>
              <w:t>零件更换等寄送费用</w:t>
            </w:r>
            <w:r>
              <w:rPr>
                <w:rFonts w:hint="eastAsia" w:ascii="宋体" w:hAnsi="宋体"/>
                <w:bCs/>
                <w:color w:val="000000"/>
                <w:szCs w:val="21"/>
                <w:lang w:eastAsia="zh-CN"/>
              </w:rPr>
              <w:t>，</w:t>
            </w:r>
            <w:r>
              <w:rPr>
                <w:rFonts w:ascii="宋体" w:hAnsi="宋体"/>
                <w:bCs/>
                <w:color w:val="000000"/>
                <w:szCs w:val="21"/>
                <w:lang w:eastAsia="zh-CN"/>
              </w:rPr>
              <w:t>由供应商负责</w:t>
            </w:r>
            <w:r>
              <w:rPr>
                <w:rFonts w:hint="eastAsia" w:ascii="宋体" w:hAnsi="宋体"/>
                <w:bCs/>
                <w:color w:val="000000"/>
                <w:szCs w:val="21"/>
                <w:lang w:eastAsia="zh-CN"/>
              </w:rPr>
              <w:t>。</w:t>
            </w:r>
          </w:p>
        </w:tc>
        <w:tc>
          <w:tcPr>
            <w:tcW w:w="2125"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szCs w:val="21"/>
                <w:lang w:eastAsia="zh-CN"/>
              </w:rPr>
            </w:pPr>
            <w:r>
              <w:rPr>
                <w:rFonts w:hint="eastAsia" w:ascii="宋体" w:hAnsi="宋体"/>
                <w:color w:val="000000"/>
                <w:szCs w:val="21"/>
                <w:lang w:eastAsia="zh-CN"/>
              </w:rPr>
              <w:t>调试&amp;</w:t>
            </w:r>
            <w:r>
              <w:rPr>
                <w:rFonts w:ascii="宋体" w:hAnsi="宋体" w:cs="Arial"/>
                <w:color w:val="000000"/>
                <w:szCs w:val="21"/>
                <w:lang w:eastAsia="zh-CN"/>
              </w:rPr>
              <w:t>试车</w:t>
            </w:r>
            <w:r>
              <w:rPr>
                <w:rFonts w:hint="eastAsia" w:ascii="宋体" w:hAnsi="宋体" w:cs="Arial"/>
                <w:color w:val="000000"/>
                <w:szCs w:val="21"/>
                <w:lang w:eastAsia="zh-CN"/>
              </w:rPr>
              <w:t>：系统</w:t>
            </w:r>
            <w:r>
              <w:rPr>
                <w:rFonts w:ascii="宋体" w:hAnsi="宋体" w:cs="Arial"/>
                <w:color w:val="000000"/>
                <w:szCs w:val="21"/>
                <w:lang w:eastAsia="zh-CN"/>
              </w:rPr>
              <w:t>现场就位完毕，应对</w:t>
            </w:r>
            <w:r>
              <w:rPr>
                <w:rFonts w:hint="eastAsia" w:ascii="宋体" w:hAnsi="宋体" w:cs="Arial"/>
                <w:color w:val="000000"/>
                <w:szCs w:val="21"/>
                <w:lang w:eastAsia="zh-CN"/>
              </w:rPr>
              <w:t>电子秤</w:t>
            </w:r>
            <w:r>
              <w:rPr>
                <w:rFonts w:ascii="宋体" w:hAnsi="宋体" w:cs="Arial"/>
                <w:color w:val="000000"/>
                <w:szCs w:val="21"/>
                <w:lang w:eastAsia="zh-CN"/>
              </w:rPr>
              <w:t>进行</w:t>
            </w:r>
            <w:r>
              <w:rPr>
                <w:rFonts w:hint="eastAsia" w:ascii="宋体" w:hAnsi="宋体" w:cs="Arial"/>
                <w:color w:val="000000"/>
                <w:szCs w:val="21"/>
                <w:lang w:eastAsia="zh-CN"/>
              </w:rPr>
              <w:t>调试</w:t>
            </w:r>
            <w:r>
              <w:rPr>
                <w:rFonts w:ascii="宋体" w:hAnsi="宋体" w:cs="Arial"/>
                <w:color w:val="000000"/>
                <w:szCs w:val="21"/>
                <w:lang w:eastAsia="zh-CN"/>
              </w:rPr>
              <w:t>，供应商应对</w:t>
            </w:r>
            <w:r>
              <w:rPr>
                <w:rFonts w:hint="eastAsia" w:ascii="宋体" w:hAnsi="宋体" w:cs="Arial"/>
                <w:color w:val="000000"/>
                <w:szCs w:val="21"/>
                <w:lang w:eastAsia="zh-CN"/>
              </w:rPr>
              <w:t>调试</w:t>
            </w:r>
            <w:r>
              <w:rPr>
                <w:rFonts w:ascii="宋体" w:hAnsi="宋体" w:cs="Arial"/>
                <w:color w:val="000000"/>
                <w:szCs w:val="21"/>
                <w:lang w:eastAsia="zh-CN"/>
              </w:rPr>
              <w:t>中发现的问题进行解决</w:t>
            </w:r>
            <w:r>
              <w:rPr>
                <w:rFonts w:hint="eastAsia" w:ascii="宋体" w:hAnsi="宋体" w:cs="Arial"/>
                <w:color w:val="000000"/>
                <w:szCs w:val="21"/>
                <w:lang w:eastAsia="zh-CN"/>
              </w:rPr>
              <w:t>；</w:t>
            </w:r>
            <w:r>
              <w:rPr>
                <w:rFonts w:ascii="宋体" w:hAnsi="宋体"/>
                <w:bCs/>
                <w:color w:val="000000"/>
                <w:szCs w:val="21"/>
                <w:lang w:eastAsia="zh-CN"/>
              </w:rPr>
              <w:t>供应商进厂施工需遵守</w:t>
            </w:r>
            <w:r>
              <w:rPr>
                <w:rFonts w:hint="eastAsia" w:ascii="宋体" w:hAnsi="宋体"/>
                <w:bCs/>
                <w:color w:val="000000"/>
                <w:szCs w:val="21"/>
                <w:lang w:eastAsia="zh-CN"/>
              </w:rPr>
              <w:t>用户</w:t>
            </w:r>
            <w:r>
              <w:rPr>
                <w:rFonts w:ascii="宋体" w:hAnsi="宋体"/>
                <w:bCs/>
                <w:color w:val="000000"/>
                <w:szCs w:val="21"/>
                <w:lang w:eastAsia="zh-CN"/>
              </w:rPr>
              <w:t>施工规则</w:t>
            </w:r>
            <w:r>
              <w:rPr>
                <w:rFonts w:hint="eastAsia" w:ascii="宋体" w:hAnsi="宋体"/>
                <w:bCs/>
                <w:color w:val="000000"/>
                <w:szCs w:val="21"/>
                <w:lang w:eastAsia="zh-CN"/>
              </w:rPr>
              <w:t>。</w:t>
            </w:r>
          </w:p>
        </w:tc>
        <w:tc>
          <w:tcPr>
            <w:tcW w:w="2125" w:type="dxa"/>
            <w:vAlign w:val="center"/>
          </w:tcPr>
          <w:p>
            <w:pPr>
              <w:jc w:val="center"/>
              <w:rPr>
                <w:rFonts w:hint="eastAsia"/>
                <w:szCs w:val="21"/>
                <w:lang w:val="en-US" w:eastAsia="zh-CN"/>
              </w:rPr>
            </w:pPr>
            <w:r>
              <w:rPr>
                <w:rFonts w:hint="eastAsia"/>
                <w:szCs w:val="21"/>
                <w:lang w:val="en-US" w:eastAsia="zh-CN"/>
              </w:rPr>
              <w:t>关键</w:t>
            </w:r>
          </w:p>
        </w:tc>
      </w:tr>
      <w:permEnd w:id="73"/>
    </w:tbl>
    <w:p/>
    <w:p>
      <w:pPr>
        <w:pStyle w:val="30"/>
        <w:numPr>
          <w:ilvl w:val="0"/>
          <w:numId w:val="4"/>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szCs w:val="21"/>
          <w:lang w:eastAsia="zh-CN"/>
        </w:rPr>
      </w:pPr>
      <w:permStart w:id="74" w:edGrp="everyone"/>
      <w:r>
        <w:rPr>
          <w:rFonts w:hint="eastAsia"/>
          <w:szCs w:val="21"/>
          <w:lang w:eastAsia="zh-CN"/>
        </w:rPr>
        <w:t>N/A</w:t>
      </w:r>
      <w:permEnd w:id="74"/>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451173933">
    <w:nsid w:val="1AE45E2D"/>
    <w:multiLevelType w:val="multilevel"/>
    <w:tmpl w:val="1AE45E2D"/>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8537699">
    <w:nsid w:val="771F43E3"/>
    <w:multiLevelType w:val="multilevel"/>
    <w:tmpl w:val="771F43E3"/>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2113740296">
    <w:nsid w:val="7DFD1E08"/>
    <w:multiLevelType w:val="multilevel"/>
    <w:tmpl w:val="7DFD1E08"/>
    <w:lvl w:ilvl="0" w:tentative="1">
      <w:start w:val="4"/>
      <w:numFmt w:val="decimal"/>
      <w:lvlText w:val="%1."/>
      <w:lvlJc w:val="left"/>
      <w:pPr>
        <w:ind w:left="425" w:hanging="425"/>
      </w:pPr>
      <w:rPr>
        <w:rFonts w:hint="eastAsia"/>
      </w:rPr>
    </w:lvl>
    <w:lvl w:ilvl="1" w:tentative="1">
      <w:start w:val="4"/>
      <w:numFmt w:val="decimal"/>
      <w:pStyle w:val="36"/>
      <w:lvlText w:val="%1.%2."/>
      <w:lvlJc w:val="left"/>
      <w:pPr>
        <w:ind w:left="567" w:hanging="567"/>
      </w:pPr>
      <w:rPr>
        <w:rFonts w:hint="eastAsia" w:cs="Times New Roman"/>
        <w:b w:val="0"/>
        <w:bCs w:val="0"/>
        <w:i w:val="0"/>
        <w:iCs w:val="0"/>
        <w:caps w:val="0"/>
        <w:smallCaps w:val="0"/>
        <w:strike w:val="0"/>
        <w:dstrike w:val="0"/>
        <w:outline w:val="0"/>
        <w:shadow w:val="0"/>
        <w:spacing w:val="0"/>
        <w:position w:val="0"/>
        <w:u w:val="none"/>
      </w:rPr>
    </w:lvl>
    <w:lvl w:ilvl="2" w:tentative="1">
      <w:start w:val="3"/>
      <w:numFmt w:val="decimal"/>
      <w:lvlText w:val="%1.%2.%3."/>
      <w:lvlJc w:val="left"/>
      <w:pPr>
        <w:ind w:left="709" w:hanging="709"/>
      </w:pPr>
      <w:rPr>
        <w:rFonts w:hint="eastAsia" w:cs="Times New Roman"/>
        <w:b w:val="0"/>
        <w:bCs w:val="0"/>
        <w:i w:val="0"/>
        <w:iCs w:val="0"/>
        <w:caps w:val="0"/>
        <w:smallCaps w:val="0"/>
        <w:strike w:val="0"/>
        <w:dstrike w:val="0"/>
        <w:outline w:val="0"/>
        <w:shadow w:val="0"/>
        <w:spacing w:val="0"/>
        <w:position w:val="0"/>
        <w:u w:val="none"/>
      </w:rPr>
    </w:lvl>
    <w:lvl w:ilvl="3" w:tentative="1">
      <w:start w:val="1"/>
      <w:numFmt w:val="decimal"/>
      <w:lvlText w:val="%1.%2.%3.%4."/>
      <w:lvlJc w:val="left"/>
      <w:pPr>
        <w:ind w:left="851" w:hanging="851"/>
      </w:pPr>
      <w:rPr>
        <w:rFonts w:hint="eastAsia"/>
      </w:rPr>
    </w:lvl>
    <w:lvl w:ilvl="4" w:tentative="1">
      <w:start w:val="1"/>
      <w:numFmt w:val="decimal"/>
      <w:lvlText w:val="%1.%2.%3.%4.%5."/>
      <w:lvlJc w:val="left"/>
      <w:pPr>
        <w:ind w:left="992" w:hanging="992"/>
      </w:pPr>
      <w:rPr>
        <w:rFonts w:hint="eastAsia"/>
      </w:rPr>
    </w:lvl>
    <w:lvl w:ilvl="5" w:tentative="1">
      <w:start w:val="1"/>
      <w:numFmt w:val="decimal"/>
      <w:lvlText w:val="%1.%2.%3.%4.%5.%6."/>
      <w:lvlJc w:val="left"/>
      <w:pPr>
        <w:ind w:left="1134" w:hanging="1134"/>
      </w:pPr>
      <w:rPr>
        <w:rFonts w:hint="eastAsia"/>
      </w:rPr>
    </w:lvl>
    <w:lvl w:ilvl="6" w:tentative="1">
      <w:start w:val="1"/>
      <w:numFmt w:val="decimal"/>
      <w:lvlText w:val="%1.%2.%3.%4.%5.%6.%7."/>
      <w:lvlJc w:val="left"/>
      <w:pPr>
        <w:ind w:left="1276" w:hanging="1276"/>
      </w:pPr>
      <w:rPr>
        <w:rFonts w:hint="eastAsia"/>
      </w:rPr>
    </w:lvl>
    <w:lvl w:ilvl="7" w:tentative="1">
      <w:start w:val="1"/>
      <w:numFmt w:val="decimal"/>
      <w:lvlText w:val="%1.%2.%3.%4.%5.%6.%7.%8."/>
      <w:lvlJc w:val="left"/>
      <w:pPr>
        <w:ind w:left="1418" w:hanging="1418"/>
      </w:pPr>
      <w:rPr>
        <w:rFonts w:hint="eastAsia"/>
      </w:rPr>
    </w:lvl>
    <w:lvl w:ilvl="8" w:tentative="1">
      <w:start w:val="1"/>
      <w:numFmt w:val="decimal"/>
      <w:lvlText w:val="%1.%2.%3.%4.%5.%6.%7.%8.%9."/>
      <w:lvlJc w:val="left"/>
      <w:pPr>
        <w:ind w:left="1559" w:hanging="1559"/>
      </w:pPr>
      <w:rPr>
        <w:rFonts w:hint="eastAsia"/>
      </w:rPr>
    </w:lvl>
  </w:abstractNum>
  <w:abstractNum w:abstractNumId="2114476818">
    <w:nsid w:val="7E085B12"/>
    <w:multiLevelType w:val="multilevel"/>
    <w:tmpl w:val="7E085B12"/>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2113740296"/>
  </w:num>
  <w:num w:numId="4">
    <w:abstractNumId w:val="594097956"/>
  </w:num>
  <w:num w:numId="5">
    <w:abstractNumId w:val="1653867252"/>
  </w:num>
  <w:num w:numId="6">
    <w:abstractNumId w:val="512037502"/>
  </w:num>
  <w:num w:numId="7">
    <w:abstractNumId w:val="143812762"/>
  </w:num>
  <w:num w:numId="8">
    <w:abstractNumId w:val="382943692"/>
  </w:num>
  <w:num w:numId="9">
    <w:abstractNumId w:val="2114476818"/>
  </w:num>
  <w:num w:numId="10">
    <w:abstractNumId w:val="451173933"/>
  </w:num>
  <w:num w:numId="11">
    <w:abstractNumId w:val="287781897"/>
  </w:num>
  <w:num w:numId="12">
    <w:abstractNumId w:val="839589741"/>
  </w:num>
  <w:num w:numId="13">
    <w:abstractNumId w:val="196115971"/>
  </w:num>
  <w:num w:numId="14">
    <w:abstractNumId w:val="1998537699"/>
  </w:num>
  <w:num w:numId="15">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5C3"/>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4FA6"/>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0B2A"/>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3EA9"/>
    <w:rsid w:val="001F473D"/>
    <w:rsid w:val="001F4BFD"/>
    <w:rsid w:val="001F7405"/>
    <w:rsid w:val="001F7E95"/>
    <w:rsid w:val="00201487"/>
    <w:rsid w:val="00203D68"/>
    <w:rsid w:val="00204CA3"/>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180C"/>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50FD"/>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3D4"/>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19AA"/>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56DC2"/>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5919"/>
    <w:rsid w:val="00586EFD"/>
    <w:rsid w:val="00587AC1"/>
    <w:rsid w:val="00587DE8"/>
    <w:rsid w:val="00590694"/>
    <w:rsid w:val="00590AA6"/>
    <w:rsid w:val="00591A70"/>
    <w:rsid w:val="00592624"/>
    <w:rsid w:val="00593AF8"/>
    <w:rsid w:val="00593EC9"/>
    <w:rsid w:val="005964B1"/>
    <w:rsid w:val="005965FD"/>
    <w:rsid w:val="00597909"/>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7344"/>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0AB"/>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1E20"/>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3B82"/>
    <w:rsid w:val="00894E9F"/>
    <w:rsid w:val="00895424"/>
    <w:rsid w:val="00896CEC"/>
    <w:rsid w:val="008A06BC"/>
    <w:rsid w:val="008A0AA3"/>
    <w:rsid w:val="008A0EAA"/>
    <w:rsid w:val="008A149F"/>
    <w:rsid w:val="008A19FD"/>
    <w:rsid w:val="008A1A25"/>
    <w:rsid w:val="008A434C"/>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33"/>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50C0"/>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6C2D"/>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0E1B"/>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5DE3"/>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5A2"/>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5ECE"/>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3A55"/>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6F3"/>
    <w:rsid w:val="00ED3737"/>
    <w:rsid w:val="00ED3856"/>
    <w:rsid w:val="00ED3E2E"/>
    <w:rsid w:val="00ED4CC8"/>
    <w:rsid w:val="00ED6A08"/>
    <w:rsid w:val="00EE05EE"/>
    <w:rsid w:val="00EE0AE2"/>
    <w:rsid w:val="00EE35B4"/>
    <w:rsid w:val="00EE5643"/>
    <w:rsid w:val="00EE7CEC"/>
    <w:rsid w:val="00EF056E"/>
    <w:rsid w:val="00EF09B3"/>
    <w:rsid w:val="00EF0A3E"/>
    <w:rsid w:val="00EF481D"/>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22156F0"/>
    <w:rsid w:val="057B7325"/>
    <w:rsid w:val="1BA12B18"/>
    <w:rsid w:val="210B2915"/>
    <w:rsid w:val="226B7A42"/>
    <w:rsid w:val="2A1F4BEC"/>
    <w:rsid w:val="2D9C7117"/>
    <w:rsid w:val="3387735B"/>
    <w:rsid w:val="355321D1"/>
    <w:rsid w:val="39BE616A"/>
    <w:rsid w:val="3B5B7AE1"/>
    <w:rsid w:val="3C4032FA"/>
    <w:rsid w:val="3DD320EC"/>
    <w:rsid w:val="41986A1D"/>
    <w:rsid w:val="41B8213E"/>
    <w:rsid w:val="4D9A587F"/>
    <w:rsid w:val="52013AB2"/>
    <w:rsid w:val="57DF2EC5"/>
    <w:rsid w:val="5BB84678"/>
    <w:rsid w:val="61666C3A"/>
    <w:rsid w:val="65A021DE"/>
    <w:rsid w:val="674B604B"/>
    <w:rsid w:val="6C7F4759"/>
    <w:rsid w:val="6F154A3E"/>
    <w:rsid w:val="71D06520"/>
    <w:rsid w:val="728B3C7E"/>
    <w:rsid w:val="738D6F3C"/>
    <w:rsid w:val="75442135"/>
    <w:rsid w:val="77A1032B"/>
    <w:rsid w:val="7C87727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qFormat/>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3"/>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paragraph" w:customStyle="1" w:styleId="36">
    <w:name w:val="带编号正文"/>
    <w:basedOn w:val="1"/>
    <w:qFormat/>
    <w:uiPriority w:val="0"/>
    <w:pPr>
      <w:numPr>
        <w:ilvl w:val="1"/>
        <w:numId w:val="3"/>
      </w:numPr>
      <w:snapToGrid w:val="0"/>
      <w:spacing w:line="460" w:lineRule="exact"/>
    </w:pPr>
    <w:rPr>
      <w:rFonts w:ascii="宋体" w:hAnsi="宋体"/>
      <w:sz w:val="24"/>
      <w:szCs w:val="21"/>
    </w:rPr>
  </w:style>
  <w:style w:type="character" w:customStyle="1" w:styleId="37">
    <w:name w:val="页眉 字符"/>
    <w:link w:val="15"/>
    <w:qFormat/>
    <w:uiPriority w:val="0"/>
    <w:rPr>
      <w:rFonts w:eastAsia="宋体"/>
      <w:sz w:val="24"/>
      <w:lang w:eastAsia="en-US" w:bidi="ar-SA"/>
    </w:rPr>
  </w:style>
  <w:style w:type="character" w:customStyle="1" w:styleId="38">
    <w:name w:val="批注文字 字符"/>
    <w:link w:val="7"/>
    <w:semiHidden/>
    <w:qFormat/>
    <w:uiPriority w:val="0"/>
    <w:rPr>
      <w:sz w:val="24"/>
      <w:lang w:eastAsia="en-US"/>
    </w:rPr>
  </w:style>
  <w:style w:type="character" w:customStyle="1" w:styleId="39">
    <w:name w:val="页脚 字符"/>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19"/>
    <w:qFormat/>
    <w:uiPriority w:val="0"/>
    <w:rPr/>
  </w:style>
  <w:style w:type="character" w:customStyle="1" w:styleId="42">
    <w:name w:val="numbering blue Zchn"/>
    <w:link w:val="32"/>
    <w:qFormat/>
    <w:uiPriority w:val="0"/>
    <w:rPr>
      <w:rFonts w:ascii="Arial" w:hAnsi="Arial" w:eastAsia="PMingLiU"/>
      <w:color w:val="0070C0"/>
      <w:lang w:eastAsia="zh-TW"/>
    </w:rPr>
  </w:style>
  <w:style w:type="character" w:customStyle="1" w:styleId="43">
    <w:name w:val="Text Char"/>
    <w:link w:val="34"/>
    <w:qFormat/>
    <w:locked/>
    <w:uiPriority w:val="0"/>
    <w:rPr>
      <w:sz w:val="24"/>
      <w:lang w:eastAsia="en-US"/>
    </w:rPr>
  </w:style>
  <w:style w:type="character" w:customStyle="1" w:styleId="44">
    <w:name w:val="ordinary-span-edit2"/>
    <w:qFormat/>
    <w:uiPriority w:val="0"/>
  </w:style>
  <w:style w:type="character" w:customStyle="1" w:styleId="45">
    <w:name w:val="apple-converted-space"/>
    <w:basedOn w:val="19"/>
    <w:qFormat/>
    <w:uiPriority w:val="0"/>
    <w:rPr/>
  </w:style>
  <w:style w:type="character" w:customStyle="1" w:styleId="46">
    <w:name w:val="标题 字符"/>
    <w:link w:val="18"/>
    <w:qFormat/>
    <w:uiPriority w:val="0"/>
    <w:rPr>
      <w:rFonts w:ascii="Calibri Light" w:hAnsi="Calibri Light" w:cs="Times New Roman"/>
      <w:b/>
      <w:bCs/>
      <w:sz w:val="32"/>
      <w:szCs w:val="32"/>
      <w:lang w:eastAsia="en-US"/>
    </w:rPr>
  </w:style>
  <w:style w:type="character" w:customStyle="1" w:styleId="47">
    <w:name w:val="Footer Char"/>
    <w:basedOn w:val="19"/>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788</Words>
  <Characters>4494</Characters>
  <Lines>37</Lines>
  <Paragraphs>10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2017-06-22T01:53:00Z</cp:lastPrinted>
  <dcterms:modified xsi:type="dcterms:W3CDTF">2020-11-27T04:01:23Z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