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color w:val="000000"/>
          <w:sz w:val="28"/>
          <w:szCs w:val="28"/>
          <w:lang w:eastAsia="zh-CN"/>
        </w:rPr>
        <w:t>14L生物反应器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color w:val="000000"/>
          <w:szCs w:val="21"/>
          <w:lang w:eastAsia="zh-CN"/>
        </w:rPr>
        <w:t>病毒性</w:t>
      </w:r>
      <w:r>
        <w:rPr>
          <w:color w:val="000000"/>
          <w:szCs w:val="21"/>
          <w:lang w:eastAsia="zh-CN"/>
        </w:rPr>
        <w:t>疫苗研究二室细胞流感课题组生物反应器</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szCs w:val="21"/>
          <w:lang w:eastAsia="zh-CN"/>
        </w:rPr>
        <w:t>病毒性</w:t>
      </w:r>
      <w:r>
        <w:rPr>
          <w:color w:val="000000"/>
          <w:szCs w:val="21"/>
          <w:lang w:eastAsia="zh-CN"/>
        </w:rPr>
        <w:t>疫苗研究二室细胞流感课题组生物反应器</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w:t>
      </w:r>
      <w:r>
        <w:rPr>
          <w:rFonts w:hint="eastAsia"/>
          <w:color w:val="000000"/>
          <w:szCs w:val="21"/>
          <w:lang w:eastAsia="zh-CN"/>
        </w:rPr>
        <w:t>20</w:t>
      </w:r>
      <w:r>
        <w:rPr>
          <w:color w:val="000000"/>
          <w:szCs w:val="21"/>
        </w:rPr>
        <w:t>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bookmarkStart w:id="48" w:name="_GoBack"/>
      <w:bookmarkEnd w:id="48"/>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color w:val="000000"/>
          <w:szCs w:val="21"/>
          <w:lang w:eastAsia="zh-CN"/>
        </w:rPr>
        <w:t>病毒性疫苗研究二室细胞流感课题组拟购置一台</w:t>
      </w:r>
      <w:r>
        <w:rPr>
          <w:rFonts w:hint="eastAsia"/>
          <w:color w:val="000000"/>
          <w:szCs w:val="21"/>
          <w:lang w:eastAsia="zh-CN"/>
        </w:rPr>
        <w:t>14L反应器，用于流感疫苗生产中细胞培养等生产操作。</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color w:val="0070C0"/>
                <w:szCs w:val="21"/>
                <w:lang w:eastAsia="zh-CN"/>
              </w:rPr>
            </w:pPr>
            <w:r>
              <w:rPr>
                <w:color w:val="000000"/>
                <w:szCs w:val="21"/>
                <w:lang w:eastAsia="zh-CN"/>
              </w:rPr>
              <w:t>综合楼</w:t>
            </w:r>
            <w:r>
              <w:rPr>
                <w:rFonts w:hint="eastAsia"/>
                <w:color w:val="000000"/>
                <w:szCs w:val="21"/>
                <w:lang w:eastAsia="zh-CN"/>
              </w:rPr>
              <w:t>A区三楼细胞流感车间反应器间</w:t>
            </w:r>
          </w:p>
        </w:tc>
        <w:tc>
          <w:tcPr>
            <w:tcW w:w="2125" w:type="dxa"/>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eastAsia="zh-CN"/>
              </w:rPr>
            </w:pPr>
            <w:r>
              <w:rPr>
                <w:rFonts w:hint="eastAsia"/>
                <w:color w:val="000000"/>
                <w:szCs w:val="21"/>
                <w:lang w:eastAsia="zh-CN"/>
              </w:rPr>
              <w:t>设备总重30k</w:t>
            </w:r>
            <w:r>
              <w:rPr>
                <w:color w:val="000000"/>
                <w:szCs w:val="21"/>
                <w:lang w:eastAsia="zh-CN"/>
              </w:rPr>
              <w:t>g</w:t>
            </w:r>
          </w:p>
        </w:tc>
        <w:tc>
          <w:tcPr>
            <w:tcW w:w="2125" w:type="dxa"/>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lang w:eastAsia="zh-CN"/>
              </w:rPr>
              <w:t>配套接入220V电源、数据线、二氧化碳、氧气、压缩空气等。</w:t>
            </w:r>
          </w:p>
        </w:tc>
        <w:tc>
          <w:tcPr>
            <w:tcW w:w="2125" w:type="dxa"/>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color w:val="000000"/>
                <w:lang w:eastAsia="zh-CN"/>
              </w:rPr>
              <w:t>工作环境温度：能适应10</w:t>
            </w:r>
            <w:r>
              <w:rPr>
                <w:rFonts w:hint="eastAsia" w:ascii="宋体" w:hAnsi="宋体" w:cs="宋体"/>
                <w:color w:val="000000"/>
                <w:lang w:eastAsia="zh-CN"/>
              </w:rPr>
              <w:t>℃</w:t>
            </w:r>
            <w:r>
              <w:rPr>
                <w:color w:val="000000"/>
                <w:lang w:eastAsia="zh-CN"/>
              </w:rPr>
              <w:t>～32</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both"/>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工作环境湿度：至少包括45%～65%</w:t>
            </w:r>
          </w:p>
        </w:tc>
        <w:tc>
          <w:tcPr>
            <w:tcW w:w="2125" w:type="dxa"/>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 C级</w:t>
            </w:r>
          </w:p>
        </w:tc>
        <w:tc>
          <w:tcPr>
            <w:tcW w:w="2125" w:type="dxa"/>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 xml:space="preserve">交流电电源：～220±10%V，50±1Hz </w:t>
            </w:r>
          </w:p>
        </w:tc>
        <w:tc>
          <w:tcPr>
            <w:tcW w:w="2125" w:type="dxa"/>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ascii="宋体" w:hAnsi="宋体"/>
                <w:szCs w:val="22"/>
                <w:lang w:eastAsia="zh-CN"/>
              </w:rPr>
              <w:t>接触培养液部分为SUS316L不锈钢，表面机械抛光＋电解抛光，R</w:t>
            </w:r>
            <w:r>
              <w:rPr>
                <w:rFonts w:ascii="宋体" w:hAnsi="宋体"/>
                <w:szCs w:val="22"/>
                <w:lang w:eastAsia="zh-CN"/>
              </w:rPr>
              <w:t>a</w:t>
            </w:r>
            <w:r>
              <w:rPr>
                <w:rFonts w:hint="eastAsia" w:ascii="宋体" w:hAnsi="宋体"/>
                <w:szCs w:val="22"/>
                <w:lang w:eastAsia="zh-CN"/>
              </w:rPr>
              <w:t>≤</w:t>
            </w:r>
            <w:r>
              <w:rPr>
                <w:rFonts w:ascii="宋体" w:hAnsi="宋体"/>
                <w:szCs w:val="22"/>
                <w:lang w:eastAsia="zh-CN"/>
              </w:rPr>
              <w:t>0.4um;</w:t>
            </w:r>
            <w:r>
              <w:rPr>
                <w:rFonts w:hint="eastAsia" w:ascii="宋体" w:hAnsi="宋体"/>
                <w:szCs w:val="22"/>
                <w:lang w:eastAsia="zh-CN"/>
              </w:rPr>
              <w:t>非接触培养液部分为SUS304不锈钢，表面机械抛光，R</w:t>
            </w:r>
            <w:r>
              <w:rPr>
                <w:rFonts w:ascii="宋体" w:hAnsi="宋体"/>
                <w:szCs w:val="22"/>
                <w:lang w:eastAsia="zh-CN"/>
              </w:rPr>
              <w:t>a</w:t>
            </w:r>
            <w:r>
              <w:rPr>
                <w:rFonts w:hint="eastAsia" w:ascii="宋体" w:hAnsi="宋体"/>
                <w:szCs w:val="22"/>
                <w:lang w:eastAsia="zh-CN"/>
              </w:rPr>
              <w:t>≤</w:t>
            </w:r>
            <w:r>
              <w:rPr>
                <w:rFonts w:ascii="宋体" w:hAnsi="宋体"/>
                <w:szCs w:val="22"/>
                <w:lang w:eastAsia="zh-CN"/>
              </w:rPr>
              <w:t>0.6um</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both"/>
              <w:rPr>
                <w:szCs w:val="21"/>
                <w:lang w:eastAsia="zh-CN"/>
              </w:rPr>
            </w:pPr>
            <w:r>
              <w:rPr>
                <w:szCs w:val="21"/>
                <w:lang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jc w:val="both"/>
              <w:rPr>
                <w:szCs w:val="21"/>
                <w:lang w:eastAsia="zh-CN"/>
              </w:rPr>
            </w:pPr>
            <w:r>
              <w:rPr>
                <w:rFonts w:hint="eastAsia"/>
                <w:color w:val="000000"/>
                <w:szCs w:val="21"/>
                <w:lang w:eastAsia="zh-CN"/>
              </w:rPr>
              <w:t>罐体工作体积3-10.5L</w:t>
            </w:r>
          </w:p>
        </w:tc>
        <w:tc>
          <w:tcPr>
            <w:tcW w:w="2125" w:type="dxa"/>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eastAsia="zh-CN"/>
              </w:rPr>
            </w:pPr>
            <w:r>
              <w:rPr>
                <w:rFonts w:hint="eastAsia" w:ascii="宋体" w:hAnsi="宋体"/>
                <w:szCs w:val="22"/>
                <w:lang w:eastAsia="zh-CN"/>
              </w:rPr>
              <w:t>温度：自动控温。显示范围0-150℃，分辨率0.1℃，控制精度±0.1℃</w:t>
            </w:r>
          </w:p>
        </w:tc>
        <w:tc>
          <w:tcPr>
            <w:tcW w:w="2125" w:type="dxa"/>
            <w:vAlign w:val="center"/>
          </w:tcPr>
          <w:p>
            <w:pPr>
              <w:jc w:val="both"/>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360" w:lineRule="auto"/>
              <w:jc w:val="both"/>
              <w:rPr>
                <w:szCs w:val="21"/>
                <w:lang w:val="en-US" w:eastAsia="zh-CN"/>
              </w:rPr>
            </w:pPr>
            <w:r>
              <w:rPr>
                <w:rFonts w:hint="eastAsia" w:ascii="宋体" w:hAnsi="宋体"/>
                <w:szCs w:val="22"/>
                <w:lang w:eastAsia="zh-CN"/>
              </w:rPr>
              <w:t>pH控制：自动控制。显示范围2-12，分辨率0.01pH，控制精度±0.01pH</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ascii="楷体" w:hAnsi="楷体" w:eastAsia="楷体"/>
                <w:color w:val="000000"/>
                <w:szCs w:val="28"/>
                <w:lang w:eastAsia="zh-CN"/>
              </w:rPr>
            </w:pPr>
            <w:r>
              <w:rPr>
                <w:rFonts w:hint="eastAsia" w:ascii="宋体" w:hAnsi="宋体"/>
                <w:szCs w:val="22"/>
                <w:lang w:eastAsia="zh-CN"/>
              </w:rPr>
              <w:t>DO控制：自动控制。显示范围0-200%，分辨率0.1%，控制精度±5%</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ascii="楷体" w:hAnsi="楷体" w:eastAsia="楷体"/>
                <w:color w:val="000000"/>
                <w:szCs w:val="28"/>
                <w:lang w:eastAsia="zh-CN"/>
              </w:rPr>
            </w:pPr>
            <w:r>
              <w:rPr>
                <w:rFonts w:hint="eastAsia" w:ascii="宋体" w:hAnsi="宋体"/>
                <w:szCs w:val="22"/>
                <w:lang w:eastAsia="zh-CN"/>
              </w:rPr>
              <w:t>转速控制：自动控制。显示范围0-300rpm，分辨率1rpm，控制精度±1rpm</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2"/>
                <w:lang w:eastAsia="zh-CN"/>
              </w:rPr>
            </w:pPr>
            <w:r>
              <w:rPr>
                <w:rFonts w:hint="eastAsia" w:ascii="宋体" w:hAnsi="宋体"/>
                <w:szCs w:val="22"/>
                <w:lang w:eastAsia="zh-CN"/>
              </w:rPr>
              <w:t>底部气体控制：氮气用转子流量计调节，空气</w:t>
            </w:r>
            <w:r>
              <w:rPr>
                <w:rFonts w:ascii="宋体" w:hAnsi="宋体"/>
                <w:szCs w:val="22"/>
                <w:lang w:eastAsia="zh-CN"/>
              </w:rPr>
              <w:t>、</w:t>
            </w:r>
            <w:r>
              <w:rPr>
                <w:rFonts w:hint="eastAsia" w:ascii="宋体" w:hAnsi="宋体"/>
                <w:szCs w:val="22"/>
                <w:lang w:eastAsia="zh-CN"/>
              </w:rPr>
              <w:t>二氧化碳和氧气用质量流量计自动控制</w:t>
            </w:r>
          </w:p>
          <w:p>
            <w:pPr>
              <w:spacing w:line="360" w:lineRule="auto"/>
              <w:jc w:val="both"/>
              <w:rPr>
                <w:rFonts w:ascii="宋体" w:hAnsi="宋体"/>
                <w:szCs w:val="22"/>
                <w:lang w:eastAsia="zh-CN"/>
              </w:rPr>
            </w:pPr>
            <w:r>
              <w:rPr>
                <w:rFonts w:hint="eastAsia" w:ascii="宋体" w:hAnsi="宋体"/>
                <w:szCs w:val="22"/>
                <w:lang w:eastAsia="zh-CN"/>
              </w:rPr>
              <w:t>表通</w:t>
            </w:r>
            <w:r>
              <w:rPr>
                <w:rFonts w:ascii="宋体" w:hAnsi="宋体"/>
                <w:szCs w:val="22"/>
                <w:lang w:eastAsia="zh-CN"/>
              </w:rPr>
              <w:t>：</w:t>
            </w:r>
            <w:r>
              <w:rPr>
                <w:rFonts w:hint="eastAsia" w:ascii="宋体" w:hAnsi="宋体"/>
                <w:szCs w:val="22"/>
                <w:lang w:eastAsia="zh-CN"/>
              </w:rPr>
              <w:t>空气</w:t>
            </w:r>
            <w:r>
              <w:rPr>
                <w:rFonts w:ascii="宋体" w:hAnsi="宋体"/>
                <w:szCs w:val="22"/>
                <w:lang w:eastAsia="zh-CN"/>
              </w:rPr>
              <w:t>转子流量计</w:t>
            </w:r>
            <w:r>
              <w:rPr>
                <w:rFonts w:hint="eastAsia" w:ascii="宋体" w:hAnsi="宋体"/>
                <w:szCs w:val="22"/>
                <w:lang w:eastAsia="zh-CN"/>
              </w:rPr>
              <w:t>调节</w:t>
            </w:r>
          </w:p>
          <w:p>
            <w:pPr>
              <w:spacing w:line="360" w:lineRule="auto"/>
              <w:jc w:val="both"/>
              <w:rPr>
                <w:rFonts w:ascii="楷体" w:hAnsi="楷体" w:eastAsia="楷体"/>
                <w:color w:val="000000"/>
                <w:szCs w:val="28"/>
                <w:lang w:eastAsia="zh-CN"/>
              </w:rPr>
            </w:pPr>
            <w:r>
              <w:rPr>
                <w:rFonts w:hint="eastAsia" w:ascii="宋体" w:hAnsi="宋体"/>
                <w:szCs w:val="22"/>
                <w:lang w:eastAsia="zh-CN"/>
              </w:rPr>
              <w:t>调节范围：0-1</w:t>
            </w:r>
            <w:r>
              <w:rPr>
                <w:rFonts w:ascii="宋体" w:hAnsi="宋体"/>
                <w:szCs w:val="22"/>
                <w:lang w:eastAsia="zh-CN"/>
              </w:rPr>
              <w:t xml:space="preserve"> </w:t>
            </w:r>
            <w:r>
              <w:rPr>
                <w:rFonts w:hint="eastAsia" w:ascii="宋体" w:hAnsi="宋体"/>
                <w:szCs w:val="22"/>
                <w:lang w:eastAsia="zh-CN"/>
              </w:rPr>
              <w:t>L/min</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2"/>
                <w:lang w:eastAsia="zh-CN"/>
              </w:rPr>
            </w:pPr>
            <w:r>
              <w:rPr>
                <w:lang w:eastAsia="zh-CN"/>
              </w:rPr>
              <w:t>设备运行噪音应小于40dB</w:t>
            </w:r>
          </w:p>
        </w:tc>
        <w:tc>
          <w:tcPr>
            <w:tcW w:w="2125" w:type="dxa"/>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4" w:edGrp="everyone"/>
          </w:p>
        </w:tc>
        <w:tc>
          <w:tcPr>
            <w:tcW w:w="9253" w:type="dxa"/>
            <w:gridSpan w:val="2"/>
            <w:vAlign w:val="center"/>
          </w:tcPr>
          <w:p>
            <w:pPr>
              <w:jc w:val="both"/>
              <w:rPr>
                <w:szCs w:val="21"/>
                <w:lang w:eastAsia="zh-CN"/>
              </w:rPr>
            </w:pPr>
            <w:r>
              <w:rPr>
                <w:rFonts w:hint="eastAsia"/>
                <w:szCs w:val="21"/>
                <w:lang w:eastAsia="zh-CN"/>
              </w:rPr>
              <w:t>N/A</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lang w:eastAsia="zh-CN"/>
              </w:rPr>
              <w:t>操作界面能直观控制和显示PID相关参数,能实现培养过程中的溶氧，pH, 温度，搅拌自动控制与调节，满足细胞生长过程中的要求，据存储稳定，</w:t>
            </w:r>
            <w:r>
              <w:rPr>
                <w:rFonts w:hint="eastAsia"/>
                <w:lang w:eastAsia="zh-CN"/>
              </w:rPr>
              <w:t>超温</w:t>
            </w:r>
            <w:r>
              <w:rPr>
                <w:lang w:eastAsia="zh-CN"/>
              </w:rPr>
              <w:t>报警功能等</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实时测量和检测培养过程的温度、搅拌、PH、溶氧等参数，满足多种动物细胞的高密度培养。</w:t>
            </w:r>
          </w:p>
        </w:tc>
        <w:tc>
          <w:tcPr>
            <w:tcW w:w="2125" w:type="dxa"/>
            <w:vAlign w:val="center"/>
          </w:tcPr>
          <w:p>
            <w:pPr>
              <w:jc w:val="both"/>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color w:val="000000"/>
                <w:szCs w:val="21"/>
                <w:lang w:eastAsia="zh-CN"/>
              </w:rPr>
            </w:pPr>
            <w:r>
              <w:rPr>
                <w:color w:val="000000"/>
                <w:szCs w:val="21"/>
                <w:lang w:eastAsia="zh-CN"/>
              </w:rPr>
              <w:t>仪器软件具有至少4级用户分层权限管理及密码管理的功能</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系统应可以为每个用户创建唯一的用户名和密码</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系统应不允许两个或多个用户拥有相同的用户名</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应有权限功能防止系统时间被更改</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屏幕显示的结果与打印报告应是一致的。</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系统管理员应可以重置密码</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系统应可以设置密码最小长度为8位</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应有安全保护以防止未授权的用户账号和密码进行使用，比如3次无效登录尝试后将锁定账户等</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系统管理员应可以激活锁住的账户</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系统必须具有超时强制退出要求重新登录的功能。</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系统应可以允许用户和管理员更改自己的密码</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系统应可设置密码效期，如3个月</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系统应可提示密码效期信息以提醒用户更改密码。</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系统应有审计追踪功能，可以记录系统和安全的事件，比如登录登出、密码更改、方法参数更改、记录删除及操作人员和日期时间等</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审计追踪记录应不可被删除或更改</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系统应可以新增、修改和禁用账户，这些权限应可被系统管理员禁用。</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应有控制措施以防止电子记录从应用软件外面被修改或删除。</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报告格式应包含以下内容：日期，名称，运行时间，产品名称，运行号等</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报告应为只读的格式</w:t>
            </w:r>
          </w:p>
        </w:tc>
        <w:tc>
          <w:tcPr>
            <w:tcW w:w="2125" w:type="dxa"/>
            <w:vAlign w:val="center"/>
          </w:tcPr>
          <w:p>
            <w:pPr>
              <w:jc w:val="both"/>
              <w:rPr>
                <w:szCs w:val="21"/>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使用者应不能修改测试结果</w:t>
            </w:r>
          </w:p>
        </w:tc>
        <w:tc>
          <w:tcPr>
            <w:tcW w:w="2125" w:type="dxa"/>
            <w:vAlign w:val="center"/>
          </w:tcPr>
          <w:p>
            <w:pPr>
              <w:jc w:val="both"/>
              <w:rPr>
                <w:szCs w:val="21"/>
                <w:lang w:eastAsia="zh-CN"/>
              </w:rPr>
            </w:pPr>
            <w:r>
              <w:rPr>
                <w:szCs w:val="21"/>
                <w:lang w:eastAsia="zh-CN"/>
              </w:rPr>
              <w:t>期望</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lang w:eastAsia="zh-CN"/>
              </w:rPr>
              <w:t>所有与产</w:t>
            </w:r>
            <w:r>
              <w:rPr>
                <w:rFonts w:hint="eastAsia"/>
                <w:lang w:eastAsia="zh-CN"/>
              </w:rPr>
              <w:t>品</w:t>
            </w:r>
            <w:r>
              <w:rPr>
                <w:lang w:eastAsia="zh-CN"/>
              </w:rPr>
              <w:t>接触的材料符合中国GMP要求</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所有的管道焊接应经过酸洗钝化</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搅拌电机具有过载保护功能。</w:t>
            </w:r>
          </w:p>
        </w:tc>
        <w:tc>
          <w:tcPr>
            <w:tcW w:w="2125" w:type="dxa"/>
            <w:vAlign w:val="center"/>
          </w:tcPr>
          <w:p>
            <w:pPr>
              <w:jc w:val="both"/>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jc w:val="both"/>
              <w:rPr>
                <w:lang w:eastAsia="zh-CN"/>
              </w:rPr>
            </w:pPr>
            <w:r>
              <w:rPr>
                <w:lang w:eastAsia="zh-CN"/>
              </w:rPr>
              <w:t>设备应有接地保护</w:t>
            </w:r>
            <w:r>
              <w:rPr>
                <w:rFonts w:hint="eastAsia"/>
                <w:lang w:eastAsia="zh-CN"/>
              </w:rPr>
              <w:t>。</w:t>
            </w:r>
          </w:p>
        </w:tc>
        <w:tc>
          <w:tcPr>
            <w:tcW w:w="2125" w:type="dxa"/>
            <w:vAlign w:val="center"/>
          </w:tcPr>
          <w:p>
            <w:pPr>
              <w:jc w:val="both"/>
              <w:rPr>
                <w:szCs w:val="21"/>
                <w:lang w:eastAsia="zh-CN"/>
              </w:rPr>
            </w:pPr>
            <w:r>
              <w:rPr>
                <w:szCs w:val="21"/>
                <w:lang w:eastAsia="zh-CN"/>
              </w:rPr>
              <w:t>关键</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1"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供应商应提供能够符合CHP要求的文件及其它技术文件，供应商要对文件进行初步审核，同时提供文件清单。</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lang w:eastAsia="zh-CN"/>
              </w:rPr>
              <w:t>设</w:t>
            </w:r>
            <w:r>
              <w:rPr>
                <w:rFonts w:hint="eastAsia"/>
                <w:lang w:eastAsia="zh-CN"/>
              </w:rPr>
              <w:t>备</w:t>
            </w:r>
            <w:r>
              <w:rPr>
                <w:lang w:eastAsia="zh-CN"/>
              </w:rPr>
              <w:t>操作、维护保养和服务手册。</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工厂测试文件、 出厂测试报告及安装测试全套文件</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配置部件材质清单及材质证明文件，系统阀门证书，备件清单</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功能设计及详细设计文件或 PID图纸</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计量仪表具有检验合格证和报告</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color w:val="000000"/>
                <w:szCs w:val="21"/>
                <w:lang w:eastAsia="zh-CN"/>
              </w:rPr>
            </w:pPr>
            <w:r>
              <w:rPr>
                <w:rFonts w:hint="eastAsia" w:ascii="宋体" w:hAnsi="宋体" w:cs="Arial"/>
                <w:color w:val="000000"/>
                <w:szCs w:val="21"/>
                <w:lang w:eastAsia="zh-CN"/>
              </w:rPr>
              <w:t>验证文件：</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性能确认及文件（P</w:t>
            </w:r>
            <w:r>
              <w:rPr>
                <w:rFonts w:ascii="宋体" w:hAnsi="宋体" w:cs="Arial"/>
                <w:color w:val="000000"/>
                <w:szCs w:val="21"/>
                <w:lang w:eastAsia="zh-CN"/>
              </w:rPr>
              <w:t>Q</w:t>
            </w:r>
            <w:r>
              <w:rPr>
                <w:rFonts w:hint="eastAsia" w:ascii="宋体" w:hAnsi="宋体" w:cs="Arial"/>
                <w:color w:val="000000"/>
                <w:szCs w:val="21"/>
                <w:lang w:eastAsia="zh-CN"/>
              </w:rPr>
              <w:t>）；</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安装确认及文件（</w:t>
            </w:r>
            <w:r>
              <w:rPr>
                <w:rFonts w:ascii="宋体" w:hAnsi="宋体" w:cs="Arial"/>
                <w:color w:val="000000"/>
                <w:szCs w:val="21"/>
                <w:lang w:eastAsia="zh-CN"/>
              </w:rPr>
              <w:t>IQ</w:t>
            </w:r>
            <w:r>
              <w:rPr>
                <w:rFonts w:hint="eastAsia" w:ascii="宋体" w:hAnsi="宋体" w:cs="Arial"/>
                <w:color w:val="000000"/>
                <w:szCs w:val="21"/>
                <w:lang w:eastAsia="zh-CN"/>
              </w:rPr>
              <w:t>）；</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运行确认及文件（</w:t>
            </w:r>
            <w:r>
              <w:rPr>
                <w:rFonts w:ascii="宋体" w:hAnsi="宋体" w:cs="Arial"/>
                <w:color w:val="000000"/>
                <w:szCs w:val="21"/>
                <w:lang w:eastAsia="zh-CN"/>
              </w:rPr>
              <w:t>OQ</w:t>
            </w:r>
            <w:r>
              <w:rPr>
                <w:rFonts w:hint="eastAsia" w:ascii="宋体" w:hAnsi="宋体" w:cs="Arial"/>
                <w:color w:val="000000"/>
                <w:szCs w:val="21"/>
                <w:lang w:eastAsia="zh-CN"/>
              </w:rPr>
              <w:t>）；</w:t>
            </w:r>
          </w:p>
          <w:p>
            <w:pPr>
              <w:jc w:val="both"/>
              <w:rPr>
                <w:lang w:eastAsia="zh-CN"/>
              </w:rPr>
            </w:pPr>
            <w:r>
              <w:rPr>
                <w:rFonts w:hint="eastAsia" w:ascii="宋体" w:hAnsi="宋体" w:cs="Arial"/>
                <w:color w:val="000000"/>
                <w:szCs w:val="21"/>
                <w:lang w:eastAsia="zh-CN"/>
              </w:rPr>
              <w:t>负责制定P</w:t>
            </w:r>
            <w:r>
              <w:rPr>
                <w:rFonts w:ascii="宋体" w:hAnsi="宋体" w:cs="Arial"/>
                <w:color w:val="000000"/>
                <w:szCs w:val="21"/>
                <w:lang w:eastAsia="zh-CN"/>
              </w:rPr>
              <w:t>Q/IQ/OQ</w:t>
            </w:r>
            <w:r>
              <w:rPr>
                <w:rFonts w:hint="eastAsia" w:ascii="宋体" w:hAnsi="宋体" w:cs="Arial"/>
                <w:color w:val="000000"/>
                <w:szCs w:val="21"/>
                <w:lang w:eastAsia="zh-CN"/>
              </w:rPr>
              <w:t>验证文件并负责验证工作的实施，该验证文件作为设备必备文件。</w:t>
            </w:r>
            <w:r>
              <w:rPr>
                <w:rFonts w:hint="eastAsia" w:ascii="宋体" w:hAnsi="宋体"/>
                <w:szCs w:val="21"/>
                <w:lang w:val="en-US" w:eastAsia="zh-CN"/>
              </w:rPr>
              <w:t>提交时限：IQ报告在OQ前提交，OQ报告在PQ前提交，PQ报告在设备最终验收交付前提交，所有方案在相应验证开始前完成审批。</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供应商应提供所有的测量仪器仪表的列表，所有这些仪表或传感器必</w:t>
            </w:r>
            <w:r>
              <w:rPr>
                <w:rFonts w:hint="eastAsia"/>
                <w:lang w:eastAsia="zh-CN"/>
              </w:rPr>
              <w:t>需</w:t>
            </w:r>
            <w:r>
              <w:rPr>
                <w:lang w:eastAsia="zh-CN"/>
              </w:rPr>
              <w:t>校准。校准效期自交付之日起不低于9个月。</w:t>
            </w:r>
          </w:p>
        </w:tc>
        <w:tc>
          <w:tcPr>
            <w:tcW w:w="2125" w:type="dxa"/>
            <w:vAlign w:val="center"/>
          </w:tcPr>
          <w:p>
            <w:pPr>
              <w:jc w:val="both"/>
              <w:rPr>
                <w:szCs w:val="21"/>
                <w:lang w:eastAsia="zh-CN"/>
              </w:rPr>
            </w:pPr>
            <w:r>
              <w:rPr>
                <w:szCs w:val="21"/>
                <w:lang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color w:val="000000"/>
                <w:szCs w:val="21"/>
                <w:lang w:eastAsia="zh-CN"/>
              </w:rPr>
            </w:pPr>
            <w:r>
              <w:rPr>
                <w:color w:val="000000"/>
                <w:lang w:eastAsia="zh-CN"/>
              </w:rPr>
              <w:t>设备厂家或供应商应免费对设备使用方人员进行全面培训，包括对生产操作人员及设备维护、维修人员，并填写培训记录。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szCs w:val="21"/>
                <w:lang w:eastAsia="zh-CN"/>
              </w:rPr>
              <w:t>验证包括</w:t>
            </w:r>
            <w:r>
              <w:rPr>
                <w:rFonts w:hint="eastAsia" w:ascii="宋体" w:hAnsi="宋体"/>
                <w:szCs w:val="21"/>
                <w:lang w:val="en-US" w:eastAsia="zh-CN"/>
              </w:rPr>
              <w:t>IQ,</w:t>
            </w:r>
            <w:r>
              <w:rPr>
                <w:rFonts w:ascii="宋体" w:hAnsi="宋体"/>
                <w:szCs w:val="21"/>
                <w:lang w:eastAsia="zh-CN"/>
              </w:rPr>
              <w:t>OQ</w:t>
            </w:r>
            <w:r>
              <w:rPr>
                <w:rFonts w:hint="eastAsia" w:ascii="宋体" w:hAnsi="宋体"/>
                <w:szCs w:val="21"/>
                <w:lang w:eastAsia="zh-CN"/>
              </w:rPr>
              <w:t>，</w:t>
            </w:r>
            <w:r>
              <w:rPr>
                <w:rFonts w:hint="eastAsia" w:ascii="宋体" w:hAnsi="宋体"/>
                <w:szCs w:val="21"/>
                <w:lang w:val="en-US" w:eastAsia="zh-CN"/>
              </w:rPr>
              <w:t>PQ</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lang w:eastAsia="zh-CN"/>
              </w:rPr>
            </w:pP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验证工作应按时保质完成，供应商需提供验证工作计划表。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szCs w:val="21"/>
                <w:lang w:eastAsia="zh-CN"/>
              </w:rPr>
              <w:t>提供易损件、易耗品列表，在设备停产后7年内可提供设备维修的各品备件。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供应商应在接到用户的通知两个星期内去安装、操作及试运行</w:t>
            </w:r>
            <w:r>
              <w:rPr>
                <w:rFonts w:hint="eastAsia"/>
                <w:lang w:eastAsia="zh-CN"/>
              </w:rPr>
              <w:t>。</w:t>
            </w:r>
          </w:p>
        </w:tc>
        <w:tc>
          <w:tcPr>
            <w:tcW w:w="2125" w:type="dxa"/>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szCs w:val="21"/>
                <w:lang w:eastAsia="zh-CN"/>
              </w:rPr>
              <w:t>提供悬浮细胞、片状载体、微载体三种培养模式对应的三套搅拌桨。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技术支持包括试运行后定期电话咨询，供应商应及时通知用户预防性维护系统的有效改进措施。</w:t>
            </w:r>
          </w:p>
        </w:tc>
        <w:tc>
          <w:tcPr>
            <w:tcW w:w="2125" w:type="dxa"/>
            <w:vAlign w:val="center"/>
          </w:tcPr>
          <w:p>
            <w:pPr>
              <w:jc w:val="both"/>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szCs w:val="21"/>
                <w:lang w:eastAsia="zh-CN"/>
              </w:rPr>
              <w:t>供应商进厂安装需遵守安全和安装规定。</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确认并验证合格后，买卖双方签订验收报告。</w:t>
            </w:r>
          </w:p>
        </w:tc>
        <w:tc>
          <w:tcPr>
            <w:tcW w:w="2125" w:type="dxa"/>
            <w:vAlign w:val="center"/>
          </w:tcPr>
          <w:p>
            <w:pPr>
              <w:jc w:val="both"/>
              <w:rPr>
                <w:szCs w:val="21"/>
                <w:lang w:eastAsia="zh-CN"/>
              </w:rPr>
            </w:pPr>
            <w:r>
              <w:rPr>
                <w:szCs w:val="21"/>
                <w:lang w:eastAsia="zh-CN"/>
              </w:rPr>
              <w:t>关键</w:t>
            </w:r>
            <w:r>
              <w:rPr>
                <w:rFonts w:hint="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vAlign w:val="center"/>
          </w:tcPr>
          <w:p>
            <w:pPr>
              <w:jc w:val="both"/>
              <w:rPr>
                <w:szCs w:val="21"/>
                <w:lang w:eastAsia="zh-CN"/>
              </w:rPr>
            </w:pPr>
            <w:r>
              <w:rPr>
                <w:szCs w:val="21"/>
                <w:lang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000000"/>
          <w:szCs w:val="21"/>
          <w:lang w:eastAsia="zh-CN"/>
        </w:rPr>
      </w:pPr>
      <w:permStart w:id="44" w:edGrp="everyone"/>
      <w:r>
        <w:rPr>
          <w:rFonts w:hint="eastAsia"/>
          <w:color w:val="000000"/>
          <w:szCs w:val="21"/>
          <w:lang w:eastAsia="zh-CN"/>
        </w:rPr>
        <w:t>不适用</w:t>
      </w:r>
      <w:permEnd w:id="44"/>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387"/>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C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7F5"/>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FDB"/>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6995"/>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2507"/>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B6A"/>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1F5"/>
    <w:rsid w:val="00302AF8"/>
    <w:rsid w:val="00304F96"/>
    <w:rsid w:val="00306131"/>
    <w:rsid w:val="00310516"/>
    <w:rsid w:val="00311B2C"/>
    <w:rsid w:val="00311EE4"/>
    <w:rsid w:val="0031318B"/>
    <w:rsid w:val="003137B7"/>
    <w:rsid w:val="00313816"/>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71B"/>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1F9"/>
    <w:rsid w:val="00467AE6"/>
    <w:rsid w:val="00467EC9"/>
    <w:rsid w:val="00477791"/>
    <w:rsid w:val="00480286"/>
    <w:rsid w:val="00480C3B"/>
    <w:rsid w:val="00480FE3"/>
    <w:rsid w:val="00481C94"/>
    <w:rsid w:val="004847F3"/>
    <w:rsid w:val="00484A8D"/>
    <w:rsid w:val="00486A4E"/>
    <w:rsid w:val="00486B09"/>
    <w:rsid w:val="0049139F"/>
    <w:rsid w:val="00494F07"/>
    <w:rsid w:val="00496116"/>
    <w:rsid w:val="004965A0"/>
    <w:rsid w:val="00497335"/>
    <w:rsid w:val="004A05A7"/>
    <w:rsid w:val="004A2D9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E60"/>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A62"/>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E36"/>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D4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3B2"/>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87D"/>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34E7"/>
    <w:rsid w:val="00834968"/>
    <w:rsid w:val="00834B53"/>
    <w:rsid w:val="00840298"/>
    <w:rsid w:val="00840D23"/>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D44"/>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9CE"/>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0E09"/>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5AE"/>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3E2"/>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537"/>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54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177"/>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3C84"/>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296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AD9"/>
    <w:rsid w:val="00E76FF1"/>
    <w:rsid w:val="00E774FE"/>
    <w:rsid w:val="00E809A0"/>
    <w:rsid w:val="00E80AF7"/>
    <w:rsid w:val="00E82BE4"/>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6834"/>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74B6240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748</Words>
  <Characters>4269</Characters>
  <Lines>35</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2020-11-29T05:03:00Z</dcterms:created>
  <dc:creator>Lilly</dc:creator>
  <cp:lastModifiedBy>汪洋</cp:lastModifiedBy>
  <cp:lastPrinted>2020-12-17T03:02:00Z</cp:lastPrinted>
  <dcterms:modified xsi:type="dcterms:W3CDTF">2020-12-30T01:59:10Z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