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4532399"/>
      <w:bookmarkStart w:id="1" w:name="_Toc483666358"/>
      <w:bookmarkStart w:id="2" w:name="_Toc482717189"/>
      <w:bookmarkStart w:id="3" w:name="_Toc483227223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不锈钢器具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370757"/>
      <w:bookmarkStart w:id="10" w:name="_Toc481702475"/>
      <w:bookmarkStart w:id="11" w:name="_Toc482360281"/>
      <w:bookmarkStart w:id="12" w:name="_Toc482359936"/>
      <w:bookmarkStart w:id="13" w:name="_Toc482370061"/>
      <w:bookmarkStart w:id="14" w:name="_Toc482370141"/>
      <w:bookmarkStart w:id="15" w:name="_Toc482625279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szCs w:val="21"/>
          <w:lang w:eastAsia="zh-CN"/>
        </w:rPr>
        <w:t>轮状疫苗楼不锈钢器具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107736"/>
      <w:bookmarkStart w:id="18" w:name="_Toc52271611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szCs w:val="21"/>
          <w:lang w:eastAsia="zh-CN"/>
        </w:rPr>
        <w:t>轮状疫苗楼不锈钢器具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 xml:space="preserve">中国药典 </w:t>
      </w:r>
      <w:r>
        <w:rPr>
          <w:iCs/>
          <w:szCs w:val="21"/>
        </w:rPr>
        <w:t>2015年版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《药品生产质量管理规范》（2</w:t>
      </w:r>
      <w:r>
        <w:rPr>
          <w:iCs/>
          <w:szCs w:val="21"/>
          <w:lang w:eastAsia="zh-CN"/>
        </w:rPr>
        <w:t>010</w:t>
      </w:r>
      <w:r>
        <w:rPr>
          <w:rFonts w:hint="eastAsia"/>
          <w:iCs/>
          <w:szCs w:val="21"/>
          <w:lang w:eastAsia="zh-CN"/>
        </w:rPr>
        <w:t>修订）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permStart w:id="6" w:edGrp="everyone"/>
      <w:r>
        <w:rPr>
          <w:rFonts w:hint="eastAsia"/>
          <w:iCs/>
          <w:szCs w:val="21"/>
          <w:lang w:eastAsia="zh-CN"/>
        </w:rPr>
        <w:t xml:space="preserve">《洁净室施工及验收规范》 </w:t>
      </w:r>
      <w:r>
        <w:rPr>
          <w:iCs/>
          <w:szCs w:val="21"/>
          <w:lang w:eastAsia="zh-CN"/>
        </w:rPr>
        <w:t>GB50591 2010</w:t>
      </w:r>
      <w:r>
        <w:rPr>
          <w:rFonts w:hint="eastAsia"/>
          <w:iCs/>
          <w:szCs w:val="21"/>
          <w:lang w:eastAsia="zh-CN"/>
        </w:rPr>
        <w:t>版</w:t>
      </w:r>
      <w:permEnd w:id="6"/>
      <w:permStart w:id="7" w:edGrp="everyone"/>
      <w:bookmarkStart w:id="48" w:name="_GoBack"/>
      <w:bookmarkEnd w:id="4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ermEnd w:id="7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Cs/>
          <w:szCs w:val="21"/>
          <w:lang w:eastAsia="zh-CN"/>
        </w:rPr>
      </w:pPr>
      <w:permStart w:id="8" w:edGrp="everyone"/>
      <w:r>
        <w:rPr>
          <w:rFonts w:hint="eastAsia"/>
          <w:iCs/>
          <w:szCs w:val="21"/>
          <w:lang w:eastAsia="zh-CN"/>
        </w:rPr>
        <w:t>轮状疫苗楼需购置各种不锈钢器具，用于物品转运、收纳及存放、清洗消毒、操作辅助等。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轮状疫苗楼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轮状疫苗楼平面图详见附件1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各房间不锈钢器具数量要求详见附件2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</w:t>
            </w:r>
            <w:r>
              <w:rPr>
                <w:rFonts w:hint="eastAsia"/>
                <w:szCs w:val="21"/>
                <w:lang w:eastAsia="zh-CN"/>
              </w:rPr>
              <w:t>我公司使用部门要求，且符合</w:t>
            </w:r>
            <w:r>
              <w:rPr>
                <w:szCs w:val="21"/>
                <w:lang w:eastAsia="zh-CN"/>
              </w:rPr>
              <w:t>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重量不超过房间承重要求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numId w:val="0"/>
              </w:numPr>
              <w:ind w:left="350" w:left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～32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 xml:space="preserve">环境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工作环境湿度：至少包括45%～65%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工作环境洁净级别：A级/B级/C级/D级/CNC区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1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不锈钢器具外观不得有明显划痕，滑轮不得沾染脏污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不锈钢器具不得有明显偏歪、毛刺和锈蚀等缺陷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不锈钢器具表面不得有异常鼓包、塌陷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不锈钢器具焊缝应齐平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不锈钢器具平面对角线误差不得≥2</w:t>
            </w:r>
            <w:r>
              <w:rPr>
                <w:iCs/>
                <w:lang w:eastAsia="zh-CN"/>
              </w:rPr>
              <w:t>mm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不锈钢器具边角应做钝化圆角处理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与地面接触的不锈钢器具需加装符合GMP材质要求的高强度尼龙防摩擦护脚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不锈钢器具各表面为拉丝面板，应光洁，抛光度＜0</w:t>
            </w:r>
            <w:r>
              <w:rPr>
                <w:iCs/>
                <w:lang w:eastAsia="zh-CN"/>
              </w:rPr>
              <w:t>.6S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不锈钢器具（含部件）的材质不劣于3</w:t>
            </w:r>
            <w:r>
              <w:rPr>
                <w:iCs/>
                <w:lang w:eastAsia="zh-CN"/>
              </w:rPr>
              <w:t>04</w:t>
            </w:r>
            <w:r>
              <w:rPr>
                <w:rFonts w:hint="eastAsia"/>
                <w:iCs/>
                <w:lang w:eastAsia="zh-CN"/>
              </w:rPr>
              <w:t>不锈钢，如有特殊要求时，不锈钢器具的材质应不劣于3</w:t>
            </w:r>
            <w:r>
              <w:rPr>
                <w:iCs/>
                <w:lang w:eastAsia="zh-CN"/>
              </w:rPr>
              <w:t>16L</w:t>
            </w:r>
            <w:r>
              <w:rPr>
                <w:rFonts w:hint="eastAsia"/>
                <w:iCs/>
                <w:lang w:eastAsia="zh-CN"/>
              </w:rPr>
              <w:t>不锈钢（如直接接触制品的部分等）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滑轮的材质需为特氟龙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不锈钢器具需耐高压、耐温（冷或热）、耐腐蚀、耐酸碱、耐消毒剂（包括但不限于乙醇、新洁尔灭、8</w:t>
            </w:r>
            <w:r>
              <w:rPr>
                <w:iCs/>
                <w:lang w:eastAsia="zh-CN"/>
              </w:rPr>
              <w:t>4</w:t>
            </w:r>
            <w:r>
              <w:rPr>
                <w:rFonts w:hint="eastAsia"/>
                <w:iCs/>
                <w:lang w:eastAsia="zh-CN"/>
              </w:rPr>
              <w:t>消毒液、臭氧、过氧化氢等）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</w:t>
            </w:r>
          </w:p>
        </w:tc>
      </w:tr>
      <w:bookmarkEnd w:id="24"/>
      <w:bookmarkEnd w:id="25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不锈钢器具的包装需满足运输和装卸要求，防潮湿、防磕碰、防振动</w:t>
            </w:r>
            <w:r>
              <w:rPr>
                <w:rFonts w:hint="eastAsia"/>
                <w:iCs/>
                <w:lang w:eastAsia="zh-CN"/>
              </w:rPr>
              <w:t>，如有轮子，应包裹轮子进车间，保证轮子不直接接触地面，运抵相应房间后才可去掉包装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包装采用三层，外壳为纸箱包装、外包气泡膜、不锈钢器具接触面采用塑料膜包裹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lang w:eastAsia="zh-CN"/>
              </w:rPr>
              <w:t>N</w:t>
            </w:r>
            <w:r>
              <w:rPr>
                <w:iCs/>
                <w:color w:val="000000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 w:colFirst="1" w:colLast="1"/>
            <w:permStart w:id="24" w:edGrp="everyone" w:colFirst="2" w:colLast="2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鞋柜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不锈钢整板加工，双层中空处理，整体厚度为1</w:t>
            </w:r>
            <w:r>
              <w:rPr>
                <w:iCs/>
                <w:color w:val="000000"/>
                <w:szCs w:val="21"/>
                <w:lang w:eastAsia="zh-CN"/>
              </w:rPr>
              <w:t>8mm-20mm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设计尺寸需求：</w:t>
            </w:r>
            <w:r>
              <w:rPr>
                <w:rFonts w:hint="eastAsia"/>
                <w:iCs/>
                <w:szCs w:val="21"/>
                <w:lang w:eastAsia="zh-CN"/>
              </w:rPr>
              <w:t>单格尺寸为2</w:t>
            </w:r>
            <w:r>
              <w:rPr>
                <w:iCs/>
                <w:szCs w:val="21"/>
                <w:lang w:eastAsia="zh-CN"/>
              </w:rPr>
              <w:t>60mm×300mm×210mm</w:t>
            </w:r>
            <w:r>
              <w:rPr>
                <w:rFonts w:hint="eastAsia"/>
                <w:iCs/>
                <w:szCs w:val="21"/>
                <w:lang w:eastAsia="zh-CN"/>
              </w:rPr>
              <w:t>（长×宽×高）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3</w:t>
            </w:r>
            <w:r>
              <w:rPr>
                <w:iCs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szCs w:val="21"/>
                <w:lang w:eastAsia="zh-CN"/>
              </w:rPr>
              <w:t>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下角靠墙壁部分圆弧设计与地脚匹配</w:t>
            </w:r>
            <w:r>
              <w:rPr>
                <w:iCs/>
                <w:szCs w:val="21"/>
                <w:lang w:eastAsia="zh-CN"/>
              </w:rPr>
              <w:t xml:space="preserve">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 w:colFirst="1" w:colLast="1"/>
            <w:permStart w:id="26" w:edGrp="everyone" w:colFirst="2" w:colLast="2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衣柜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.2mm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不锈钢整板加工，除柜门为单板外，其他均为双层中空处理，整体厚度为1</w:t>
            </w:r>
            <w:r>
              <w:rPr>
                <w:iCs/>
                <w:color w:val="000000"/>
                <w:szCs w:val="21"/>
                <w:lang w:eastAsia="zh-CN"/>
              </w:rPr>
              <w:t>8mm-20mm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设计尺寸需求：单格宽度不小于</w:t>
            </w:r>
            <w:r>
              <w:rPr>
                <w:iCs/>
                <w:color w:val="000000"/>
                <w:szCs w:val="21"/>
                <w:lang w:eastAsia="zh-CN"/>
              </w:rPr>
              <w:t>280mm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其他需求：带门，门上配备把手、门锁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单格衣柜内需配备晾衣杆和隔层，门后配备镜子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顶层斜面设计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                      下角靠墙壁部分圆弧设计与地脚匹配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货架1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</w:t>
            </w:r>
            <w:r>
              <w:rPr>
                <w:iCs/>
                <w:color w:val="000000"/>
                <w:szCs w:val="21"/>
                <w:lang w:eastAsia="zh-CN"/>
              </w:rPr>
              <w:t>1.5mm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38mm-40mm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</w:t>
            </w:r>
            <w:r>
              <w:rPr>
                <w:rFonts w:hint="eastAsia"/>
                <w:iCs/>
                <w:szCs w:val="21"/>
                <w:lang w:eastAsia="zh-CN"/>
              </w:rPr>
              <w:t>长度不短于</w:t>
            </w:r>
            <w:r>
              <w:rPr>
                <w:rFonts w:hint="eastAsia"/>
                <w:iCs/>
                <w:szCs w:val="21"/>
                <w:lang w:val="en-US" w:eastAsia="zh-CN"/>
              </w:rPr>
              <w:t>150</w:t>
            </w:r>
            <w:r>
              <w:rPr>
                <w:iCs/>
                <w:szCs w:val="21"/>
                <w:lang w:eastAsia="zh-CN"/>
              </w:rPr>
              <w:t>0mm</w:t>
            </w:r>
            <w:r>
              <w:rPr>
                <w:rFonts w:hint="eastAsia"/>
                <w:iCs/>
                <w:szCs w:val="21"/>
                <w:lang w:eastAsia="zh-CN"/>
              </w:rPr>
              <w:t>，宽度不小于5</w:t>
            </w:r>
            <w:r>
              <w:rPr>
                <w:iCs/>
                <w:szCs w:val="21"/>
                <w:lang w:eastAsia="zh-CN"/>
              </w:rPr>
              <w:t>00mm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iCs/>
                <w:szCs w:val="21"/>
                <w:lang w:eastAsia="zh-CN"/>
              </w:rPr>
              <w:t>三层设计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货架2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</w:t>
            </w:r>
            <w:r>
              <w:rPr>
                <w:iCs/>
                <w:color w:val="000000"/>
                <w:szCs w:val="21"/>
                <w:lang w:eastAsia="zh-CN"/>
              </w:rPr>
              <w:t>1.5mm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38mm-40mm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</w:t>
            </w:r>
            <w:r>
              <w:rPr>
                <w:rFonts w:hint="eastAsia"/>
                <w:iCs/>
                <w:szCs w:val="21"/>
                <w:lang w:eastAsia="zh-CN"/>
              </w:rPr>
              <w:t>长度不短于</w:t>
            </w:r>
            <w:r>
              <w:rPr>
                <w:rFonts w:hint="eastAsia"/>
                <w:iCs/>
                <w:szCs w:val="21"/>
                <w:lang w:val="en-US" w:eastAsia="zh-CN"/>
              </w:rPr>
              <w:t>180</w:t>
            </w:r>
            <w:r>
              <w:rPr>
                <w:iCs/>
                <w:szCs w:val="21"/>
                <w:lang w:eastAsia="zh-CN"/>
              </w:rPr>
              <w:t>0mm</w:t>
            </w:r>
            <w:r>
              <w:rPr>
                <w:rFonts w:hint="eastAsia"/>
                <w:iCs/>
                <w:szCs w:val="21"/>
                <w:lang w:eastAsia="zh-CN"/>
              </w:rPr>
              <w:t>，宽度不小于</w:t>
            </w:r>
            <w:r>
              <w:rPr>
                <w:iCs/>
                <w:szCs w:val="21"/>
                <w:lang w:eastAsia="zh-CN"/>
              </w:rPr>
              <w:t>400mm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iCs/>
                <w:szCs w:val="21"/>
                <w:lang w:eastAsia="zh-CN"/>
              </w:rPr>
              <w:t>三层设计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货架3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</w:t>
            </w:r>
            <w:r>
              <w:rPr>
                <w:iCs/>
                <w:color w:val="000000"/>
                <w:szCs w:val="21"/>
                <w:lang w:eastAsia="zh-CN"/>
              </w:rPr>
              <w:t>1.5mm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38mm-40mm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</w:t>
            </w:r>
            <w:r>
              <w:rPr>
                <w:rFonts w:hint="eastAsia"/>
                <w:iCs/>
                <w:szCs w:val="21"/>
                <w:lang w:eastAsia="zh-CN"/>
              </w:rPr>
              <w:t>单层高度不低于</w:t>
            </w:r>
            <w:r>
              <w:rPr>
                <w:iCs/>
                <w:szCs w:val="21"/>
                <w:lang w:eastAsia="zh-CN"/>
              </w:rPr>
              <w:t>350mm</w:t>
            </w:r>
            <w:r>
              <w:rPr>
                <w:rFonts w:hint="eastAsia"/>
                <w:iCs/>
                <w:szCs w:val="21"/>
                <w:lang w:eastAsia="zh-CN"/>
              </w:rPr>
              <w:t>，宽度不小于5</w:t>
            </w:r>
            <w:r>
              <w:rPr>
                <w:iCs/>
                <w:szCs w:val="21"/>
                <w:lang w:eastAsia="zh-CN"/>
              </w:rPr>
              <w:t>00mm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iCs/>
                <w:szCs w:val="21"/>
                <w:lang w:eastAsia="zh-CN"/>
              </w:rPr>
              <w:t>双层设计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货架</w:t>
            </w:r>
            <w:r>
              <w:rPr>
                <w:szCs w:val="21"/>
                <w:lang w:val="en-US" w:eastAsia="zh-CN"/>
              </w:rPr>
              <w:t>4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</w:t>
            </w:r>
            <w:r>
              <w:rPr>
                <w:iCs/>
                <w:color w:val="000000"/>
                <w:szCs w:val="21"/>
                <w:lang w:eastAsia="zh-CN"/>
              </w:rPr>
              <w:t>1.5mm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38mm-40mm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</w:t>
            </w:r>
            <w:r>
              <w:rPr>
                <w:rFonts w:hint="eastAsia"/>
                <w:iCs/>
                <w:szCs w:val="21"/>
                <w:lang w:eastAsia="zh-CN"/>
              </w:rPr>
              <w:t>单层高度不低于</w:t>
            </w:r>
            <w:r>
              <w:rPr>
                <w:rFonts w:hint="eastAsia"/>
                <w:iCs/>
                <w:szCs w:val="21"/>
                <w:lang w:val="en-US" w:eastAsia="zh-CN"/>
              </w:rPr>
              <w:t>900</w:t>
            </w:r>
            <w:r>
              <w:rPr>
                <w:iCs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szCs w:val="21"/>
                <w:lang w:eastAsia="zh-CN"/>
              </w:rPr>
              <w:t>，宽度不小于5</w:t>
            </w:r>
            <w:r>
              <w:rPr>
                <w:iCs/>
                <w:szCs w:val="21"/>
                <w:lang w:eastAsia="zh-CN"/>
              </w:rPr>
              <w:t>00mm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其他需求：双</w:t>
            </w:r>
            <w:r>
              <w:rPr>
                <w:rFonts w:hint="eastAsia"/>
                <w:iCs/>
                <w:szCs w:val="21"/>
                <w:lang w:eastAsia="zh-CN"/>
              </w:rPr>
              <w:t>层设计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货架5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</w:t>
            </w:r>
            <w:r>
              <w:rPr>
                <w:iCs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0</w:t>
            </w:r>
            <w:r>
              <w:rPr>
                <w:iCs/>
                <w:color w:val="000000"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不锈钢整板加工，双层镂空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</w:t>
            </w:r>
            <w:r>
              <w:rPr>
                <w:rFonts w:hint="eastAsia"/>
                <w:iCs/>
                <w:szCs w:val="21"/>
                <w:lang w:eastAsia="zh-CN"/>
              </w:rPr>
              <w:t>单层高度不低于</w:t>
            </w:r>
            <w:r>
              <w:rPr>
                <w:rFonts w:hint="eastAsia"/>
                <w:iCs/>
                <w:szCs w:val="21"/>
                <w:lang w:val="en-US" w:eastAsia="zh-CN"/>
              </w:rPr>
              <w:t>400</w:t>
            </w:r>
            <w:r>
              <w:rPr>
                <w:iCs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szCs w:val="21"/>
                <w:lang w:eastAsia="zh-CN"/>
              </w:rPr>
              <w:t>，宽度不小于5</w:t>
            </w:r>
            <w:r>
              <w:rPr>
                <w:iCs/>
                <w:szCs w:val="21"/>
                <w:lang w:eastAsia="zh-CN"/>
              </w:rPr>
              <w:t>00mm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其他需求：双</w:t>
            </w:r>
            <w:r>
              <w:rPr>
                <w:rFonts w:hint="eastAsia"/>
                <w:iCs/>
                <w:szCs w:val="21"/>
                <w:lang w:eastAsia="zh-CN"/>
              </w:rPr>
              <w:t>层设计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工作台</w:t>
            </w:r>
          </w:p>
          <w:p>
            <w:pPr>
              <w:spacing w:line="276" w:lineRule="auto"/>
              <w:rPr>
                <w:iCs/>
                <w:color w:val="FF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</w:t>
            </w:r>
            <w:r>
              <w:rPr>
                <w:iCs/>
                <w:color w:val="FF0000"/>
                <w:szCs w:val="21"/>
                <w:lang w:eastAsia="zh-CN"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桌腿间需要有横梁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凳子</w:t>
            </w:r>
          </w:p>
          <w:p>
            <w:pPr>
              <w:spacing w:line="276" w:lineRule="auto"/>
              <w:rPr>
                <w:iCs/>
                <w:color w:val="FF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iCs/>
                <w:color w:val="FF0000"/>
                <w:szCs w:val="21"/>
                <w:lang w:eastAsia="zh-CN"/>
              </w:rPr>
              <w:t xml:space="preserve"> </w:t>
            </w:r>
          </w:p>
          <w:p>
            <w:pPr>
              <w:spacing w:line="276" w:lineRule="auto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2</w:t>
            </w:r>
            <w:r>
              <w:rPr>
                <w:iCs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整体荷载要求不低于</w:t>
            </w:r>
            <w:r>
              <w:rPr>
                <w:szCs w:val="21"/>
                <w:lang w:val="en-US" w:eastAsia="zh-CN"/>
              </w:rPr>
              <w:t>120kg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椅腿间需要有横梁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高凳子</w:t>
            </w:r>
          </w:p>
          <w:p>
            <w:pPr>
              <w:spacing w:line="276" w:lineRule="auto"/>
              <w:rPr>
                <w:iCs/>
                <w:color w:val="FF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iCs/>
                <w:color w:val="FF0000"/>
                <w:szCs w:val="21"/>
                <w:lang w:eastAsia="zh-CN"/>
              </w:rPr>
              <w:t xml:space="preserve"> </w:t>
            </w:r>
          </w:p>
          <w:p>
            <w:pPr>
              <w:spacing w:line="276" w:lineRule="auto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2</w:t>
            </w:r>
            <w:r>
              <w:rPr>
                <w:iCs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整体荷载要求不低于</w:t>
            </w:r>
            <w:r>
              <w:rPr>
                <w:szCs w:val="21"/>
                <w:lang w:val="en-US" w:eastAsia="zh-CN"/>
              </w:rPr>
              <w:t>120kg</w:t>
            </w:r>
          </w:p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椅腿间需要有横梁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衣盒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1</w:t>
            </w:r>
            <w:r>
              <w:rPr>
                <w:iCs/>
                <w:color w:val="000000"/>
                <w:szCs w:val="21"/>
                <w:lang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.2mm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3</w:t>
            </w:r>
            <w:r>
              <w:rPr>
                <w:iCs/>
                <w:color w:val="000000"/>
                <w:szCs w:val="21"/>
                <w:lang w:eastAsia="zh-CN"/>
              </w:rPr>
              <w:t>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尺寸：（需能放</w:t>
            </w:r>
            <w:r>
              <w:rPr>
                <w:iCs/>
                <w:color w:val="000000"/>
                <w:szCs w:val="21"/>
                <w:lang w:eastAsia="zh-CN"/>
              </w:rPr>
              <w:t>20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件洁净服）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器具盒（用于物品高压灭菌）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.2mm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需</w:t>
            </w: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工具盒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盒子（不带盖）</w:t>
            </w:r>
          </w:p>
          <w:p>
            <w:pPr>
              <w:spacing w:line="276" w:lineRule="auto"/>
              <w:jc w:val="both"/>
              <w:rPr>
                <w:rFonts w:hint="default"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垃圾盒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.2mm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文件盒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尺寸：</w:t>
            </w:r>
            <w:r>
              <w:rPr>
                <w:rFonts w:hint="eastAsia"/>
                <w:szCs w:val="21"/>
                <w:lang w:val="en-US" w:eastAsia="zh-CN"/>
              </w:rPr>
              <w:t>需能放置A</w:t>
            </w:r>
            <w:r>
              <w:rPr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打印纸 ，高度不小于1</w:t>
            </w:r>
            <w:r>
              <w:rPr>
                <w:szCs w:val="21"/>
                <w:lang w:val="en-US" w:eastAsia="zh-CN"/>
              </w:rPr>
              <w:t>00mm</w:t>
            </w:r>
          </w:p>
          <w:p>
            <w:pPr>
              <w:spacing w:line="276" w:lineRule="auto"/>
              <w:jc w:val="both"/>
              <w:rPr>
                <w:iCs/>
                <w:color w:val="FF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手套盒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口罩盒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方盒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侧面需配备透气孔，并有可关闭的活动门封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 xml:space="preserve">                      配备可折叠提手和搭扣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灭菌柜外车（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8.0㎡）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1.0</w:t>
            </w:r>
            <w:r>
              <w:rPr>
                <w:iCs/>
                <w:color w:val="000000"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rFonts w:hint="default"/>
                <w:iCs/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根据灭菌柜结构设计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灭菌柜外车（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3.0㎡）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采用厚度不低于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1.0</w:t>
            </w:r>
            <w:r>
              <w:rPr>
                <w:iCs/>
                <w:color w:val="000000"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.其他需求：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根据灭菌柜结构设计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平板推车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不锈钢，面板与加固筋采用高精度焊接；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其他需求：两个万向轮，轮子尺寸为6寸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平板两角配备防撞垫片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双层推车1（大号）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尺寸</w:t>
            </w:r>
            <w:r>
              <w:rPr>
                <w:rFonts w:hint="eastAsia"/>
                <w:szCs w:val="21"/>
                <w:lang w:val="en-US" w:eastAsia="zh-CN"/>
              </w:rPr>
              <w:t>： 层间高度不低于5</w:t>
            </w:r>
            <w:r>
              <w:rPr>
                <w:szCs w:val="21"/>
                <w:lang w:val="en-US" w:eastAsia="zh-CN"/>
              </w:rPr>
              <w:t>70mm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其他需求：四个万向轮，至少两个万向轮带刹车，轮子尺寸为4寸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三边有护栏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双层推车2（小号）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尺寸</w:t>
            </w:r>
            <w:r>
              <w:rPr>
                <w:rFonts w:hint="eastAsia"/>
                <w:szCs w:val="21"/>
                <w:lang w:val="en-US" w:eastAsia="zh-CN"/>
              </w:rPr>
              <w:t>： 层间高度不小于5</w:t>
            </w:r>
            <w:r>
              <w:rPr>
                <w:szCs w:val="21"/>
                <w:lang w:val="en-US" w:eastAsia="zh-CN"/>
              </w:rPr>
              <w:t>40mm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其他需求：两个万向轮带刹车，轮子尺寸为4寸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平板四角配备防撞垫片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四边有护栏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EMP专用推车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不锈钢方管，面板与加固筋采用高精度焊接；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尺寸</w:t>
            </w:r>
            <w:r>
              <w:rPr>
                <w:rFonts w:hint="eastAsia"/>
                <w:szCs w:val="21"/>
                <w:lang w:val="en-US" w:eastAsia="zh-CN"/>
              </w:rPr>
              <w:t>： 层间高度不低于6</w:t>
            </w:r>
            <w:r>
              <w:rPr>
                <w:szCs w:val="21"/>
                <w:lang w:val="en-US" w:eastAsia="zh-CN"/>
              </w:rPr>
              <w:t>50mm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3.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其他需求：四个万向轮，至少两个万向轮带刹车，轮子尺寸为4寸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平板四角配备防撞垫片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三边有护栏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移动平台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不锈钢，面板与加固筋采用高精度焊接；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其他需求：四个万向轮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 xml:space="preserve"> 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                  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三边有护栏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地台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不锈钢，面板与加固筋采用高精度焊接；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整体荷载要求不低于300kg/㎡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移动步梯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不锈钢整板加工，双层中空加固处理，整体厚度为</w:t>
            </w:r>
            <w:r>
              <w:rPr>
                <w:iCs/>
                <w:color w:val="000000"/>
                <w:szCs w:val="21"/>
                <w:lang w:eastAsia="zh-CN"/>
              </w:rPr>
              <w:t>38-40mm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；加固筋采用SUS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不锈钢方管，面板与加固筋采用高精度焊接；</w:t>
            </w:r>
          </w:p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整体荷载要求不低于300kg/㎡</w:t>
            </w:r>
          </w:p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板面有防滑花纹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洁具架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szCs w:val="21"/>
                <w:lang w:eastAsia="zh-CN"/>
              </w:rPr>
              <w:t>其他需求：配备1</w:t>
            </w:r>
            <w:r>
              <w:rPr>
                <w:iCs/>
                <w:szCs w:val="21"/>
                <w:lang w:eastAsia="zh-CN"/>
              </w:rPr>
              <w:t>0</w:t>
            </w:r>
            <w:r>
              <w:rPr>
                <w:rFonts w:hint="eastAsia"/>
                <w:iCs/>
                <w:szCs w:val="21"/>
                <w:lang w:eastAsia="zh-CN"/>
              </w:rPr>
              <w:t>个挂钩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衣物回收框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其他需求：四个万向轮，推运过程顺滑无阻滞感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鞋架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其他需求：长度不短于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3600mm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挂钩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szCs w:val="21"/>
                <w:lang w:eastAsia="zh-CN"/>
              </w:rPr>
              <w:t>其他需求：配备1</w:t>
            </w:r>
            <w:r>
              <w:rPr>
                <w:iCs/>
                <w:szCs w:val="21"/>
                <w:lang w:eastAsia="zh-CN"/>
              </w:rPr>
              <w:t>0</w:t>
            </w:r>
            <w:r>
              <w:rPr>
                <w:rFonts w:hint="eastAsia"/>
                <w:iCs/>
                <w:szCs w:val="21"/>
                <w:lang w:eastAsia="zh-CN"/>
              </w:rPr>
              <w:t>个挂钩</w:t>
            </w:r>
          </w:p>
          <w:p>
            <w:pPr>
              <w:spacing w:line="276" w:lineRule="auto"/>
              <w:jc w:val="both"/>
              <w:rPr>
                <w:rFonts w:hint="default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 xml:space="preserve">                       负责现场安装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沥水盘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304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镂空设计，与水槽卡接处需要配备防滑垫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倒冲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2.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</w:t>
            </w:r>
            <w:r>
              <w:rPr>
                <w:rFonts w:hint="eastAsia"/>
                <w:szCs w:val="21"/>
                <w:lang w:val="en-US" w:eastAsia="zh-CN"/>
              </w:rPr>
              <w:t>进水口可与硅胶软管连接，有阀门控制。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分装罩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采用1</w:t>
            </w:r>
            <w:r>
              <w:rPr>
                <w:iCs/>
                <w:color w:val="000000"/>
                <w:szCs w:val="21"/>
                <w:lang w:eastAsia="zh-CN"/>
              </w:rPr>
              <w:t>.5mm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厚度的SUS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不锈钢整板加工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其他需求：设计方便旋转使用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药匙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iCs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材质需求：采用</w:t>
            </w:r>
            <w:r>
              <w:rPr>
                <w:iCs/>
                <w:color w:val="000000"/>
                <w:szCs w:val="21"/>
                <w:lang w:eastAsia="zh-CN"/>
              </w:rPr>
              <w:t>SUS316L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铁架台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其他需求：夹口配备防滑套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酒精灯</w:t>
            </w:r>
          </w:p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.材质需求：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采用SUS</w:t>
            </w:r>
            <w:r>
              <w:rPr>
                <w:iCs/>
                <w:color w:val="000000"/>
                <w:szCs w:val="21"/>
                <w:lang w:eastAsia="zh-CN"/>
              </w:rPr>
              <w:t xml:space="preserve"> 316L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不锈钢加工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其他需求：方便提取使用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所有与水平面接触的不锈钢器具须保持平稳，不得有晃动，桌子、操作台、货架应具备水平调节装置。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625289"/>
      <w:bookmarkStart w:id="31" w:name="_Toc482370071"/>
      <w:bookmarkStart w:id="32" w:name="_Toc482370359"/>
      <w:bookmarkStart w:id="33" w:name="_Toc482360291"/>
      <w:bookmarkStart w:id="34" w:name="_Toc482370151"/>
      <w:bookmarkStart w:id="35" w:name="_Toc482369815"/>
      <w:bookmarkStart w:id="36" w:name="_Toc483227237"/>
      <w:bookmarkStart w:id="37" w:name="_Toc483400317"/>
      <w:bookmarkStart w:id="38" w:name="_Toc482370767"/>
      <w:bookmarkStart w:id="39" w:name="_Toc481702480"/>
      <w:bookmarkStart w:id="40" w:name="_Toc482717202"/>
      <w:bookmarkStart w:id="41" w:name="_Toc482359946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9" w:edGrp="everyone"/>
    </w:p>
    <w:permEnd w:id="29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3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1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2" w:edGrp="everyone"/>
    </w:p>
    <w:permEnd w:id="32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3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3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5" w:edGrp="everyone"/>
    </w:p>
    <w:permEnd w:id="35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设计选型文件：详细功能说明书；须提供功能描述和标准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图纸：实物图、尺寸图、局部图（与功能相关的细节图）、注释参考、图纸清单等的电子版及纸质版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交付计划表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设备厂家文件：出厂测试合格证、相关检测报告、各种标示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材料清单及材料证书（写明材料有效期）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设备清单、组件清单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供应商需提供车轮、垫脚、提手、搭扣等易损备品备件清单，包含品牌、产地、规格及必要说明。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7" w:edGrp="everyone"/>
    </w:p>
    <w:permEnd w:id="37"/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供应商应免费对使用方人员进行全面培训，包括对生产操作人员及维护、维修人员，并填写培训记录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。合格标准为用户参加培训人员能够独立正确操作，会排除常见故障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维护、维修人员培训应包括结构原理、基本操作、维修、日常保养内容、故障排除等基本知识。合格标准为维修人员能对机械、电器部分进行基本维修，能够了解设备日常保养内容，能对造成常见故障的易损部件有明确认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</w:t>
            </w:r>
            <w:r>
              <w:rPr>
                <w:rFonts w:hint="eastAsia"/>
                <w:lang w:eastAsia="zh-CN"/>
              </w:rPr>
              <w:t>、生锈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rPr>
                <w:szCs w:val="21"/>
              </w:rPr>
            </w:pPr>
            <w:permStart w:id="4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设备保质期从确认验收的阶段就开始计算，设备质保期为一年，一年内免费保修，一年后应提供良好的售后服务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供应商进厂施工需遵守安全和安装规定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确认试车验收合格后，买卖双方签订验收报告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6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357"/>
        <w:jc w:val="left"/>
        <w:rPr>
          <w:rFonts w:hint="default"/>
          <w:iCs/>
          <w:szCs w:val="21"/>
          <w:lang w:val="en-US" w:eastAsia="zh-CN"/>
        </w:rPr>
      </w:pPr>
      <w:permStart w:id="47" w:edGrp="everyone"/>
      <w:r>
        <w:rPr>
          <w:rFonts w:hint="eastAsia"/>
          <w:iCs/>
          <w:szCs w:val="21"/>
          <w:lang w:eastAsia="zh-CN"/>
        </w:rPr>
        <w:t>附件</w:t>
      </w:r>
      <w:r>
        <w:rPr>
          <w:rFonts w:hint="eastAsia"/>
          <w:iCs/>
          <w:szCs w:val="21"/>
          <w:lang w:val="en-US" w:eastAsia="zh-CN"/>
        </w:rPr>
        <w:t>1：</w:t>
      </w:r>
      <w:r>
        <w:rPr>
          <w:rFonts w:hint="eastAsia"/>
          <w:iCs/>
          <w:szCs w:val="21"/>
          <w:lang w:eastAsia="zh-CN"/>
        </w:rPr>
        <w:t>轮状疫苗楼平面图</w:t>
      </w:r>
    </w:p>
    <w:p>
      <w:pPr>
        <w:pStyle w:val="34"/>
        <w:spacing w:before="0" w:line="360" w:lineRule="auto"/>
        <w:ind w:left="357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附件</w:t>
      </w:r>
      <w:r>
        <w:rPr>
          <w:rFonts w:hint="eastAsia"/>
          <w:iCs/>
          <w:szCs w:val="21"/>
          <w:lang w:val="en-US" w:eastAsia="zh-CN"/>
        </w:rPr>
        <w:t>2</w:t>
      </w:r>
      <w:r>
        <w:rPr>
          <w:rFonts w:hint="eastAsia"/>
          <w:iCs/>
          <w:szCs w:val="21"/>
          <w:lang w:eastAsia="zh-CN"/>
        </w:rPr>
        <w:t>：不锈钢器具数量表</w:t>
      </w:r>
      <w:permEnd w:id="47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56887195">
    <w:nsid w:val="2D1D2E9B"/>
    <w:multiLevelType w:val="singleLevel"/>
    <w:tmpl w:val="2D1D2E9B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756887195"/>
  </w:num>
  <w:num w:numId="10">
    <w:abstractNumId w:val="839589741"/>
  </w:num>
  <w:num w:numId="11">
    <w:abstractNumId w:val="196115971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08C5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039D"/>
    <w:rsid w:val="0001160E"/>
    <w:rsid w:val="000117C7"/>
    <w:rsid w:val="000169DD"/>
    <w:rsid w:val="00020FEA"/>
    <w:rsid w:val="00021822"/>
    <w:rsid w:val="00022818"/>
    <w:rsid w:val="000233DE"/>
    <w:rsid w:val="00023B07"/>
    <w:rsid w:val="00023CAD"/>
    <w:rsid w:val="0002457E"/>
    <w:rsid w:val="00026F1F"/>
    <w:rsid w:val="000275E7"/>
    <w:rsid w:val="000303D0"/>
    <w:rsid w:val="00031243"/>
    <w:rsid w:val="00031900"/>
    <w:rsid w:val="000355F3"/>
    <w:rsid w:val="000366FA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EB4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369D"/>
    <w:rsid w:val="00095777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83F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6660"/>
    <w:rsid w:val="000F0D08"/>
    <w:rsid w:val="000F2CD3"/>
    <w:rsid w:val="000F36B9"/>
    <w:rsid w:val="000F3A00"/>
    <w:rsid w:val="000F4DAF"/>
    <w:rsid w:val="000F4E03"/>
    <w:rsid w:val="000F5E32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15A0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59D5"/>
    <w:rsid w:val="001560AD"/>
    <w:rsid w:val="0015633E"/>
    <w:rsid w:val="00156AC5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350E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0136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6629"/>
    <w:rsid w:val="001F7405"/>
    <w:rsid w:val="001F7E95"/>
    <w:rsid w:val="00201487"/>
    <w:rsid w:val="00202FED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1BB8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0F75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87204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326A"/>
    <w:rsid w:val="002A42F8"/>
    <w:rsid w:val="002A45F6"/>
    <w:rsid w:val="002A547B"/>
    <w:rsid w:val="002A588E"/>
    <w:rsid w:val="002A7980"/>
    <w:rsid w:val="002B0442"/>
    <w:rsid w:val="002B0A7C"/>
    <w:rsid w:val="002B14F3"/>
    <w:rsid w:val="002B36D7"/>
    <w:rsid w:val="002B480A"/>
    <w:rsid w:val="002B6016"/>
    <w:rsid w:val="002B67A2"/>
    <w:rsid w:val="002B6854"/>
    <w:rsid w:val="002B76CB"/>
    <w:rsid w:val="002C1817"/>
    <w:rsid w:val="002C1DAB"/>
    <w:rsid w:val="002C4FCF"/>
    <w:rsid w:val="002C527C"/>
    <w:rsid w:val="002C7888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07DC"/>
    <w:rsid w:val="0031191C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260BD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5B9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228D"/>
    <w:rsid w:val="0038326A"/>
    <w:rsid w:val="0038367F"/>
    <w:rsid w:val="00387B81"/>
    <w:rsid w:val="003909C5"/>
    <w:rsid w:val="00391016"/>
    <w:rsid w:val="003924E4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A78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3CEB"/>
    <w:rsid w:val="003B4A5D"/>
    <w:rsid w:val="003B5047"/>
    <w:rsid w:val="003B6E29"/>
    <w:rsid w:val="003B73AB"/>
    <w:rsid w:val="003C02C6"/>
    <w:rsid w:val="003C03D7"/>
    <w:rsid w:val="003C0712"/>
    <w:rsid w:val="003C240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D7C5D"/>
    <w:rsid w:val="003E49F8"/>
    <w:rsid w:val="003E5109"/>
    <w:rsid w:val="003E60EE"/>
    <w:rsid w:val="003E6B48"/>
    <w:rsid w:val="003E748F"/>
    <w:rsid w:val="003F1BD0"/>
    <w:rsid w:val="003F23BC"/>
    <w:rsid w:val="003F2BDA"/>
    <w:rsid w:val="003F3AE1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0D8"/>
    <w:rsid w:val="0042116C"/>
    <w:rsid w:val="00421529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5E1"/>
    <w:rsid w:val="00494F07"/>
    <w:rsid w:val="00496116"/>
    <w:rsid w:val="004965A0"/>
    <w:rsid w:val="00497335"/>
    <w:rsid w:val="004A05A7"/>
    <w:rsid w:val="004A3F98"/>
    <w:rsid w:val="004A5532"/>
    <w:rsid w:val="004A5958"/>
    <w:rsid w:val="004A6CF4"/>
    <w:rsid w:val="004A76DF"/>
    <w:rsid w:val="004A7CA7"/>
    <w:rsid w:val="004B0A75"/>
    <w:rsid w:val="004B2190"/>
    <w:rsid w:val="004B69B2"/>
    <w:rsid w:val="004B72AB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45D"/>
    <w:rsid w:val="004D67B1"/>
    <w:rsid w:val="004D6E17"/>
    <w:rsid w:val="004D7128"/>
    <w:rsid w:val="004D751D"/>
    <w:rsid w:val="004E05C2"/>
    <w:rsid w:val="004E0B02"/>
    <w:rsid w:val="004E0C0D"/>
    <w:rsid w:val="004E255F"/>
    <w:rsid w:val="004E26A9"/>
    <w:rsid w:val="004E2DA4"/>
    <w:rsid w:val="004E4C2D"/>
    <w:rsid w:val="004F0539"/>
    <w:rsid w:val="004F10A4"/>
    <w:rsid w:val="004F24DD"/>
    <w:rsid w:val="004F342E"/>
    <w:rsid w:val="004F4C63"/>
    <w:rsid w:val="004F5AE6"/>
    <w:rsid w:val="004F5C19"/>
    <w:rsid w:val="004F7B6A"/>
    <w:rsid w:val="0050090F"/>
    <w:rsid w:val="00500BD7"/>
    <w:rsid w:val="00501081"/>
    <w:rsid w:val="0050208D"/>
    <w:rsid w:val="0050284B"/>
    <w:rsid w:val="00502F99"/>
    <w:rsid w:val="005033F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24F2B"/>
    <w:rsid w:val="00530B8F"/>
    <w:rsid w:val="00530F62"/>
    <w:rsid w:val="00531434"/>
    <w:rsid w:val="00531754"/>
    <w:rsid w:val="00534840"/>
    <w:rsid w:val="00534D08"/>
    <w:rsid w:val="00535699"/>
    <w:rsid w:val="00536973"/>
    <w:rsid w:val="00536C6B"/>
    <w:rsid w:val="00544003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79B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0ACB"/>
    <w:rsid w:val="00591A70"/>
    <w:rsid w:val="00592624"/>
    <w:rsid w:val="00593AF8"/>
    <w:rsid w:val="00593EC9"/>
    <w:rsid w:val="0059450E"/>
    <w:rsid w:val="005964B1"/>
    <w:rsid w:val="005965FD"/>
    <w:rsid w:val="00597FCC"/>
    <w:rsid w:val="005A132A"/>
    <w:rsid w:val="005A337C"/>
    <w:rsid w:val="005A34B0"/>
    <w:rsid w:val="005A3ECF"/>
    <w:rsid w:val="005A6821"/>
    <w:rsid w:val="005A694B"/>
    <w:rsid w:val="005B2393"/>
    <w:rsid w:val="005B30DF"/>
    <w:rsid w:val="005B6B3E"/>
    <w:rsid w:val="005B72B6"/>
    <w:rsid w:val="005B750A"/>
    <w:rsid w:val="005C2B89"/>
    <w:rsid w:val="005C2FA7"/>
    <w:rsid w:val="005C386F"/>
    <w:rsid w:val="005C42AC"/>
    <w:rsid w:val="005C4D05"/>
    <w:rsid w:val="005C506B"/>
    <w:rsid w:val="005C53D6"/>
    <w:rsid w:val="005C71BF"/>
    <w:rsid w:val="005C723D"/>
    <w:rsid w:val="005C7601"/>
    <w:rsid w:val="005D1094"/>
    <w:rsid w:val="005D3394"/>
    <w:rsid w:val="005D3989"/>
    <w:rsid w:val="005D42FF"/>
    <w:rsid w:val="005E2725"/>
    <w:rsid w:val="005E2ED0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4F68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67FE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2A0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3FD8"/>
    <w:rsid w:val="00680BE8"/>
    <w:rsid w:val="006860A5"/>
    <w:rsid w:val="00686409"/>
    <w:rsid w:val="00686D19"/>
    <w:rsid w:val="0068777F"/>
    <w:rsid w:val="00693018"/>
    <w:rsid w:val="006A0059"/>
    <w:rsid w:val="006A4422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0BAE"/>
    <w:rsid w:val="006E152B"/>
    <w:rsid w:val="006E36D1"/>
    <w:rsid w:val="006E4002"/>
    <w:rsid w:val="006E4DB6"/>
    <w:rsid w:val="006E622E"/>
    <w:rsid w:val="006E7938"/>
    <w:rsid w:val="006E79FB"/>
    <w:rsid w:val="006F229A"/>
    <w:rsid w:val="006F3086"/>
    <w:rsid w:val="006F3BB9"/>
    <w:rsid w:val="006F4AA6"/>
    <w:rsid w:val="007007FA"/>
    <w:rsid w:val="007036CA"/>
    <w:rsid w:val="00703799"/>
    <w:rsid w:val="007041CB"/>
    <w:rsid w:val="00705090"/>
    <w:rsid w:val="00705102"/>
    <w:rsid w:val="00705DDB"/>
    <w:rsid w:val="0070675E"/>
    <w:rsid w:val="00706A0E"/>
    <w:rsid w:val="007074CC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A80"/>
    <w:rsid w:val="00726CB6"/>
    <w:rsid w:val="00727255"/>
    <w:rsid w:val="0072779B"/>
    <w:rsid w:val="00727CCF"/>
    <w:rsid w:val="0073446D"/>
    <w:rsid w:val="007349FF"/>
    <w:rsid w:val="00734B45"/>
    <w:rsid w:val="00736FFB"/>
    <w:rsid w:val="00737BB1"/>
    <w:rsid w:val="00740080"/>
    <w:rsid w:val="00741A30"/>
    <w:rsid w:val="00741FC1"/>
    <w:rsid w:val="007504DC"/>
    <w:rsid w:val="0075142F"/>
    <w:rsid w:val="00751965"/>
    <w:rsid w:val="007524EF"/>
    <w:rsid w:val="00752689"/>
    <w:rsid w:val="00754DFA"/>
    <w:rsid w:val="007566DD"/>
    <w:rsid w:val="00756D1D"/>
    <w:rsid w:val="00760886"/>
    <w:rsid w:val="00760914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68BB"/>
    <w:rsid w:val="007A75EF"/>
    <w:rsid w:val="007B03B6"/>
    <w:rsid w:val="007B04A8"/>
    <w:rsid w:val="007B1257"/>
    <w:rsid w:val="007B1450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537D"/>
    <w:rsid w:val="007C5DC6"/>
    <w:rsid w:val="007C668F"/>
    <w:rsid w:val="007C723F"/>
    <w:rsid w:val="007C778D"/>
    <w:rsid w:val="007D07D6"/>
    <w:rsid w:val="007D18A6"/>
    <w:rsid w:val="007D1CA0"/>
    <w:rsid w:val="007D2DF5"/>
    <w:rsid w:val="007D4698"/>
    <w:rsid w:val="007D4994"/>
    <w:rsid w:val="007D4BB3"/>
    <w:rsid w:val="007D4F6E"/>
    <w:rsid w:val="007D5ECD"/>
    <w:rsid w:val="007D61CA"/>
    <w:rsid w:val="007D6DCF"/>
    <w:rsid w:val="007D6F0D"/>
    <w:rsid w:val="007D7861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248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37F4D"/>
    <w:rsid w:val="00840298"/>
    <w:rsid w:val="00841BE4"/>
    <w:rsid w:val="00845A53"/>
    <w:rsid w:val="00847E8C"/>
    <w:rsid w:val="008505E1"/>
    <w:rsid w:val="00850B19"/>
    <w:rsid w:val="00852488"/>
    <w:rsid w:val="00852C12"/>
    <w:rsid w:val="00853943"/>
    <w:rsid w:val="0085405E"/>
    <w:rsid w:val="008571DD"/>
    <w:rsid w:val="0085772E"/>
    <w:rsid w:val="00860344"/>
    <w:rsid w:val="00860E2C"/>
    <w:rsid w:val="008646B0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5BD9"/>
    <w:rsid w:val="00896CEC"/>
    <w:rsid w:val="00897A9C"/>
    <w:rsid w:val="008A06BC"/>
    <w:rsid w:val="008A0AA3"/>
    <w:rsid w:val="008A0EAA"/>
    <w:rsid w:val="008A149F"/>
    <w:rsid w:val="008A19FD"/>
    <w:rsid w:val="008A1A25"/>
    <w:rsid w:val="008A1A6D"/>
    <w:rsid w:val="008A4E05"/>
    <w:rsid w:val="008A56DB"/>
    <w:rsid w:val="008A6CFC"/>
    <w:rsid w:val="008B2125"/>
    <w:rsid w:val="008B2573"/>
    <w:rsid w:val="008B25D4"/>
    <w:rsid w:val="008B3896"/>
    <w:rsid w:val="008B38E5"/>
    <w:rsid w:val="008B58C4"/>
    <w:rsid w:val="008B6BAC"/>
    <w:rsid w:val="008B6CD2"/>
    <w:rsid w:val="008B72DD"/>
    <w:rsid w:val="008B7A29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06D8"/>
    <w:rsid w:val="008F297F"/>
    <w:rsid w:val="008F447E"/>
    <w:rsid w:val="00903E02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0743"/>
    <w:rsid w:val="00922A47"/>
    <w:rsid w:val="00923F7E"/>
    <w:rsid w:val="00924C96"/>
    <w:rsid w:val="00925030"/>
    <w:rsid w:val="00925B32"/>
    <w:rsid w:val="00930A64"/>
    <w:rsid w:val="00930BE5"/>
    <w:rsid w:val="00931403"/>
    <w:rsid w:val="0093233E"/>
    <w:rsid w:val="00934991"/>
    <w:rsid w:val="009351A7"/>
    <w:rsid w:val="00940E54"/>
    <w:rsid w:val="009426B9"/>
    <w:rsid w:val="00944E85"/>
    <w:rsid w:val="009455AA"/>
    <w:rsid w:val="0094634C"/>
    <w:rsid w:val="009463AB"/>
    <w:rsid w:val="00950239"/>
    <w:rsid w:val="00950332"/>
    <w:rsid w:val="0095449A"/>
    <w:rsid w:val="00955899"/>
    <w:rsid w:val="00955A03"/>
    <w:rsid w:val="00960DC6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7F0"/>
    <w:rsid w:val="00980AB3"/>
    <w:rsid w:val="00983828"/>
    <w:rsid w:val="009848CB"/>
    <w:rsid w:val="00984A28"/>
    <w:rsid w:val="00984D10"/>
    <w:rsid w:val="0098600B"/>
    <w:rsid w:val="009861C1"/>
    <w:rsid w:val="00987177"/>
    <w:rsid w:val="009875DF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9790C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4B8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1D7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7A7"/>
    <w:rsid w:val="00A559EC"/>
    <w:rsid w:val="00A56561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C2B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93F"/>
    <w:rsid w:val="00AC2BFD"/>
    <w:rsid w:val="00AC4DDD"/>
    <w:rsid w:val="00AC5A43"/>
    <w:rsid w:val="00AC5D2C"/>
    <w:rsid w:val="00AC6B6D"/>
    <w:rsid w:val="00AD04F6"/>
    <w:rsid w:val="00AD1F64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BFE"/>
    <w:rsid w:val="00B11EF0"/>
    <w:rsid w:val="00B1226C"/>
    <w:rsid w:val="00B12648"/>
    <w:rsid w:val="00B14F05"/>
    <w:rsid w:val="00B15D01"/>
    <w:rsid w:val="00B20EBF"/>
    <w:rsid w:val="00B24F44"/>
    <w:rsid w:val="00B25428"/>
    <w:rsid w:val="00B255BB"/>
    <w:rsid w:val="00B2596B"/>
    <w:rsid w:val="00B25E24"/>
    <w:rsid w:val="00B2609A"/>
    <w:rsid w:val="00B301B1"/>
    <w:rsid w:val="00B33439"/>
    <w:rsid w:val="00B353E7"/>
    <w:rsid w:val="00B35759"/>
    <w:rsid w:val="00B3619A"/>
    <w:rsid w:val="00B365B7"/>
    <w:rsid w:val="00B40BCA"/>
    <w:rsid w:val="00B4308D"/>
    <w:rsid w:val="00B440DA"/>
    <w:rsid w:val="00B4415A"/>
    <w:rsid w:val="00B46370"/>
    <w:rsid w:val="00B503CD"/>
    <w:rsid w:val="00B548AB"/>
    <w:rsid w:val="00B54BBE"/>
    <w:rsid w:val="00B54F8E"/>
    <w:rsid w:val="00B553F8"/>
    <w:rsid w:val="00B560B6"/>
    <w:rsid w:val="00B5630E"/>
    <w:rsid w:val="00B622B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4C9"/>
    <w:rsid w:val="00BE7ECD"/>
    <w:rsid w:val="00BF1682"/>
    <w:rsid w:val="00BF241A"/>
    <w:rsid w:val="00BF2DF8"/>
    <w:rsid w:val="00BF3AFB"/>
    <w:rsid w:val="00BF3DD2"/>
    <w:rsid w:val="00BF4344"/>
    <w:rsid w:val="00BF4EF4"/>
    <w:rsid w:val="00BF6970"/>
    <w:rsid w:val="00BF69C6"/>
    <w:rsid w:val="00C005D8"/>
    <w:rsid w:val="00C02F31"/>
    <w:rsid w:val="00C04DA5"/>
    <w:rsid w:val="00C050FC"/>
    <w:rsid w:val="00C05D40"/>
    <w:rsid w:val="00C07931"/>
    <w:rsid w:val="00C11905"/>
    <w:rsid w:val="00C14462"/>
    <w:rsid w:val="00C16542"/>
    <w:rsid w:val="00C22382"/>
    <w:rsid w:val="00C2355B"/>
    <w:rsid w:val="00C274A6"/>
    <w:rsid w:val="00C27958"/>
    <w:rsid w:val="00C34201"/>
    <w:rsid w:val="00C35A38"/>
    <w:rsid w:val="00C35EC9"/>
    <w:rsid w:val="00C36807"/>
    <w:rsid w:val="00C37392"/>
    <w:rsid w:val="00C41545"/>
    <w:rsid w:val="00C4154C"/>
    <w:rsid w:val="00C4209D"/>
    <w:rsid w:val="00C432B3"/>
    <w:rsid w:val="00C4375D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19A9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583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5F98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1200"/>
    <w:rsid w:val="00CF352C"/>
    <w:rsid w:val="00CF4570"/>
    <w:rsid w:val="00CF58EE"/>
    <w:rsid w:val="00D00811"/>
    <w:rsid w:val="00D00DFE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169FE"/>
    <w:rsid w:val="00D20664"/>
    <w:rsid w:val="00D20E20"/>
    <w:rsid w:val="00D21C3A"/>
    <w:rsid w:val="00D228DA"/>
    <w:rsid w:val="00D22E01"/>
    <w:rsid w:val="00D238A5"/>
    <w:rsid w:val="00D24621"/>
    <w:rsid w:val="00D24BF8"/>
    <w:rsid w:val="00D2600F"/>
    <w:rsid w:val="00D278CE"/>
    <w:rsid w:val="00D30EEA"/>
    <w:rsid w:val="00D31534"/>
    <w:rsid w:val="00D32C1F"/>
    <w:rsid w:val="00D33FC2"/>
    <w:rsid w:val="00D3705E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0CA5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574F"/>
    <w:rsid w:val="00D85869"/>
    <w:rsid w:val="00D90293"/>
    <w:rsid w:val="00D90496"/>
    <w:rsid w:val="00D917BC"/>
    <w:rsid w:val="00D942DE"/>
    <w:rsid w:val="00D9491E"/>
    <w:rsid w:val="00D96D0D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077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4A67"/>
    <w:rsid w:val="00DE5458"/>
    <w:rsid w:val="00DE5EE6"/>
    <w:rsid w:val="00DE77EA"/>
    <w:rsid w:val="00DF0ABA"/>
    <w:rsid w:val="00DF1EEE"/>
    <w:rsid w:val="00DF6C58"/>
    <w:rsid w:val="00E00103"/>
    <w:rsid w:val="00E001C1"/>
    <w:rsid w:val="00E03576"/>
    <w:rsid w:val="00E039F3"/>
    <w:rsid w:val="00E03C30"/>
    <w:rsid w:val="00E078BD"/>
    <w:rsid w:val="00E078F8"/>
    <w:rsid w:val="00E1142B"/>
    <w:rsid w:val="00E11F10"/>
    <w:rsid w:val="00E1368F"/>
    <w:rsid w:val="00E146D7"/>
    <w:rsid w:val="00E157E4"/>
    <w:rsid w:val="00E15950"/>
    <w:rsid w:val="00E16522"/>
    <w:rsid w:val="00E1718A"/>
    <w:rsid w:val="00E1750C"/>
    <w:rsid w:val="00E178A6"/>
    <w:rsid w:val="00E20545"/>
    <w:rsid w:val="00E223C6"/>
    <w:rsid w:val="00E2443D"/>
    <w:rsid w:val="00E24789"/>
    <w:rsid w:val="00E2581F"/>
    <w:rsid w:val="00E26615"/>
    <w:rsid w:val="00E26F37"/>
    <w:rsid w:val="00E33928"/>
    <w:rsid w:val="00E33C90"/>
    <w:rsid w:val="00E3407C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549B7"/>
    <w:rsid w:val="00E60540"/>
    <w:rsid w:val="00E61C74"/>
    <w:rsid w:val="00E63D8F"/>
    <w:rsid w:val="00E706B6"/>
    <w:rsid w:val="00E76FF1"/>
    <w:rsid w:val="00E774FE"/>
    <w:rsid w:val="00E809A0"/>
    <w:rsid w:val="00E80AF7"/>
    <w:rsid w:val="00E8216F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473A"/>
    <w:rsid w:val="00EA4FC1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4AC8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20AC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5EFF"/>
    <w:rsid w:val="00F0674D"/>
    <w:rsid w:val="00F10287"/>
    <w:rsid w:val="00F10C82"/>
    <w:rsid w:val="00F13B2E"/>
    <w:rsid w:val="00F15286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1D35"/>
    <w:rsid w:val="00F42FCF"/>
    <w:rsid w:val="00F44A83"/>
    <w:rsid w:val="00F50012"/>
    <w:rsid w:val="00F51743"/>
    <w:rsid w:val="00F526C2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5837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2B54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17C8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1FC4453"/>
    <w:rsid w:val="34863D50"/>
    <w:rsid w:val="39176620"/>
    <w:rsid w:val="5F143298"/>
    <w:rsid w:val="7CFB5DC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Heading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字符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1448</Words>
  <Characters>8257</Characters>
  <Lines>68</Lines>
  <Paragraphs>19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2019-12-16T01:07:00Z</cp:lastPrinted>
  <dcterms:modified xsi:type="dcterms:W3CDTF">2020-12-31T01:43:41Z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