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4532399"/>
      <w:bookmarkStart w:id="1" w:name="_Toc483666358"/>
      <w:bookmarkStart w:id="2" w:name="_Toc482717189"/>
      <w:bookmarkStart w:id="3" w:name="_Toc483400307"/>
      <w:bookmarkStart w:id="4" w:name="_Toc483227223"/>
    </w:p>
    <w:p>
      <w:pPr>
        <w:spacing w:afterLines="50"/>
        <w:jc w:val="center"/>
        <w:rPr>
          <w:b/>
          <w:szCs w:val="21"/>
          <w:lang w:eastAsia="zh-CN"/>
        </w:rPr>
      </w:pPr>
      <w:permStart w:id="0" w:edGrp="everyone"/>
      <w:r>
        <w:rPr>
          <w:rFonts w:hint="eastAsia"/>
          <w:b/>
          <w:sz w:val="28"/>
          <w:szCs w:val="28"/>
          <w:lang w:eastAsia="zh-CN"/>
        </w:rPr>
        <w:t>无细胞百日咳原液车间</w:t>
      </w:r>
      <w:r>
        <w:rPr>
          <w:rFonts w:hint="eastAsia"/>
          <w:b/>
          <w:sz w:val="28"/>
          <w:szCs w:val="28"/>
          <w:lang w:val="en-US" w:eastAsia="zh-CN"/>
        </w:rPr>
        <w:t>恒流泵</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Lines="50"/>
        <w:jc w:val="center"/>
        <w:rPr>
          <w:b/>
          <w:i/>
          <w:color w:val="4472C4"/>
          <w:szCs w:val="21"/>
          <w:lang w:eastAsia="zh-CN"/>
        </w:rPr>
      </w:pPr>
      <w:bookmarkStart w:id="5" w:name="OLE_LINK4"/>
      <w:permStart w:id="1" w:edGrp="everyone"/>
      <w:permEnd w:id="1"/>
    </w:p>
    <w:bookmarkEnd w:id="5"/>
    <w:p>
      <w:pPr>
        <w:pStyle w:val="34"/>
        <w:widowControl w:val="0"/>
        <w:spacing w:afterLines="50" w:line="240" w:lineRule="auto"/>
        <w:jc w:val="center"/>
        <w:rPr>
          <w:sz w:val="21"/>
          <w:szCs w:val="21"/>
          <w:lang w:val="zh-CN" w:eastAsia="zh-CN"/>
        </w:rPr>
      </w:pPr>
      <w:r>
        <w:rPr>
          <w:sz w:val="21"/>
          <w:szCs w:val="21"/>
          <w:lang w:val="zh-CN" w:eastAsia="zh-CN"/>
        </w:rPr>
        <w:t xml:space="preserve">目录 </w:t>
      </w:r>
    </w:p>
    <w:p>
      <w:pPr>
        <w:pStyle w:val="17"/>
      </w:pPr>
      <w:permStart w:id="2" w:edGrp="everyone"/>
    </w:p>
    <w:p>
      <w:pPr>
        <w:pStyle w:val="17"/>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4"/>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 HYPERLINK \l "_Toc522716115" </w:instrText>
      </w:r>
      <w:r>
        <w:fldChar w:fldCharType="separate"/>
      </w:r>
      <w:r>
        <w:rPr>
          <w:rStyle w:val="24"/>
        </w:rPr>
        <w:t>1</w:t>
      </w:r>
      <w:r>
        <w:rPr>
          <w:b w:val="0"/>
          <w:bCs w:val="0"/>
          <w:caps w:val="0"/>
          <w:szCs w:val="22"/>
        </w:rPr>
        <w:tab/>
      </w:r>
      <w:r>
        <w:rPr>
          <w:rStyle w:val="24"/>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"_Toc522716116" </w:instrText>
      </w:r>
      <w:r>
        <w:fldChar w:fldCharType="separate"/>
      </w:r>
      <w:r>
        <w:rPr>
          <w:rStyle w:val="24"/>
        </w:rPr>
        <w:t>2</w:t>
      </w:r>
      <w:r>
        <w:rPr>
          <w:b w:val="0"/>
          <w:bCs w:val="0"/>
          <w:caps w:val="0"/>
          <w:szCs w:val="22"/>
        </w:rPr>
        <w:tab/>
      </w:r>
      <w:r>
        <w:rPr>
          <w:rStyle w:val="24"/>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"_Toc522716117" </w:instrText>
      </w:r>
      <w:r>
        <w:fldChar w:fldCharType="separate"/>
      </w:r>
      <w:r>
        <w:rPr>
          <w:rStyle w:val="24"/>
        </w:rPr>
        <w:t>3</w:t>
      </w:r>
      <w:r>
        <w:rPr>
          <w:b w:val="0"/>
          <w:bCs w:val="0"/>
          <w:caps w:val="0"/>
          <w:szCs w:val="22"/>
        </w:rPr>
        <w:tab/>
      </w:r>
      <w:r>
        <w:rPr>
          <w:rStyle w:val="24"/>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"_Toc522716118" </w:instrText>
      </w:r>
      <w:r>
        <w:fldChar w:fldCharType="separate"/>
      </w:r>
      <w:r>
        <w:rPr>
          <w:rStyle w:val="24"/>
        </w:rPr>
        <w:t>4</w:t>
      </w:r>
      <w:r>
        <w:rPr>
          <w:b w:val="0"/>
          <w:bCs w:val="0"/>
          <w:caps w:val="0"/>
          <w:szCs w:val="22"/>
        </w:rPr>
        <w:tab/>
      </w:r>
      <w:r>
        <w:rPr>
          <w:rStyle w:val="24"/>
        </w:rPr>
        <w:t>职责</w:t>
      </w:r>
      <w:r>
        <w:tab/>
      </w:r>
      <w:r>
        <w:fldChar w:fldCharType="begin"/>
      </w:r>
      <w:r>
        <w:instrText xml:space="preserve"> PAGEREF _Toc522716118 \h </w:instrText>
      </w:r>
      <w:r>
        <w:fldChar w:fldCharType="separate"/>
      </w:r>
      <w:r>
        <w:t>4</w:t>
      </w:r>
      <w:r>
        <w:fldChar w:fldCharType="end"/>
      </w:r>
      <w:r>
        <w:fldChar w:fldCharType="end"/>
      </w:r>
    </w:p>
    <w:p>
      <w:pPr>
        <w:pStyle w:val="17"/>
        <w:rPr>
          <w:b w:val="0"/>
          <w:bCs w:val="0"/>
          <w:caps w:val="0"/>
          <w:szCs w:val="22"/>
        </w:rPr>
      </w:pPr>
      <w:r>
        <w:fldChar w:fldCharType="begin"/>
      </w:r>
      <w:r>
        <w:instrText xml:space="preserve"> HYPERLINK \l "_Toc522716119" </w:instrText>
      </w:r>
      <w:r>
        <w:fldChar w:fldCharType="separate"/>
      </w:r>
      <w:r>
        <w:rPr>
          <w:rStyle w:val="24"/>
        </w:rPr>
        <w:t>5</w:t>
      </w:r>
      <w:r>
        <w:rPr>
          <w:b w:val="0"/>
          <w:bCs w:val="0"/>
          <w:caps w:val="0"/>
          <w:szCs w:val="22"/>
        </w:rPr>
        <w:tab/>
      </w:r>
      <w:r>
        <w:rPr>
          <w:rStyle w:val="24"/>
        </w:rPr>
        <w:t>系统描述</w:t>
      </w:r>
      <w:r>
        <w:tab/>
      </w:r>
      <w:r>
        <w:fldChar w:fldCharType="begin"/>
      </w:r>
      <w:r>
        <w:instrText xml:space="preserve"> PAGEREF _Toc522716119 \h </w:instrText>
      </w:r>
      <w:r>
        <w:fldChar w:fldCharType="separate"/>
      </w:r>
      <w:r>
        <w:t>5</w:t>
      </w:r>
      <w:r>
        <w:fldChar w:fldCharType="end"/>
      </w:r>
      <w:r>
        <w:fldChar w:fldCharType="end"/>
      </w:r>
    </w:p>
    <w:p>
      <w:pPr>
        <w:pStyle w:val="17"/>
        <w:rPr>
          <w:b w:val="0"/>
          <w:bCs w:val="0"/>
          <w:caps w:val="0"/>
          <w:szCs w:val="22"/>
        </w:rPr>
      </w:pPr>
      <w:r>
        <w:fldChar w:fldCharType="begin"/>
      </w:r>
      <w:r>
        <w:instrText xml:space="preserve"> HYPERLINK \l "_Toc522716120" </w:instrText>
      </w:r>
      <w:r>
        <w:fldChar w:fldCharType="separate"/>
      </w:r>
      <w:r>
        <w:rPr>
          <w:rStyle w:val="24"/>
        </w:rPr>
        <w:t>6</w:t>
      </w:r>
      <w:r>
        <w:rPr>
          <w:b w:val="0"/>
          <w:bCs w:val="0"/>
          <w:caps w:val="0"/>
          <w:szCs w:val="22"/>
        </w:rPr>
        <w:tab/>
      </w:r>
      <w:r>
        <w:rPr>
          <w:rStyle w:val="24"/>
        </w:rPr>
        <w:t>安装要求</w:t>
      </w:r>
      <w:r>
        <w:tab/>
      </w:r>
      <w:r>
        <w:fldChar w:fldCharType="begin"/>
      </w:r>
      <w:r>
        <w:instrText xml:space="preserve"> PAGEREF _Toc522716120 \h </w:instrText>
      </w:r>
      <w:r>
        <w:fldChar w:fldCharType="separate"/>
      </w:r>
      <w:r>
        <w:t>5</w:t>
      </w:r>
      <w:r>
        <w:fldChar w:fldCharType="end"/>
      </w:r>
      <w:r>
        <w:fldChar w:fldCharType="end"/>
      </w:r>
    </w:p>
    <w:p>
      <w:pPr>
        <w:pStyle w:val="17"/>
        <w:rPr>
          <w:b w:val="0"/>
          <w:bCs w:val="0"/>
          <w:caps w:val="0"/>
          <w:szCs w:val="22"/>
        </w:rPr>
      </w:pPr>
      <w:r>
        <w:fldChar w:fldCharType="begin"/>
      </w:r>
      <w:r>
        <w:instrText xml:space="preserve"> HYPERLINK \l "_Toc522716121" </w:instrText>
      </w:r>
      <w:r>
        <w:fldChar w:fldCharType="separate"/>
      </w:r>
      <w:r>
        <w:rPr>
          <w:rStyle w:val="24"/>
        </w:rPr>
        <w:t>7</w:t>
      </w:r>
      <w:r>
        <w:rPr>
          <w:b w:val="0"/>
          <w:bCs w:val="0"/>
          <w:caps w:val="0"/>
          <w:szCs w:val="22"/>
        </w:rPr>
        <w:tab/>
      </w:r>
      <w:r>
        <w:rPr>
          <w:rStyle w:val="24"/>
        </w:rPr>
        <w:t>运行要求</w:t>
      </w:r>
      <w:r>
        <w:tab/>
      </w:r>
      <w:r>
        <w:rPr>
          <w:rFonts w:hint="eastAsia"/>
        </w:rPr>
        <w:t>7</w:t>
      </w:r>
      <w:r>
        <w:rPr>
          <w:rFonts w:hint="eastAsia"/>
        </w:rPr>
        <w:fldChar w:fldCharType="end"/>
      </w:r>
    </w:p>
    <w:p>
      <w:pPr>
        <w:pStyle w:val="17"/>
        <w:rPr>
          <w:b w:val="0"/>
          <w:bCs w:val="0"/>
          <w:caps w:val="0"/>
          <w:szCs w:val="22"/>
        </w:rPr>
      </w:pPr>
      <w:r>
        <w:fldChar w:fldCharType="begin"/>
      </w:r>
      <w:r>
        <w:instrText xml:space="preserve"> HYPERLINK \l "_Toc522716122" </w:instrText>
      </w:r>
      <w:r>
        <w:fldChar w:fldCharType="separate"/>
      </w:r>
      <w:r>
        <w:rPr>
          <w:rStyle w:val="24"/>
        </w:rPr>
        <w:t>8</w:t>
      </w:r>
      <w:r>
        <w:rPr>
          <w:b w:val="0"/>
          <w:bCs w:val="0"/>
          <w:caps w:val="0"/>
          <w:szCs w:val="22"/>
        </w:rPr>
        <w:tab/>
      </w:r>
      <w:r>
        <w:rPr>
          <w:rStyle w:val="24"/>
        </w:rPr>
        <w:t>电气、自动控制要求</w:t>
      </w:r>
      <w:r>
        <w:tab/>
      </w:r>
      <w:r>
        <w:rPr>
          <w:rFonts w:hint="eastAsia"/>
        </w:rPr>
        <w:t>9</w:t>
      </w:r>
      <w:r>
        <w:rPr>
          <w:rFonts w:hint="eastAsia"/>
        </w:rPr>
        <w:fldChar w:fldCharType="end"/>
      </w:r>
    </w:p>
    <w:p>
      <w:pPr>
        <w:pStyle w:val="17"/>
        <w:rPr>
          <w:b w:val="0"/>
          <w:bCs w:val="0"/>
          <w:caps w:val="0"/>
          <w:szCs w:val="22"/>
        </w:rPr>
      </w:pPr>
      <w:r>
        <w:fldChar w:fldCharType="begin"/>
      </w:r>
      <w:r>
        <w:instrText xml:space="preserve"> HYPERLINK \l "_Toc522716123" </w:instrText>
      </w:r>
      <w:r>
        <w:fldChar w:fldCharType="separate"/>
      </w:r>
      <w:r>
        <w:rPr>
          <w:rStyle w:val="24"/>
        </w:rPr>
        <w:t>9</w:t>
      </w:r>
      <w:r>
        <w:rPr>
          <w:b w:val="0"/>
          <w:bCs w:val="0"/>
          <w:caps w:val="0"/>
          <w:szCs w:val="22"/>
        </w:rPr>
        <w:tab/>
      </w:r>
      <w:r>
        <w:rPr>
          <w:rStyle w:val="24"/>
        </w:rPr>
        <w:t>安全要求</w:t>
      </w:r>
      <w:r>
        <w:tab/>
      </w:r>
      <w:r>
        <w:fldChar w:fldCharType="begin"/>
      </w:r>
      <w:r>
        <w:instrText xml:space="preserve"> PAGEREF _Toc522716123 \h </w:instrText>
      </w:r>
      <w:r>
        <w:fldChar w:fldCharType="separate"/>
      </w:r>
      <w:r>
        <w:t>9</w:t>
      </w:r>
      <w:r>
        <w:fldChar w:fldCharType="end"/>
      </w:r>
      <w:r>
        <w:fldChar w:fldCharType="end"/>
      </w:r>
    </w:p>
    <w:p>
      <w:pPr>
        <w:pStyle w:val="17"/>
        <w:rPr>
          <w:b w:val="0"/>
          <w:bCs w:val="0"/>
          <w:caps w:val="0"/>
          <w:szCs w:val="22"/>
        </w:rPr>
      </w:pPr>
      <w:r>
        <w:fldChar w:fldCharType="begin"/>
      </w:r>
      <w:r>
        <w:instrText xml:space="preserve"> HYPERLINK \l "_Toc522716124" </w:instrText>
      </w:r>
      <w:r>
        <w:fldChar w:fldCharType="separate"/>
      </w:r>
      <w:r>
        <w:rPr>
          <w:rStyle w:val="24"/>
        </w:rPr>
        <w:t>10</w:t>
      </w:r>
      <w:r>
        <w:rPr>
          <w:b w:val="0"/>
          <w:bCs w:val="0"/>
          <w:caps w:val="0"/>
          <w:szCs w:val="22"/>
        </w:rPr>
        <w:tab/>
      </w:r>
      <w:r>
        <w:rPr>
          <w:rStyle w:val="24"/>
        </w:rPr>
        <w:t>文件要求</w:t>
      </w:r>
      <w:r>
        <w:tab/>
      </w:r>
      <w:r>
        <w:rPr>
          <w:rFonts w:hint="eastAsia"/>
        </w:rPr>
        <w:t>1</w:t>
      </w:r>
      <w:r>
        <w:rPr>
          <w:rFonts w:hint="eastAsia"/>
        </w:rPr>
        <w:fldChar w:fldCharType="end"/>
      </w:r>
      <w:r>
        <w:rPr>
          <w:rFonts w:hint="eastAsia"/>
        </w:rPr>
        <w:t>0</w:t>
      </w:r>
    </w:p>
    <w:p>
      <w:pPr>
        <w:pStyle w:val="17"/>
        <w:rPr>
          <w:b w:val="0"/>
          <w:bCs w:val="0"/>
          <w:caps w:val="0"/>
          <w:szCs w:val="22"/>
        </w:rPr>
      </w:pPr>
      <w:r>
        <w:fldChar w:fldCharType="begin"/>
      </w:r>
      <w:r>
        <w:instrText xml:space="preserve"> HYPERLINK \l "_Toc522716125" </w:instrText>
      </w:r>
      <w:r>
        <w:fldChar w:fldCharType="separate"/>
      </w:r>
      <w:r>
        <w:rPr>
          <w:rStyle w:val="24"/>
        </w:rPr>
        <w:t>11</w:t>
      </w:r>
      <w:r>
        <w:rPr>
          <w:b w:val="0"/>
          <w:bCs w:val="0"/>
          <w:caps w:val="0"/>
          <w:szCs w:val="22"/>
        </w:rPr>
        <w:tab/>
      </w:r>
      <w:r>
        <w:rPr>
          <w:rStyle w:val="24"/>
        </w:rPr>
        <w:t>服务要求</w:t>
      </w:r>
      <w:r>
        <w:tab/>
      </w:r>
      <w:r>
        <w:rPr>
          <w:rFonts w:hint="eastAsia"/>
        </w:rPr>
        <w:t>1</w:t>
      </w:r>
      <w:r>
        <w:rPr>
          <w:rFonts w:hint="eastAsia"/>
        </w:rPr>
        <w:fldChar w:fldCharType="end"/>
      </w:r>
      <w:r>
        <w:rPr>
          <w:rFonts w:hint="eastAsia"/>
        </w:rPr>
        <w:t>3</w:t>
      </w:r>
    </w:p>
    <w:p>
      <w:pPr>
        <w:pStyle w:val="17"/>
        <w:rPr>
          <w:b w:val="0"/>
          <w:bCs w:val="0"/>
          <w:caps w:val="0"/>
          <w:szCs w:val="22"/>
        </w:rPr>
      </w:pPr>
      <w:r>
        <w:fldChar w:fldCharType="begin"/>
      </w:r>
      <w:r>
        <w:instrText xml:space="preserve"> HYPERLINK \l "_Toc522716126" </w:instrText>
      </w:r>
      <w:r>
        <w:fldChar w:fldCharType="separate"/>
      </w:r>
      <w:r>
        <w:rPr>
          <w:rStyle w:val="24"/>
        </w:rPr>
        <w:t>12</w:t>
      </w:r>
      <w:r>
        <w:rPr>
          <w:b w:val="0"/>
          <w:bCs w:val="0"/>
          <w:caps w:val="0"/>
          <w:szCs w:val="22"/>
        </w:rPr>
        <w:tab/>
      </w:r>
      <w:r>
        <w:rPr>
          <w:rStyle w:val="24"/>
        </w:rPr>
        <w:t>附件</w:t>
      </w:r>
      <w:r>
        <w:tab/>
      </w:r>
      <w:r>
        <w:rPr>
          <w:rFonts w:hint="eastAsia"/>
        </w:rPr>
        <w:t>1</w:t>
      </w:r>
      <w:r>
        <w:rPr>
          <w:rFonts w:hint="eastAsia"/>
        </w:rPr>
        <w:fldChar w:fldCharType="end"/>
      </w:r>
      <w:r>
        <w:rPr>
          <w:rFonts w:hint="eastAsia"/>
        </w:rPr>
        <w:t>4</w:t>
      </w:r>
    </w:p>
    <w:p>
      <w:r>
        <w:fldChar w:fldCharType="end"/>
      </w:r>
      <w:permEnd w:id="2"/>
    </w:p>
    <w:p>
      <w:pPr>
        <w:rPr>
          <w:lang w:val="en-US" w:eastAsia="zh-CN"/>
        </w:rPr>
      </w:pPr>
      <w:r>
        <w:rPr>
          <w:lang w:val="en-US" w:eastAsia="zh-CN"/>
        </w:rPr>
        <w:br w:type="page"/>
      </w:r>
      <w:bookmarkStart w:id="6" w:name="_Toc522107734"/>
    </w:p>
    <w:bookmarkEnd w:id="6"/>
    <w:p>
      <w:pPr>
        <w:pStyle w:val="33"/>
        <w:numPr>
          <w:ilvl w:val="0"/>
          <w:numId w:val="3"/>
        </w:numPr>
        <w:spacing w:afterLines="50"/>
        <w:ind w:left="426" w:hanging="426" w:hangingChars="202"/>
        <w:outlineLvl w:val="0"/>
        <w:rPr>
          <w:rFonts w:ascii="Times New Roman" w:hAnsi="Times New Roman"/>
          <w:b/>
        </w:rPr>
      </w:pPr>
      <w:bookmarkStart w:id="7" w:name="_Toc522716115"/>
      <w:bookmarkStart w:id="8" w:name="_Toc522107735"/>
      <w:r>
        <w:rPr>
          <w:rFonts w:ascii="Times New Roman" w:hAnsi="Times New Roman"/>
          <w:b/>
        </w:rPr>
        <w:t>目的</w:t>
      </w:r>
      <w:bookmarkEnd w:id="7"/>
      <w:bookmarkEnd w:id="8"/>
    </w:p>
    <w:p>
      <w:pPr>
        <w:pStyle w:val="37"/>
        <w:spacing w:before="0" w:line="360" w:lineRule="auto"/>
        <w:ind w:left="357"/>
        <w:jc w:val="left"/>
        <w:rPr>
          <w:szCs w:val="21"/>
          <w:lang w:eastAsia="zh-CN"/>
        </w:rPr>
      </w:pPr>
      <w:bookmarkStart w:id="9" w:name="_Toc482369805"/>
      <w:bookmarkStart w:id="10" w:name="_Toc482625279"/>
      <w:bookmarkStart w:id="11" w:name="_Toc482370757"/>
      <w:bookmarkStart w:id="12" w:name="_Toc482370061"/>
      <w:bookmarkStart w:id="13" w:name="_Toc482359936"/>
      <w:bookmarkStart w:id="14" w:name="_Toc482370141"/>
      <w:bookmarkStart w:id="15" w:name="_Toc482370349"/>
      <w:bookmarkStart w:id="16" w:name="_Toc482360281"/>
      <w:bookmarkStart w:id="17" w:name="_Toc481702475"/>
      <w:r>
        <w:rPr>
          <w:szCs w:val="21"/>
          <w:lang w:eastAsia="zh-CN"/>
        </w:rPr>
        <w:t>本文件的目的是描述武汉生物制品研究所有限责任公司</w:t>
      </w:r>
      <w:permStart w:id="3" w:edGrp="everyone"/>
      <w:r>
        <w:rPr>
          <w:rFonts w:hint="eastAsia"/>
          <w:szCs w:val="21"/>
          <w:lang w:eastAsia="zh-CN"/>
        </w:rPr>
        <w:t>无细胞百日咳疫苗原液车间恒流</w:t>
      </w:r>
      <w:r>
        <w:rPr>
          <w:rFonts w:hint="eastAsia"/>
          <w:iCs/>
          <w:szCs w:val="21"/>
          <w:lang w:eastAsia="zh-CN"/>
        </w:rPr>
        <w:t>泵及其附件</w:t>
      </w:r>
      <w:permEnd w:id="3"/>
      <w:r>
        <w:rPr>
          <w:szCs w:val="21"/>
          <w:lang w:eastAsia="zh-CN"/>
        </w:rPr>
        <w:t>的用户需求说明（URS），以确保最终用户的需求在项目设计阶段得以实现，并作为后续验证工作的基础。</w:t>
      </w:r>
    </w:p>
    <w:p>
      <w:pPr>
        <w:pStyle w:val="37"/>
        <w:spacing w:before="0"/>
        <w:ind w:left="360"/>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37"/>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无细胞百日咳疫苗原液车间</w:t>
      </w:r>
      <w:r>
        <w:rPr>
          <w:rFonts w:hint="eastAsia"/>
          <w:iCs/>
          <w:color w:val="000000"/>
          <w:szCs w:val="21"/>
          <w:lang w:eastAsia="zh-CN"/>
        </w:rPr>
        <w:t>恒流泵</w:t>
      </w:r>
      <w:permEnd w:id="4"/>
      <w:r>
        <w:rPr>
          <w:szCs w:val="21"/>
          <w:lang w:eastAsia="zh-CN"/>
        </w:rPr>
        <w:t>。</w:t>
      </w:r>
      <w:bookmarkEnd w:id="9"/>
      <w:bookmarkEnd w:id="10"/>
      <w:bookmarkEnd w:id="11"/>
      <w:bookmarkEnd w:id="12"/>
      <w:bookmarkEnd w:id="13"/>
      <w:bookmarkEnd w:id="14"/>
      <w:bookmarkEnd w:id="15"/>
      <w:bookmarkEnd w:id="16"/>
      <w:bookmarkEnd w:id="17"/>
    </w:p>
    <w:p>
      <w:pPr>
        <w:pStyle w:val="37"/>
        <w:spacing w:before="0" w:line="360" w:lineRule="auto"/>
        <w:ind w:left="357"/>
        <w:jc w:val="left"/>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20" w:name="_Toc522716117"/>
      <w:bookmarkStart w:id="21" w:name="_Toc522107737"/>
      <w:r>
        <w:rPr>
          <w:rFonts w:ascii="Times New Roman" w:hAnsi="Times New Roman"/>
          <w:b/>
        </w:rPr>
        <w:t>参考文件</w:t>
      </w:r>
      <w:bookmarkEnd w:id="20"/>
      <w:bookmarkEnd w:id="21"/>
    </w:p>
    <w:p>
      <w:pPr>
        <w:pStyle w:val="37"/>
        <w:numPr>
          <w:ilvl w:val="0"/>
          <w:numId w:val="4"/>
        </w:numPr>
        <w:spacing w:before="0" w:line="360" w:lineRule="auto"/>
        <w:jc w:val="left"/>
        <w:rPr>
          <w:color w:val="000000"/>
          <w:szCs w:val="21"/>
          <w:lang w:eastAsia="zh-CN"/>
        </w:rPr>
      </w:pPr>
      <w:r>
        <w:rPr>
          <w:color w:val="000000"/>
          <w:szCs w:val="21"/>
          <w:lang w:eastAsia="zh-CN"/>
        </w:rPr>
        <w:t>GMP法规指南和SOP</w:t>
      </w:r>
    </w:p>
    <w:p>
      <w:pPr>
        <w:pStyle w:val="37"/>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7"/>
        <w:numPr>
          <w:ilvl w:val="0"/>
          <w:numId w:val="5"/>
        </w:numPr>
        <w:spacing w:before="0" w:line="360" w:lineRule="auto"/>
        <w:ind w:left="777"/>
        <w:jc w:val="left"/>
        <w:rPr>
          <w:rFonts w:ascii="宋体" w:hAnsi="宋体" w:cs="宋体"/>
          <w:iCs/>
          <w:color w:val="000000"/>
          <w:szCs w:val="21"/>
          <w:lang w:eastAsia="zh-CN"/>
        </w:rPr>
      </w:pPr>
      <w:permStart w:id="5" w:edGrp="everyone"/>
      <w:r>
        <w:rPr>
          <w:rFonts w:hint="eastAsia" w:ascii="宋体" w:hAnsi="宋体" w:cs="宋体"/>
          <w:iCs/>
          <w:color w:val="000000"/>
          <w:szCs w:val="21"/>
          <w:lang w:eastAsia="zh-CN"/>
        </w:rPr>
        <w:t xml:space="preserve">中国药典 </w:t>
      </w:r>
      <w:r>
        <w:rPr>
          <w:rFonts w:hint="eastAsia" w:ascii="宋体" w:hAnsi="宋体" w:cs="宋体"/>
          <w:iCs/>
          <w:color w:val="000000"/>
          <w:szCs w:val="21"/>
        </w:rPr>
        <w:t>2015年版</w:t>
      </w:r>
    </w:p>
    <w:p>
      <w:pPr>
        <w:pStyle w:val="37"/>
        <w:numPr>
          <w:ilvl w:val="0"/>
          <w:numId w:val="5"/>
        </w:numPr>
        <w:spacing w:before="0" w:line="360" w:lineRule="auto"/>
        <w:ind w:left="777"/>
        <w:jc w:val="left"/>
        <w:rPr>
          <w:rFonts w:ascii="宋体" w:hAnsi="宋体" w:cs="宋体"/>
          <w:iCs/>
          <w:color w:val="000000"/>
          <w:szCs w:val="21"/>
          <w:lang w:eastAsia="zh-CN"/>
        </w:rPr>
      </w:pPr>
      <w:r>
        <w:rPr>
          <w:rFonts w:hint="eastAsia"/>
          <w:color w:val="000000"/>
          <w:szCs w:val="21"/>
          <w:lang w:eastAsia="zh-CN"/>
        </w:rPr>
        <w:t>《药品生产质量管理规范》（2010修订版）及其附录</w:t>
      </w:r>
    </w:p>
    <w:p>
      <w:pPr>
        <w:pStyle w:val="37"/>
        <w:numPr>
          <w:ilvl w:val="0"/>
          <w:numId w:val="5"/>
        </w:numPr>
        <w:spacing w:before="0" w:line="360" w:lineRule="auto"/>
        <w:ind w:left="777"/>
        <w:jc w:val="left"/>
        <w:rPr>
          <w:rFonts w:ascii="宋体" w:hAnsi="宋体" w:cs="宋体"/>
          <w:iCs/>
          <w:color w:val="000000"/>
          <w:szCs w:val="21"/>
          <w:lang w:eastAsia="zh-CN"/>
        </w:rPr>
      </w:pPr>
      <w:r>
        <w:rPr>
          <w:rFonts w:hint="eastAsia"/>
          <w:color w:val="000000"/>
          <w:szCs w:val="21"/>
          <w:lang w:eastAsia="zh-CN"/>
        </w:rPr>
        <w:t>《药品GMP指南》无菌药品（2011版）</w:t>
      </w:r>
    </w:p>
    <w:permEnd w:id="5"/>
    <w:p>
      <w:pPr>
        <w:pStyle w:val="37"/>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7"/>
        <w:numPr>
          <w:ilvl w:val="0"/>
          <w:numId w:val="5"/>
        </w:numPr>
        <w:spacing w:before="0" w:line="360" w:lineRule="auto"/>
        <w:ind w:left="777"/>
        <w:jc w:val="left"/>
        <w:rPr>
          <w:rFonts w:ascii="宋体" w:hAnsi="宋体" w:cs="宋体"/>
          <w:iCs/>
          <w:color w:val="000000"/>
          <w:szCs w:val="21"/>
          <w:lang w:eastAsia="zh-CN"/>
        </w:rPr>
      </w:pPr>
      <w:permStart w:id="6" w:edGrp="everyone"/>
      <w:r>
        <w:rPr>
          <w:rFonts w:hint="eastAsia" w:ascii="宋体" w:hAnsi="宋体" w:cs="宋体"/>
          <w:iCs/>
          <w:color w:val="000000"/>
          <w:szCs w:val="21"/>
          <w:lang w:eastAsia="zh-CN"/>
        </w:rPr>
        <w:t>电气安全应符合GB4793.1和GB4793.4的要求。</w:t>
      </w:r>
    </w:p>
    <w:p>
      <w:pPr>
        <w:pStyle w:val="37"/>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Tj36-79工业企业设计卫生标准</w:t>
      </w:r>
    </w:p>
    <w:p>
      <w:pPr>
        <w:pStyle w:val="37"/>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GB-52261-2002机械电气设备第一部分：通用技术条件</w:t>
      </w:r>
    </w:p>
    <w:p>
      <w:pPr>
        <w:pStyle w:val="37"/>
        <w:numPr>
          <w:ilvl w:val="0"/>
          <w:numId w:val="5"/>
        </w:numPr>
        <w:spacing w:before="0" w:line="360" w:lineRule="auto"/>
        <w:ind w:left="777"/>
        <w:jc w:val="left"/>
        <w:rPr>
          <w:rFonts w:ascii="宋体" w:hAnsi="宋体" w:cs="宋体"/>
          <w:iCs/>
          <w:color w:val="000000"/>
          <w:szCs w:val="21"/>
          <w:lang w:eastAsia="zh-CN"/>
        </w:rPr>
      </w:pPr>
      <w:r>
        <w:rPr>
          <w:rFonts w:hint="eastAsia" w:ascii="宋体" w:hAnsi="宋体" w:cs="宋体"/>
          <w:iCs/>
          <w:color w:val="000000"/>
          <w:szCs w:val="21"/>
          <w:lang w:eastAsia="zh-CN"/>
        </w:rPr>
        <w:t>GB-12265-90机械防护安全要求</w:t>
      </w:r>
    </w:p>
    <w:permEnd w:id="6"/>
    <w:p>
      <w:pPr>
        <w:pStyle w:val="37"/>
        <w:spacing w:before="0" w:line="360" w:lineRule="auto"/>
        <w:jc w:val="left"/>
        <w:rPr>
          <w:szCs w:val="21"/>
          <w:lang w:eastAsia="zh-CN"/>
        </w:rPr>
      </w:pPr>
      <w:permStart w:id="7" w:edGrp="everyone"/>
      <w:bookmarkStart w:id="49" w:name="_GoBack"/>
      <w:bookmarkEnd w:id="49"/>
    </w:p>
    <w:permEnd w:id="7"/>
    <w:p>
      <w:pPr>
        <w:pStyle w:val="33"/>
        <w:numPr>
          <w:ilvl w:val="0"/>
          <w:numId w:val="3"/>
        </w:numPr>
        <w:spacing w:afterLines="50"/>
        <w:ind w:left="426" w:hanging="426" w:hangingChars="202"/>
        <w:outlineLvl w:val="0"/>
        <w:rPr>
          <w:rFonts w:ascii="Times New Roman" w:hAnsi="Times New Roman"/>
          <w:b/>
        </w:rPr>
      </w:pPr>
      <w:bookmarkStart w:id="22" w:name="_Toc522716119"/>
      <w:bookmarkStart w:id="23" w:name="_Toc522107739"/>
      <w:r>
        <w:rPr>
          <w:rFonts w:ascii="Times New Roman" w:hAnsi="Times New Roman"/>
          <w:b/>
        </w:rPr>
        <w:t>系统描述</w:t>
      </w:r>
      <w:bookmarkEnd w:id="22"/>
      <w:bookmarkEnd w:id="23"/>
    </w:p>
    <w:p>
      <w:pPr>
        <w:pStyle w:val="37"/>
        <w:spacing w:before="0" w:line="360" w:lineRule="auto"/>
        <w:ind w:left="357"/>
        <w:jc w:val="left"/>
        <w:rPr>
          <w:i/>
          <w:color w:val="4472C4"/>
          <w:szCs w:val="21"/>
          <w:lang w:eastAsia="zh-CN"/>
        </w:rPr>
      </w:pPr>
      <w:permStart w:id="8" w:edGrp="everyone"/>
      <w:r>
        <w:rPr>
          <w:rFonts w:hint="eastAsia"/>
          <w:iCs/>
          <w:color w:val="000000"/>
          <w:szCs w:val="21"/>
          <w:lang w:eastAsia="zh-CN"/>
        </w:rPr>
        <w:t>根据无细胞</w:t>
      </w:r>
      <w:r>
        <w:rPr>
          <w:rFonts w:hint="eastAsia"/>
          <w:szCs w:val="21"/>
          <w:lang w:eastAsia="zh-CN"/>
        </w:rPr>
        <w:t>百日咳疫苗原液车间</w:t>
      </w:r>
      <w:r>
        <w:rPr>
          <w:rFonts w:hint="eastAsia" w:ascii="宋体" w:hAnsi="宋体" w:cs="宋体"/>
          <w:szCs w:val="21"/>
          <w:lang w:eastAsia="zh-CN"/>
        </w:rPr>
        <w:t>需要新购</w:t>
      </w:r>
      <w:r>
        <w:rPr>
          <w:rFonts w:hint="eastAsia" w:ascii="宋体" w:hAnsi="宋体" w:cs="宋体"/>
          <w:szCs w:val="21"/>
          <w:lang w:val="en-US" w:eastAsia="zh-CN"/>
        </w:rPr>
        <w:t>5台</w:t>
      </w:r>
      <w:r>
        <w:rPr>
          <w:rFonts w:hint="eastAsia" w:ascii="宋体" w:hAnsi="宋体" w:cs="宋体"/>
          <w:szCs w:val="21"/>
          <w:lang w:eastAsia="zh-CN"/>
        </w:rPr>
        <w:t>恒流泵</w:t>
      </w:r>
      <w:r>
        <w:rPr>
          <w:rFonts w:hint="eastAsia"/>
          <w:szCs w:val="21"/>
          <w:lang w:eastAsia="zh-CN"/>
        </w:rPr>
        <w:t>用于无细胞百日咳疫苗中间品离心纯化百日咳抗原上下样工作，该恒流泵能达到工艺要求，</w:t>
      </w:r>
      <w:r>
        <w:rPr>
          <w:rFonts w:hint="eastAsia" w:ascii="宋体" w:hAnsi="宋体" w:cs="宋体"/>
          <w:szCs w:val="21"/>
          <w:lang w:eastAsia="zh-CN"/>
        </w:rPr>
        <w:t>以便符合GMP对设备的相</w:t>
      </w:r>
      <w:r>
        <w:rPr>
          <w:rFonts w:hint="eastAsia"/>
          <w:szCs w:val="21"/>
          <w:lang w:eastAsia="zh-CN"/>
        </w:rPr>
        <w:t>关规定。</w:t>
      </w:r>
      <w:permEnd w:id="8"/>
    </w:p>
    <w:p>
      <w:pPr>
        <w:pStyle w:val="33"/>
        <w:numPr>
          <w:ilvl w:val="0"/>
          <w:numId w:val="3"/>
        </w:numPr>
        <w:spacing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3"/>
        <w:spacing w:afterLines="50"/>
        <w:ind w:left="425" w:firstLine="0" w:firstLineChars="0"/>
        <w:rPr>
          <w:rFonts w:ascii="Times New Roman" w:hAnsi="Times New Roman"/>
          <w:szCs w:val="21"/>
        </w:rPr>
      </w:pPr>
      <w:permStart w:id="9" w:edGrp="everyone"/>
      <w:permEnd w:id="9"/>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2"/>
            <w:bookmarkStart w:id="26"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val="en-US" w:eastAsia="zh-CN"/>
              </w:rPr>
            </w:pPr>
            <w:r>
              <w:rPr>
                <w:rFonts w:hint="eastAsia"/>
                <w:iCs/>
                <w:color w:val="000000"/>
                <w:szCs w:val="21"/>
                <w:lang w:val="en-US" w:eastAsia="zh-CN"/>
              </w:rPr>
              <w:t>无细胞</w:t>
            </w:r>
            <w:r>
              <w:rPr>
                <w:rFonts w:hint="eastAsia"/>
                <w:szCs w:val="21"/>
                <w:lang w:eastAsia="zh-CN"/>
              </w:rPr>
              <w:t>百日咳原液车间精提间（有毒区</w:t>
            </w:r>
            <w:r>
              <w:rPr>
                <w:rFonts w:hint="eastAsia"/>
                <w:szCs w:val="21"/>
                <w:lang w:val="en-US" w:eastAsia="zh-CN"/>
              </w:rPr>
              <w:t>C+</w:t>
            </w:r>
            <w:r>
              <w:rPr>
                <w:rFonts w:hint="eastAsia"/>
                <w:iCs/>
                <w:color w:val="000000"/>
                <w:szCs w:val="21"/>
                <w:lang w:val="en-US" w:eastAsia="zh-CN"/>
              </w:rPr>
              <w:t>A级操作间）。</w:t>
            </w:r>
          </w:p>
        </w:tc>
        <w:tc>
          <w:tcPr>
            <w:tcW w:w="2125" w:type="dxa"/>
            <w:vAlign w:val="center"/>
          </w:tcPr>
          <w:p>
            <w:pPr>
              <w:jc w:val="both"/>
              <w:rPr>
                <w:iCs/>
                <w:szCs w:val="21"/>
                <w:lang w:eastAsia="zh-CN"/>
              </w:rPr>
            </w:pPr>
            <w:r>
              <w:rPr>
                <w:rFonts w:hint="eastAsia"/>
                <w:iCs/>
                <w:szCs w:val="21"/>
                <w:lang w:val="en-US" w:eastAsia="zh-CN"/>
              </w:rPr>
              <w:t>关键</w:t>
            </w:r>
            <w:r>
              <w:rPr>
                <w:rFonts w:hint="eastAsia"/>
                <w:lang w:eastAsia="zh-CN"/>
              </w:rPr>
              <w:t>※</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i/>
                <w:color w:val="FF0000"/>
                <w:szCs w:val="21"/>
                <w:lang w:eastAsia="zh-CN"/>
              </w:rPr>
            </w:pPr>
            <w:r>
              <w:rPr>
                <w:lang w:eastAsia="zh-CN"/>
              </w:rPr>
              <w:t>外形尺寸要求</w:t>
            </w:r>
            <w:r>
              <w:rPr>
                <w:rFonts w:hint="eastAsia" w:eastAsia="Times New Roman"/>
                <w:lang w:eastAsia="zh-CN"/>
              </w:rPr>
              <w:t>：长宽不超过浸提间离心机货架。</w:t>
            </w:r>
          </w:p>
        </w:tc>
        <w:tc>
          <w:tcPr>
            <w:tcW w:w="2125" w:type="dxa"/>
            <w:vAlign w:val="center"/>
          </w:tcPr>
          <w:p>
            <w:pPr>
              <w:jc w:val="both"/>
              <w:rPr>
                <w:szCs w:val="21"/>
                <w:lang w:eastAsia="zh-CN"/>
              </w:rPr>
            </w:pPr>
            <w:r>
              <w:rPr>
                <w:rFonts w:hint="eastAsia"/>
                <w:iCs/>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color w:val="0070C0"/>
                <w:szCs w:val="21"/>
                <w:lang w:val="en-US" w:eastAsia="zh-CN"/>
              </w:rPr>
            </w:pPr>
            <w:r>
              <w:rPr>
                <w:color w:val="000000"/>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szCs w:val="21"/>
                <w:lang w:eastAsia="zh-CN"/>
              </w:rPr>
            </w:pPr>
            <w:r>
              <w:rPr>
                <w:szCs w:val="21"/>
                <w:lang w:eastAsia="zh-CN"/>
              </w:rPr>
              <w:t>供应商必须给出设备选型方案及相应附件选型方案，并交给我公司使用部门及工程类部门审核。</w:t>
            </w:r>
          </w:p>
        </w:tc>
        <w:tc>
          <w:tcPr>
            <w:tcW w:w="2125" w:type="dxa"/>
            <w:vAlign w:val="center"/>
          </w:tcPr>
          <w:p>
            <w:pPr>
              <w:jc w:val="both"/>
              <w:rPr>
                <w:szCs w:val="21"/>
                <w:lang w:eastAsia="zh-CN"/>
              </w:rPr>
            </w:pPr>
            <w:r>
              <w:rPr>
                <w:rFonts w:hint="eastAsia"/>
                <w:iCs/>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ind w:firstLine="0" w:firstLineChars="0"/>
              <w:rPr>
                <w:rFonts w:ascii="Times New Roman" w:hAnsi="Times New Roman"/>
                <w:szCs w:val="21"/>
                <w:highlight w:val="lightGray"/>
              </w:rPr>
            </w:pPr>
            <w:permStart w:id="13" w:edGrp="everyone"/>
            <w:r>
              <w:rPr>
                <w:rFonts w:hint="eastAsia" w:ascii="Times New Roman" w:hAnsi="Times New Roman"/>
                <w:szCs w:val="21"/>
                <w:highlight w:val="lightGray"/>
              </w:rPr>
              <w:t xml:space="preserve"> </w:t>
            </w:r>
          </w:p>
        </w:tc>
        <w:tc>
          <w:tcPr>
            <w:tcW w:w="9253" w:type="dxa"/>
            <w:gridSpan w:val="2"/>
            <w:vAlign w:val="center"/>
          </w:tcPr>
          <w:p>
            <w:pPr>
              <w:spacing w:line="276" w:lineRule="auto"/>
              <w:jc w:val="both"/>
              <w:rPr>
                <w:color w:val="FF0000"/>
                <w:szCs w:val="21"/>
                <w:highlight w:val="lightGray"/>
                <w:lang w:eastAsia="zh-CN"/>
              </w:rPr>
            </w:pPr>
            <w:r>
              <w:rPr>
                <w:rFonts w:hint="eastAsia"/>
                <w:szCs w:val="21"/>
                <w:highlight w:val="lightGray"/>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lang w:eastAsia="zh-CN"/>
              </w:rPr>
              <w:t>工作环境温度：能适应</w:t>
            </w:r>
            <w:r>
              <w:rPr>
                <w:rFonts w:hint="eastAsia"/>
                <w:lang w:eastAsia="zh-CN"/>
              </w:rPr>
              <w:t>10</w:t>
            </w:r>
            <w:r>
              <w:rPr>
                <w:rFonts w:hint="eastAsia" w:ascii="宋体" w:hAnsi="宋体" w:cs="宋体"/>
                <w:lang w:eastAsia="zh-CN"/>
              </w:rPr>
              <w:t>℃</w:t>
            </w:r>
            <w:r>
              <w:rPr>
                <w:lang w:eastAsia="zh-CN"/>
              </w:rPr>
              <w:t>～</w:t>
            </w:r>
            <w:r>
              <w:rPr>
                <w:rFonts w:hint="eastAsia"/>
                <w:lang w:eastAsia="zh-CN"/>
              </w:rPr>
              <w:t>40</w:t>
            </w:r>
            <w:r>
              <w:rPr>
                <w:rFonts w:hint="eastAsia" w:ascii="宋体" w:hAnsi="宋体" w:cs="宋体"/>
                <w:lang w:eastAsia="zh-CN"/>
              </w:rPr>
              <w:t>℃</w:t>
            </w:r>
            <w:r>
              <w:rPr>
                <w:lang w:eastAsia="zh-CN"/>
              </w:rPr>
              <w:t xml:space="preserve">环境 </w:t>
            </w:r>
          </w:p>
        </w:tc>
        <w:tc>
          <w:tcPr>
            <w:tcW w:w="2125" w:type="dxa"/>
            <w:vAlign w:val="center"/>
          </w:tcPr>
          <w:p>
            <w:pPr>
              <w:jc w:val="both"/>
              <w:rPr>
                <w:szCs w:val="21"/>
                <w:lang w:eastAsia="zh-CN"/>
              </w:rPr>
            </w:pPr>
            <w:r>
              <w:rPr>
                <w:rFonts w:hint="eastAsia"/>
                <w:iCs/>
                <w:szCs w:val="21"/>
                <w:lang w:val="en-US"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工作环境湿度：至少包括45%～</w:t>
            </w:r>
            <w:r>
              <w:rPr>
                <w:rFonts w:hint="eastAsia"/>
                <w:color w:val="000000"/>
                <w:lang w:eastAsia="zh-CN"/>
              </w:rPr>
              <w:t>75</w:t>
            </w:r>
            <w:r>
              <w:rPr>
                <w:color w:val="000000"/>
                <w:lang w:eastAsia="zh-CN"/>
              </w:rPr>
              <w:t>%</w:t>
            </w:r>
          </w:p>
        </w:tc>
        <w:tc>
          <w:tcPr>
            <w:tcW w:w="2125" w:type="dxa"/>
            <w:vAlign w:val="center"/>
          </w:tcPr>
          <w:p>
            <w:pPr>
              <w:jc w:val="both"/>
              <w:rPr>
                <w:szCs w:val="21"/>
                <w:lang w:eastAsia="zh-CN"/>
              </w:rPr>
            </w:pPr>
            <w:r>
              <w:rPr>
                <w:rFonts w:hint="eastAsia"/>
                <w:iCs/>
                <w:szCs w:val="21"/>
                <w:lang w:val="en-US"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rFonts w:eastAsia="宋体"/>
                <w:color w:val="000000"/>
                <w:lang w:eastAsia="zh-CN"/>
              </w:rPr>
            </w:pPr>
            <w:r>
              <w:rPr>
                <w:color w:val="000000"/>
                <w:lang w:eastAsia="zh-CN"/>
              </w:rPr>
              <w:t>工作环境洁净级别：</w:t>
            </w:r>
            <w:r>
              <w:rPr>
                <w:rFonts w:hint="eastAsia"/>
                <w:color w:val="000000"/>
                <w:lang w:val="en-US" w:eastAsia="zh-CN"/>
              </w:rPr>
              <w:t>C+</w:t>
            </w:r>
            <w:r>
              <w:rPr>
                <w:rFonts w:eastAsia="Times New Roman"/>
                <w:lang w:eastAsia="zh-CN"/>
              </w:rPr>
              <w:t>A</w:t>
            </w:r>
            <w:r>
              <w:rPr>
                <w:lang w:eastAsia="zh-CN"/>
              </w:rPr>
              <w:t>级</w:t>
            </w:r>
          </w:p>
        </w:tc>
        <w:tc>
          <w:tcPr>
            <w:tcW w:w="2125" w:type="dxa"/>
            <w:vAlign w:val="center"/>
          </w:tcPr>
          <w:p>
            <w:pPr>
              <w:jc w:val="both"/>
              <w:rPr>
                <w:szCs w:val="21"/>
                <w:lang w:eastAsia="zh-CN"/>
              </w:rPr>
            </w:pPr>
            <w:r>
              <w:rPr>
                <w:rFonts w:hint="eastAsia"/>
                <w:iCs/>
                <w:szCs w:val="21"/>
                <w:lang w:val="en-US"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交流电电源：</w:t>
            </w:r>
            <w:r>
              <w:rPr>
                <w:iCs/>
                <w:color w:val="000000"/>
                <w:lang w:eastAsia="zh-CN"/>
              </w:rPr>
              <w:t xml:space="preserve"> 220±10%V，50±1Hz</w:t>
            </w:r>
          </w:p>
        </w:tc>
        <w:tc>
          <w:tcPr>
            <w:tcW w:w="2125" w:type="dxa"/>
            <w:vAlign w:val="center"/>
          </w:tcPr>
          <w:p>
            <w:pPr>
              <w:jc w:val="both"/>
              <w:rPr>
                <w:szCs w:val="21"/>
                <w:lang w:eastAsia="zh-CN"/>
              </w:rPr>
            </w:pPr>
            <w:r>
              <w:rPr>
                <w:rFonts w:hint="eastAsia"/>
                <w:iCs/>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rFonts w:ascii="宋体" w:hAnsi="宋体"/>
                <w:color w:val="000000"/>
                <w:szCs w:val="21"/>
                <w:lang w:eastAsia="zh-CN"/>
              </w:rPr>
            </w:pPr>
            <w:r>
              <w:rPr>
                <w:rFonts w:hint="eastAsia" w:ascii="宋体" w:hAnsi="宋体" w:cs="宋体"/>
                <w:szCs w:val="22"/>
                <w:highlight w:val="yellow"/>
                <w:lang w:val="en-US" w:eastAsia="zh-CN"/>
              </w:rPr>
              <w:t>设备表面：表面无明显的划痕、凹陷、脱落、裂纹、锈蚀以及其它肉眼可见的外观缺陷。</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rPr>
                <w:rFonts w:hint="eastAsia" w:ascii="宋体" w:hAnsi="宋体" w:cs="宋体"/>
                <w:szCs w:val="22"/>
                <w:highlight w:val="yellow"/>
                <w:lang w:val="en-US" w:eastAsia="zh-CN"/>
              </w:rPr>
              <w:t>泵体外壳压铸金属成型，表面特殊涂层，表面</w:t>
            </w:r>
            <w:r>
              <w:rPr>
                <w:rFonts w:hint="eastAsia" w:ascii="宋体" w:hAnsi="宋体"/>
                <w:color w:val="000000"/>
                <w:szCs w:val="21"/>
                <w:lang w:eastAsia="zh-CN"/>
              </w:rPr>
              <w:t>需耐受消毒剂、蔗糖溶液、磷酸缓冲液等酸碱性溶液，不易锈蚀。</w:t>
            </w:r>
            <w:r>
              <w:rPr>
                <w:rFonts w:hint="eastAsia" w:ascii="宋体" w:hAnsi="宋体"/>
                <w:szCs w:val="21"/>
                <w:lang w:val="en-US" w:eastAsia="zh-CN"/>
              </w:rPr>
              <w:t>全机设计防水和防溅水设计，仪器防尘防水等级需达到IP55级别或以上。</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2"/>
                <w:highlight w:val="yellow"/>
                <w:lang w:val="en-US" w:eastAsia="zh-CN"/>
              </w:rPr>
            </w:pPr>
            <w:r>
              <w:rPr>
                <w:rFonts w:hint="eastAsia" w:ascii="宋体" w:hAnsi="宋体" w:cs="宋体"/>
                <w:szCs w:val="22"/>
                <w:highlight w:val="yellow"/>
                <w:lang w:val="en-US" w:eastAsia="zh-CN"/>
              </w:rPr>
              <w:t>驱动器所有外部部件的连接处都进行密封处理及平衡泵内压力，并阻止水和腐蚀性蒸汽的进入，具有低剪切，流速稳定，流速可调（可校准）。</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2"/>
                <w:highlight w:val="yellow"/>
                <w:lang w:val="en-US" w:eastAsia="zh-CN"/>
              </w:rPr>
            </w:pPr>
            <w:r>
              <w:rPr>
                <w:rFonts w:hint="eastAsia" w:ascii="宋体" w:hAnsi="宋体" w:cs="宋体"/>
                <w:szCs w:val="22"/>
                <w:highlight w:val="yellow"/>
                <w:lang w:val="en-US" w:eastAsia="zh-CN"/>
              </w:rPr>
              <w:t>操作界面和显示屏应在正前面，易于操作</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1"/>
                <w:lang w:eastAsia="zh-CN"/>
              </w:rPr>
            </w:pPr>
            <w:r>
              <w:rPr>
                <w:color w:val="000000"/>
                <w:szCs w:val="21"/>
                <w:lang w:val="en-US" w:eastAsia="zh-CN"/>
              </w:rPr>
              <w:t>标识</w:t>
            </w:r>
            <w:r>
              <w:rPr>
                <w:color w:val="000000"/>
                <w:szCs w:val="21"/>
                <w:lang w:eastAsia="zh-CN"/>
              </w:rPr>
              <w:t xml:space="preserve">：至少应有以下永久贴牢和清楚易认的标识： </w:t>
            </w:r>
          </w:p>
          <w:p>
            <w:pPr>
              <w:spacing w:line="276" w:lineRule="auto"/>
              <w:jc w:val="both"/>
              <w:rPr>
                <w:color w:val="000000"/>
                <w:szCs w:val="21"/>
                <w:lang w:eastAsia="zh-CN"/>
              </w:rPr>
            </w:pPr>
            <w:r>
              <w:rPr>
                <w:color w:val="000000"/>
                <w:szCs w:val="21"/>
                <w:lang w:eastAsia="zh-CN"/>
              </w:rPr>
              <w:t>（1）制造/供应单位；</w:t>
            </w:r>
          </w:p>
          <w:p>
            <w:pPr>
              <w:spacing w:line="276" w:lineRule="auto"/>
              <w:jc w:val="both"/>
              <w:rPr>
                <w:color w:val="000000"/>
                <w:szCs w:val="21"/>
                <w:lang w:eastAsia="zh-CN"/>
              </w:rPr>
            </w:pPr>
            <w:r>
              <w:rPr>
                <w:color w:val="000000"/>
                <w:szCs w:val="21"/>
                <w:lang w:eastAsia="zh-CN"/>
              </w:rPr>
              <w:t>（2）产品注册号；</w:t>
            </w:r>
          </w:p>
          <w:p>
            <w:pPr>
              <w:spacing w:line="276" w:lineRule="auto"/>
              <w:jc w:val="both"/>
              <w:rPr>
                <w:color w:val="000000"/>
                <w:szCs w:val="21"/>
                <w:lang w:eastAsia="zh-CN"/>
              </w:rPr>
            </w:pPr>
            <w:r>
              <w:rPr>
                <w:color w:val="000000"/>
                <w:szCs w:val="21"/>
                <w:lang w:eastAsia="zh-CN"/>
              </w:rPr>
              <w:t>（3）型号；</w:t>
            </w:r>
          </w:p>
          <w:p>
            <w:pPr>
              <w:spacing w:line="276" w:lineRule="auto"/>
              <w:jc w:val="both"/>
              <w:rPr>
                <w:color w:val="000000"/>
                <w:szCs w:val="21"/>
                <w:lang w:eastAsia="zh-CN"/>
              </w:rPr>
            </w:pPr>
            <w:r>
              <w:rPr>
                <w:color w:val="000000"/>
                <w:szCs w:val="21"/>
                <w:lang w:eastAsia="zh-CN"/>
              </w:rPr>
              <w:t>（4）生产日期或编号；</w:t>
            </w:r>
          </w:p>
          <w:p>
            <w:pPr>
              <w:spacing w:line="276" w:lineRule="auto"/>
              <w:jc w:val="both"/>
              <w:rPr>
                <w:color w:val="000000"/>
                <w:szCs w:val="21"/>
                <w:lang w:eastAsia="zh-CN"/>
              </w:rPr>
            </w:pPr>
            <w:r>
              <w:rPr>
                <w:color w:val="000000"/>
                <w:szCs w:val="21"/>
                <w:lang w:eastAsia="zh-CN"/>
              </w:rPr>
              <w:t>（5）对设备必要的说明；</w:t>
            </w:r>
          </w:p>
          <w:p>
            <w:pPr>
              <w:pStyle w:val="8"/>
              <w:spacing w:line="276" w:lineRule="auto"/>
              <w:rPr>
                <w:color w:val="000000"/>
                <w:sz w:val="21"/>
                <w:szCs w:val="21"/>
                <w:lang w:eastAsia="zh-CN"/>
              </w:rPr>
            </w:pPr>
            <w:r>
              <w:rPr>
                <w:color w:val="000000"/>
                <w:sz w:val="21"/>
                <w:szCs w:val="21"/>
              </w:rPr>
              <w:t>（</w:t>
            </w:r>
            <w:r>
              <w:rPr>
                <w:color w:val="000000"/>
                <w:sz w:val="21"/>
                <w:szCs w:val="21"/>
                <w:lang w:eastAsia="zh-CN"/>
              </w:rPr>
              <w:t>6</w:t>
            </w:r>
            <w:r>
              <w:rPr>
                <w:color w:val="000000"/>
                <w:sz w:val="21"/>
                <w:szCs w:val="21"/>
              </w:rPr>
              <w:t>）安全标识。</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color w:val="000000"/>
                <w:sz w:val="21"/>
                <w:szCs w:val="21"/>
                <w:lang w:val="en-US" w:eastAsia="zh-CN"/>
              </w:rPr>
            </w:pPr>
            <w:r>
              <w:rPr>
                <w:rFonts w:hint="eastAsia"/>
                <w:color w:val="000000"/>
                <w:sz w:val="21"/>
                <w:szCs w:val="21"/>
                <w:lang w:val="en-US" w:eastAsia="zh-CN"/>
              </w:rPr>
              <w:t>泵管要求：泵管内径</w:t>
            </w:r>
            <w:r>
              <w:rPr>
                <w:rFonts w:hint="eastAsia" w:ascii="宋体" w:hAnsi="宋体" w:cs="宋体"/>
                <w:sz w:val="21"/>
                <w:szCs w:val="22"/>
                <w:highlight w:val="yellow"/>
                <w:lang w:val="en-US" w:eastAsia="zh-CN"/>
              </w:rPr>
              <w:t>适用于离心机加样口，耐酸碱腐蚀，能耐</w:t>
            </w:r>
            <w:r>
              <w:rPr>
                <w:rFonts w:hint="eastAsia" w:ascii="宋体" w:hAnsi="宋体"/>
                <w:sz w:val="21"/>
                <w:szCs w:val="21"/>
                <w:lang w:val="en-US" w:eastAsia="zh-CN"/>
              </w:rPr>
              <w:t>受2%-5%的NaOH浸泡12h</w:t>
            </w:r>
            <w:r>
              <w:rPr>
                <w:rFonts w:hint="eastAsia" w:ascii="宋体" w:hAnsi="宋体" w:cs="宋体"/>
                <w:color w:val="0000FF"/>
                <w:sz w:val="21"/>
                <w:szCs w:val="22"/>
                <w:highlight w:val="yellow"/>
                <w:lang w:val="en-US" w:eastAsia="zh-CN"/>
              </w:rPr>
              <w:t>。</w:t>
            </w:r>
          </w:p>
        </w:tc>
        <w:tc>
          <w:tcPr>
            <w:tcW w:w="2125" w:type="dxa"/>
            <w:vAlign w:val="center"/>
          </w:tcPr>
          <w:p>
            <w:pPr>
              <w:jc w:val="both"/>
              <w:rPr>
                <w:iCs/>
                <w:szCs w:val="21"/>
                <w:lang w:val="en-US" w:eastAsia="zh-CN"/>
              </w:rPr>
            </w:pPr>
            <w:r>
              <w:rPr>
                <w:rFonts w:hint="eastAsia"/>
                <w:iCs/>
                <w:szCs w:val="21"/>
                <w:lang w:val="en-US" w:eastAsia="zh-CN"/>
              </w:rPr>
              <w:t>关键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color w:val="000000"/>
                <w:sz w:val="21"/>
                <w:szCs w:val="21"/>
                <w:lang w:val="en-US" w:eastAsia="zh-CN"/>
              </w:rPr>
            </w:pPr>
            <w:r>
              <w:rPr>
                <w:rFonts w:hint="eastAsia" w:ascii="宋体" w:hAnsi="宋体"/>
                <w:sz w:val="21"/>
                <w:szCs w:val="21"/>
                <w:lang w:val="en-US" w:eastAsia="zh-CN"/>
              </w:rPr>
              <w:t xml:space="preserve">阀门：泵头：采用进口知名品牌，能提供平稳低脉冲的流速。泵内所用备件（膜片、管路、泵体）符合医用级别要求，易于清洗、维护简单。与药液接触部位需电抛光，抛光度Ra≤0.8 </w:t>
            </w:r>
            <w:r>
              <w:rPr>
                <w:rFonts w:hint="eastAsia" w:ascii="宋体" w:hAnsi="宋体"/>
                <w:sz w:val="21"/>
                <w:szCs w:val="21"/>
                <w:lang w:val="en-US"/>
              </w:rPr>
              <w:t>μ</w:t>
            </w:r>
            <w:r>
              <w:rPr>
                <w:rFonts w:hint="eastAsia" w:ascii="宋体" w:hAnsi="宋体"/>
                <w:sz w:val="21"/>
                <w:szCs w:val="21"/>
                <w:lang w:val="en-US" w:eastAsia="zh-CN"/>
              </w:rPr>
              <w:t xml:space="preserve">m；泵头密封性好，无漏油漏产品现象；所有与料液接触部件能够长时间耐受2%-5%的NaOH。泵头外表面应进行镜面抛光、钝化处理，有材质证书、表面抛光证书；如需阀门，则所有阀门应为AISI 316L不锈钢隔膜阀，与药液接触部位机械或电解抛光，抛光度Ra≤0.8 </w:t>
            </w:r>
            <w:r>
              <w:rPr>
                <w:rFonts w:hint="eastAsia" w:ascii="宋体" w:hAnsi="宋体"/>
                <w:sz w:val="21"/>
                <w:szCs w:val="21"/>
                <w:lang w:val="en-US"/>
              </w:rPr>
              <w:t>μ</w:t>
            </w:r>
            <w:r>
              <w:rPr>
                <w:rFonts w:hint="eastAsia" w:ascii="宋体" w:hAnsi="宋体"/>
                <w:sz w:val="21"/>
                <w:szCs w:val="21"/>
                <w:lang w:val="en-US" w:eastAsia="zh-CN"/>
              </w:rPr>
              <w:t>m；膜片材质为EPDM或PTFE；隔膜材质应为TPE；阀门的布置必须保证死角不超过连接管道的3D，采用卡箍连接。</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rFonts w:ascii="宋体" w:hAnsi="宋体"/>
                <w:sz w:val="21"/>
                <w:szCs w:val="21"/>
                <w:lang w:val="en-US" w:eastAsia="zh-CN"/>
              </w:rPr>
            </w:pPr>
            <w:r>
              <w:rPr>
                <w:rFonts w:hint="eastAsia" w:ascii="宋体" w:hAnsi="宋体"/>
                <w:sz w:val="21"/>
                <w:szCs w:val="21"/>
                <w:lang w:val="en-US" w:eastAsia="zh-CN"/>
              </w:rPr>
              <w:t>变频器：采用德国伦茨(Lenze)或同等品牌进口设备，用于泵速调节。</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rFonts w:ascii="宋体" w:hAnsi="宋体"/>
                <w:sz w:val="21"/>
                <w:szCs w:val="21"/>
                <w:lang w:val="en-US" w:eastAsia="zh-CN"/>
              </w:rPr>
            </w:pPr>
            <w:r>
              <w:rPr>
                <w:rFonts w:hint="eastAsia" w:ascii="宋体" w:hAnsi="宋体"/>
                <w:sz w:val="21"/>
                <w:szCs w:val="21"/>
                <w:lang w:val="en-US" w:eastAsia="zh-CN"/>
              </w:rPr>
              <w:t>卫生型布局设计：仪表及管路连接均采用卫生型TC连接；仪表接触面材料；抗腐蚀、不吸附、不溶出；与工艺条件兼容，耐受清洁和灭菌；所有仪表都采用316L SS材质；O型圈、密封垫片都符合卫生级要求</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rFonts w:ascii="宋体" w:hAnsi="宋体"/>
                <w:sz w:val="21"/>
                <w:szCs w:val="21"/>
                <w:lang w:val="en-US" w:eastAsia="zh-CN"/>
              </w:rPr>
            </w:pPr>
            <w:r>
              <w:rPr>
                <w:rFonts w:hint="eastAsia" w:ascii="宋体" w:hAnsi="宋体"/>
                <w:sz w:val="21"/>
                <w:szCs w:val="21"/>
                <w:lang w:val="en-US" w:eastAsia="zh-CN"/>
              </w:rPr>
              <w:t>所有管道与管件均为316L不锈钢材质，内表面粗糙度为Ra≤0.6</w:t>
            </w:r>
            <w:r>
              <w:rPr>
                <w:rFonts w:hint="eastAsia" w:ascii="宋体" w:hAnsi="宋体"/>
                <w:sz w:val="21"/>
                <w:szCs w:val="21"/>
                <w:lang w:val="en-US"/>
              </w:rPr>
              <w:t>μ</w:t>
            </w:r>
            <w:r>
              <w:rPr>
                <w:rFonts w:hint="eastAsia" w:ascii="宋体" w:hAnsi="宋体"/>
                <w:sz w:val="21"/>
                <w:szCs w:val="21"/>
                <w:lang w:val="en-US" w:eastAsia="zh-CN"/>
              </w:rPr>
              <w:t>m，管道的连接件均为卡箍形式。外表面应进行镜面抛光处理，有材质证书、表面抛光证书、抛光记录及抛光操作人员资质证书；管道的连接件均为卫生型连接。</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rFonts w:ascii="宋体" w:hAnsi="宋体"/>
                <w:sz w:val="21"/>
                <w:szCs w:val="21"/>
                <w:lang w:val="en-US" w:eastAsia="zh-CN"/>
              </w:rPr>
            </w:pPr>
            <w:r>
              <w:rPr>
                <w:rFonts w:hint="eastAsia" w:ascii="宋体" w:hAnsi="宋体"/>
                <w:sz w:val="21"/>
                <w:szCs w:val="21"/>
                <w:lang w:val="en-US" w:eastAsia="zh-CN"/>
              </w:rPr>
              <w:t>如需阀门，品牌为TOYO或同等品牌，阀体材质为316L不锈钢，膜片为EPDM，符合卫生级别要求，并有材质合格证书。</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tbl>
            <w:tblPr>
              <w:tblStyle w:val="26"/>
              <w:tblW w:w="7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7128" w:type="dxa"/>
                  <w:tcBorders>
                    <w:top w:val="single" w:color="auto" w:sz="4" w:space="0"/>
                    <w:left w:val="single" w:color="auto" w:sz="4" w:space="0"/>
                    <w:bottom w:val="single" w:color="auto" w:sz="4" w:space="0"/>
                    <w:right w:val="single" w:color="auto" w:sz="4" w:space="0"/>
                  </w:tcBorders>
                  <w:vAlign w:val="center"/>
                </w:tcPr>
                <w:p>
                  <w:pPr>
                    <w:spacing w:line="276" w:lineRule="auto"/>
                    <w:jc w:val="both"/>
                    <w:rPr>
                      <w:rFonts w:ascii="宋体" w:hAnsi="宋体" w:cs="宋体"/>
                      <w:szCs w:val="21"/>
                      <w:lang w:val="en-US" w:eastAsia="zh-CN"/>
                    </w:rPr>
                  </w:pPr>
                  <w:r>
                    <w:rPr>
                      <w:rFonts w:hint="eastAsia" w:ascii="宋体" w:hAnsi="宋体" w:cs="宋体"/>
                      <w:szCs w:val="21"/>
                      <w:lang w:val="en-US" w:eastAsia="zh-CN"/>
                    </w:rPr>
                    <w:t>设备所有连接处密封良好，不会出现跑、冒、滴、漏的现象。</w:t>
                  </w:r>
                </w:p>
              </w:tc>
            </w:tr>
          </w:tbl>
          <w:p>
            <w:pPr>
              <w:pStyle w:val="19"/>
              <w:widowControl w:val="0"/>
              <w:spacing w:before="1"/>
              <w:ind w:left="107"/>
              <w:jc w:val="both"/>
              <w:rPr>
                <w:rFonts w:ascii="宋体" w:hAnsi="宋体"/>
                <w:sz w:val="21"/>
                <w:szCs w:val="21"/>
                <w:lang w:val="en-US" w:eastAsia="zh-CN"/>
              </w:rPr>
            </w:pP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rFonts w:ascii="宋体" w:hAnsi="宋体"/>
                <w:sz w:val="21"/>
                <w:szCs w:val="21"/>
                <w:lang w:val="en-US" w:eastAsia="zh-CN"/>
              </w:rPr>
            </w:pPr>
            <w:r>
              <w:rPr>
                <w:rFonts w:hint="eastAsia" w:ascii="宋体" w:hAnsi="宋体"/>
                <w:sz w:val="21"/>
                <w:szCs w:val="21"/>
                <w:lang w:val="en-US" w:eastAsia="zh-CN"/>
              </w:rPr>
              <w:t>泵所有与物料接触的非金属材质均符合FDA及USP CLASS VI的有关要求，并提供材质声明；</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jc w:val="both"/>
              <w:rPr>
                <w:rFonts w:ascii="宋体" w:hAnsi="宋体"/>
                <w:sz w:val="21"/>
                <w:szCs w:val="21"/>
                <w:lang w:val="en-US" w:eastAsia="zh-CN"/>
              </w:rPr>
            </w:pPr>
            <w:r>
              <w:rPr>
                <w:rFonts w:hint="eastAsia" w:ascii="宋体" w:hAnsi="宋体"/>
                <w:sz w:val="21"/>
                <w:szCs w:val="21"/>
                <w:lang w:val="en-US" w:eastAsia="zh-CN"/>
              </w:rPr>
              <w:t>系统外表面耐受常见的消毒剂处理（如紫外照射、75%酒精、84消毒液或0.1%新洁尔灭等）</w:t>
            </w:r>
          </w:p>
        </w:tc>
        <w:tc>
          <w:tcPr>
            <w:tcW w:w="2125" w:type="dxa"/>
            <w:vAlign w:val="center"/>
          </w:tcPr>
          <w:p>
            <w:pPr>
              <w:jc w:val="both"/>
              <w:rPr>
                <w:iCs/>
                <w:szCs w:val="21"/>
                <w:lang w:val="en-US" w:eastAsia="zh-CN"/>
              </w:rPr>
            </w:pPr>
            <w:r>
              <w:rPr>
                <w:rFonts w:hint="eastAsia"/>
                <w:iCs/>
                <w:szCs w:val="21"/>
                <w:lang w:val="en-US" w:eastAsia="zh-CN"/>
              </w:rPr>
              <w:t>关键</w:t>
            </w:r>
          </w:p>
        </w:tc>
      </w:tr>
      <w:bookmarkEnd w:id="25"/>
      <w:bookmarkEnd w:id="26"/>
      <w:permEnd w:id="18"/>
    </w:tbl>
    <w:p>
      <w:pPr>
        <w:pStyle w:val="33"/>
        <w:spacing w:afterLines="50"/>
        <w:ind w:left="425" w:firstLine="0" w:firstLineChars="0"/>
        <w:rPr>
          <w:rFonts w:ascii="Times New Roman" w:hAnsi="Times New Roman"/>
          <w:szCs w:val="21"/>
        </w:rPr>
      </w:pPr>
    </w:p>
    <w:p>
      <w:pPr>
        <w:pStyle w:val="33"/>
        <w:numPr>
          <w:ilvl w:val="0"/>
          <w:numId w:val="3"/>
        </w:numPr>
        <w:spacing w:afterLines="50"/>
        <w:ind w:left="426" w:hanging="426" w:hangingChars="202"/>
        <w:outlineLvl w:val="0"/>
        <w:rPr>
          <w:rFonts w:ascii="Times New Roman" w:hAnsi="Times New Roman"/>
          <w:b/>
        </w:rPr>
      </w:pPr>
      <w:bookmarkStart w:id="27" w:name="_Toc522716121"/>
      <w:bookmarkStart w:id="28" w:name="_Toc522107740"/>
      <w:r>
        <w:rPr>
          <w:rFonts w:ascii="Times New Roman" w:hAnsi="Times New Roman"/>
          <w:b/>
        </w:rPr>
        <w:t>运行要求</w:t>
      </w:r>
      <w:bookmarkEnd w:id="27"/>
      <w:bookmarkEnd w:id="28"/>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19" w:edGrp="everyone"/>
            <w:permEnd w:id="1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3"/>
              <w:ind w:firstLine="0" w:firstLineChars="0"/>
              <w:rPr>
                <w:rFonts w:ascii="Times New Roman" w:hAnsi="Times New Roman"/>
                <w:szCs w:val="21"/>
              </w:rPr>
            </w:pPr>
            <w:permStart w:id="20" w:edGrp="everyone"/>
          </w:p>
        </w:tc>
        <w:tc>
          <w:tcPr>
            <w:tcW w:w="9253" w:type="dxa"/>
            <w:gridSpan w:val="2"/>
            <w:vAlign w:val="center"/>
          </w:tcPr>
          <w:p>
            <w:pPr>
              <w:jc w:val="both"/>
              <w:rPr>
                <w:szCs w:val="21"/>
                <w:lang w:eastAsia="zh-CN"/>
              </w:rPr>
            </w:pPr>
            <w:r>
              <w:rPr>
                <w:rFonts w:hint="eastAsia"/>
                <w:szCs w:val="21"/>
                <w:lang w:eastAsia="zh-CN"/>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1" w:edGrp="everyone"/>
          </w:p>
        </w:tc>
        <w:tc>
          <w:tcPr>
            <w:tcW w:w="7128" w:type="dxa"/>
            <w:vAlign w:val="center"/>
          </w:tcPr>
          <w:p>
            <w:pPr>
              <w:spacing w:line="276" w:lineRule="auto"/>
              <w:jc w:val="both"/>
              <w:rPr>
                <w:color w:val="FF0000"/>
                <w:szCs w:val="21"/>
                <w:lang w:eastAsia="zh-CN"/>
              </w:rPr>
            </w:pPr>
            <w:r>
              <w:rPr>
                <w:lang w:eastAsia="zh-CN"/>
              </w:rPr>
              <w:t>随设备配备</w:t>
            </w:r>
            <w:r>
              <w:rPr>
                <w:rFonts w:hint="eastAsia"/>
                <w:lang w:eastAsia="zh-CN"/>
              </w:rPr>
              <w:t>标准</w:t>
            </w:r>
            <w:r>
              <w:rPr>
                <w:lang w:eastAsia="zh-CN"/>
              </w:rPr>
              <w:t>接头20个及</w:t>
            </w:r>
            <w:r>
              <w:rPr>
                <w:rFonts w:hint="eastAsia"/>
                <w:lang w:eastAsia="zh-CN"/>
              </w:rPr>
              <w:t>配套标准</w:t>
            </w:r>
            <w:r>
              <w:rPr>
                <w:lang w:eastAsia="zh-CN"/>
              </w:rPr>
              <w:t>泵管50米</w:t>
            </w:r>
            <w:r>
              <w:rPr>
                <w:rFonts w:hint="eastAsia"/>
                <w:lang w:eastAsia="zh-CN"/>
              </w:rPr>
              <w:t>。</w:t>
            </w:r>
          </w:p>
        </w:tc>
        <w:tc>
          <w:tcPr>
            <w:tcW w:w="2125" w:type="dxa"/>
            <w:vAlign w:val="center"/>
          </w:tcPr>
          <w:p>
            <w:pPr>
              <w:jc w:val="both"/>
              <w:rPr>
                <w:szCs w:val="21"/>
                <w:lang w:eastAsia="zh-CN"/>
              </w:rPr>
            </w:pPr>
            <w:r>
              <w:rPr>
                <w:rFonts w:hint="eastAsia"/>
                <w:iCs/>
                <w:szCs w:val="21"/>
                <w:lang w:val="en-US" w:eastAsia="zh-CN"/>
              </w:rPr>
              <w:t>关键</w:t>
            </w:r>
            <w:r>
              <w:rPr>
                <w:rFonts w:hint="eastAsia"/>
                <w:lang w:eastAsia="zh-CN"/>
              </w:rPr>
              <w:t>※</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i/>
                <w:szCs w:val="21"/>
                <w:lang w:val="en-US" w:eastAsia="zh-CN"/>
              </w:rPr>
            </w:pPr>
            <w:r>
              <w:rPr>
                <w:rFonts w:hint="eastAsia" w:ascii="宋体" w:hAnsi="宋体"/>
                <w:color w:val="000000"/>
                <w:szCs w:val="21"/>
                <w:lang w:val="en-US" w:eastAsia="zh-CN"/>
              </w:rPr>
              <w:t>泵能提供流量范围50-100ml/min，且流量可调(可校准）；流量精度≤±0.5%.</w:t>
            </w:r>
          </w:p>
        </w:tc>
        <w:tc>
          <w:tcPr>
            <w:tcW w:w="2125" w:type="dxa"/>
            <w:vAlign w:val="center"/>
          </w:tcPr>
          <w:p>
            <w:pPr>
              <w:jc w:val="both"/>
              <w:rPr>
                <w:szCs w:val="21"/>
                <w:lang w:eastAsia="zh-CN"/>
              </w:rPr>
            </w:pPr>
            <w:r>
              <w:rPr>
                <w:rFonts w:hint="eastAsia"/>
                <w:iCs/>
                <w:szCs w:val="21"/>
                <w:lang w:val="en-US" w:eastAsia="zh-CN"/>
              </w:rPr>
              <w:t>关键</w:t>
            </w:r>
            <w:r>
              <w:rPr>
                <w:rFonts w:hint="eastAsia"/>
                <w:lang w:eastAsia="zh-CN"/>
              </w:rPr>
              <w:t>※</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color w:val="000000"/>
                <w:szCs w:val="21"/>
                <w:lang w:val="en-US" w:eastAsia="zh-CN"/>
              </w:rPr>
            </w:pPr>
            <w:r>
              <w:rPr>
                <w:rFonts w:hint="eastAsia" w:ascii="宋体" w:hAnsi="宋体" w:cs="宋体"/>
                <w:szCs w:val="22"/>
                <w:highlight w:val="yellow"/>
                <w:lang w:val="en-US" w:eastAsia="zh-CN"/>
              </w:rPr>
              <w:t>两种运行模式可选: 连续 / 定量。</w:t>
            </w:r>
            <w:r>
              <w:rPr>
                <w:rFonts w:hint="eastAsia" w:ascii="宋体" w:hAnsi="宋体"/>
                <w:color w:val="000000"/>
                <w:szCs w:val="21"/>
                <w:lang w:val="en-US" w:eastAsia="zh-CN"/>
              </w:rPr>
              <w:t>能够设置连续恒流运行或者定量分装恒流运行。</w:t>
            </w:r>
          </w:p>
        </w:tc>
        <w:tc>
          <w:tcPr>
            <w:tcW w:w="2125" w:type="dxa"/>
            <w:vAlign w:val="center"/>
          </w:tcPr>
          <w:p>
            <w:pPr>
              <w:jc w:val="both"/>
              <w:rPr>
                <w:iCs/>
                <w:szCs w:val="21"/>
                <w:lang w:val="en-US" w:eastAsia="zh-CN"/>
              </w:rPr>
            </w:pPr>
            <w:r>
              <w:rPr>
                <w:rFonts w:hint="eastAsia"/>
                <w:iCs/>
                <w:szCs w:val="21"/>
                <w:lang w:val="en-US" w:eastAsia="zh-CN"/>
              </w:rPr>
              <w:t>关键</w:t>
            </w:r>
            <w:r>
              <w:rPr>
                <w:rFonts w:hint="eastAsia"/>
                <w:lang w:eastAsia="zh-CN"/>
              </w:rPr>
              <w:t>※</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color w:val="333333"/>
                <w:lang w:val="en-US" w:eastAsia="zh-CN"/>
              </w:rPr>
            </w:pPr>
            <w:r>
              <w:rPr>
                <w:rFonts w:hint="eastAsia" w:cs="Calibri"/>
                <w:szCs w:val="21"/>
                <w:lang w:val="en-US" w:eastAsia="zh-CN"/>
              </w:rPr>
              <w:t>整个系统可耐受</w:t>
            </w:r>
            <w:r>
              <w:rPr>
                <w:rFonts w:hint="eastAsia" w:ascii="Calibri" w:hAnsi="Calibri" w:cs="Calibri"/>
                <w:szCs w:val="21"/>
                <w:lang w:val="en-US" w:eastAsia="zh-CN"/>
              </w:rPr>
              <w:t>2</w:t>
            </w:r>
            <w:r>
              <w:rPr>
                <w:rFonts w:ascii="Calibri" w:hAnsi="Calibri" w:cs="Calibri"/>
                <w:szCs w:val="21"/>
                <w:lang w:val="en-US" w:eastAsia="zh-CN"/>
              </w:rPr>
              <w:t xml:space="preserve"> bar</w:t>
            </w:r>
            <w:r>
              <w:rPr>
                <w:rFonts w:hint="eastAsia" w:cs="Calibri"/>
                <w:szCs w:val="21"/>
                <w:lang w:val="en-US" w:eastAsia="zh-CN"/>
              </w:rPr>
              <w:t>的压力，具有过压保护功能，且可设置过保压力，压力过大时自动将泵关闭.</w:t>
            </w:r>
          </w:p>
        </w:tc>
        <w:tc>
          <w:tcPr>
            <w:tcW w:w="2125" w:type="dxa"/>
            <w:vAlign w:val="center"/>
          </w:tcPr>
          <w:p>
            <w:pPr>
              <w:jc w:val="both"/>
              <w:rPr>
                <w:iCs/>
                <w:szCs w:val="21"/>
                <w:lang w:val="en-US" w:eastAsia="zh-CN"/>
              </w:rPr>
            </w:pPr>
            <w:r>
              <w:rPr>
                <w:rFonts w:hint="eastAsia"/>
                <w:iCs/>
                <w:szCs w:val="21"/>
                <w:lang w:val="en-US" w:eastAsia="zh-CN"/>
              </w:rPr>
              <w:t>期望</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cs="Calibri"/>
                <w:szCs w:val="21"/>
                <w:lang w:val="en-US" w:eastAsia="zh-CN"/>
              </w:rPr>
            </w:pPr>
            <w:r>
              <w:rPr>
                <w:rFonts w:hint="eastAsia" w:cs="Calibri"/>
                <w:szCs w:val="21"/>
                <w:lang w:val="en-US" w:eastAsia="zh-CN"/>
              </w:rPr>
              <w:t>具有压力控制系统，压力在</w:t>
            </w:r>
            <w:r>
              <w:rPr>
                <w:rFonts w:ascii="Calibri" w:hAnsi="Calibri" w:cs="Calibri"/>
                <w:szCs w:val="21"/>
                <w:lang w:val="en-US" w:eastAsia="zh-CN"/>
              </w:rPr>
              <w:t>0</w:t>
            </w:r>
            <w:r>
              <w:rPr>
                <w:rFonts w:hint="eastAsia" w:cs="Calibri"/>
                <w:szCs w:val="21"/>
                <w:lang w:val="en-US" w:eastAsia="zh-CN"/>
              </w:rPr>
              <w:t>～</w:t>
            </w:r>
            <w:r>
              <w:rPr>
                <w:rFonts w:hint="eastAsia" w:ascii="Calibri" w:hAnsi="Calibri" w:cs="Calibri"/>
                <w:szCs w:val="21"/>
                <w:lang w:val="en-US" w:eastAsia="zh-CN"/>
              </w:rPr>
              <w:t>2</w:t>
            </w:r>
            <w:r>
              <w:rPr>
                <w:rFonts w:ascii="Calibri" w:hAnsi="Calibri" w:cs="Calibri"/>
                <w:szCs w:val="21"/>
                <w:lang w:val="en-US" w:eastAsia="zh-CN"/>
              </w:rPr>
              <w:t>bar</w:t>
            </w:r>
            <w:r>
              <w:rPr>
                <w:rFonts w:hint="eastAsia" w:cs="Calibri"/>
                <w:szCs w:val="21"/>
                <w:lang w:val="en-US" w:eastAsia="zh-CN"/>
              </w:rPr>
              <w:t>，压力控制误差在</w:t>
            </w:r>
            <w:r>
              <w:rPr>
                <w:rFonts w:ascii="Calibri" w:hAnsi="Calibri" w:cs="Calibri"/>
                <w:szCs w:val="21"/>
                <w:lang w:val="en-US" w:eastAsia="zh-CN"/>
              </w:rPr>
              <w:t>5%</w:t>
            </w:r>
            <w:r>
              <w:rPr>
                <w:rFonts w:hint="eastAsia" w:cs="Calibri"/>
                <w:szCs w:val="21"/>
                <w:lang w:val="en-US" w:eastAsia="zh-CN"/>
              </w:rPr>
              <w:t>以内；</w:t>
            </w:r>
          </w:p>
        </w:tc>
        <w:tc>
          <w:tcPr>
            <w:tcW w:w="2125" w:type="dxa"/>
            <w:vAlign w:val="center"/>
          </w:tcPr>
          <w:p>
            <w:pPr>
              <w:jc w:val="both"/>
              <w:rPr>
                <w:iCs/>
                <w:szCs w:val="21"/>
                <w:lang w:val="en-US" w:eastAsia="zh-CN"/>
              </w:rPr>
            </w:pPr>
            <w:r>
              <w:rPr>
                <w:rFonts w:hint="eastAsia"/>
                <w:iCs/>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color w:val="333333"/>
              </w:rPr>
            </w:pPr>
            <w:r>
              <w:rPr>
                <w:color w:val="333333"/>
              </w:rPr>
              <w:t>电压/频率: 220V，</w:t>
            </w:r>
            <w:r>
              <w:rPr>
                <w:rFonts w:hint="eastAsia" w:ascii="宋体" w:hAnsi="宋体" w:cs="宋体"/>
                <w:color w:val="333333"/>
                <w:szCs w:val="22"/>
                <w:highlight w:val="yellow"/>
                <w:lang w:val="en-US"/>
              </w:rPr>
              <w:t xml:space="preserve"> 50</w:t>
            </w:r>
            <w:r>
              <w:rPr>
                <w:rFonts w:hint="eastAsia" w:ascii="宋体" w:hAnsi="宋体" w:cs="宋体"/>
                <w:color w:val="333333"/>
                <w:szCs w:val="22"/>
                <w:highlight w:val="yellow"/>
                <w:lang w:val="en-US" w:eastAsia="zh-CN"/>
              </w:rPr>
              <w:t>/60</w:t>
            </w:r>
            <w:r>
              <w:rPr>
                <w:rFonts w:hint="eastAsia" w:ascii="宋体" w:hAnsi="宋体" w:cs="宋体"/>
                <w:color w:val="333333"/>
                <w:szCs w:val="22"/>
                <w:highlight w:val="yellow"/>
                <w:lang w:val="en-US"/>
              </w:rPr>
              <w:t>Hz</w:t>
            </w:r>
            <w:r>
              <w:rPr>
                <w:rFonts w:hint="eastAsia" w:ascii="宋体" w:hAnsi="宋体" w:cs="宋体"/>
                <w:color w:val="333333"/>
                <w:szCs w:val="22"/>
                <w:highlight w:val="yellow"/>
                <w:lang w:val="en-US" w:eastAsia="zh-CN"/>
              </w:rPr>
              <w:t>。</w:t>
            </w:r>
          </w:p>
        </w:tc>
        <w:tc>
          <w:tcPr>
            <w:tcW w:w="2125" w:type="dxa"/>
            <w:vAlign w:val="center"/>
          </w:tcPr>
          <w:p>
            <w:pPr>
              <w:jc w:val="both"/>
              <w:rPr>
                <w:iCs/>
                <w:szCs w:val="21"/>
                <w:lang w:val="en-US" w:eastAsia="zh-CN"/>
              </w:rPr>
            </w:pPr>
            <w:r>
              <w:rPr>
                <w:rFonts w:hint="eastAsia"/>
                <w:iCs/>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val="en-US" w:eastAsia="zh-CN"/>
              </w:rPr>
            </w:pPr>
            <w:r>
              <w:rPr>
                <w:color w:val="333333"/>
              </w:rPr>
              <w:t>标准: CE, c ETL us</w:t>
            </w:r>
            <w:r>
              <w:rPr>
                <w:rFonts w:hint="eastAsia"/>
                <w:color w:val="333333"/>
                <w:lang w:eastAsia="zh-CN"/>
              </w:rPr>
              <w:t>。</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rFonts w:ascii="宋体" w:hAnsi="宋体"/>
                <w:b/>
                <w:color w:val="000000"/>
                <w:sz w:val="28"/>
                <w:lang w:eastAsia="zh-CN"/>
              </w:rPr>
            </w:pPr>
            <w:r>
              <w:rPr>
                <w:rFonts w:hint="eastAsia"/>
                <w:color w:val="333333"/>
                <w:lang w:eastAsia="zh-CN"/>
              </w:rPr>
              <w:t>转速范围：0~500rpm。</w:t>
            </w:r>
          </w:p>
        </w:tc>
        <w:tc>
          <w:tcPr>
            <w:tcW w:w="2125" w:type="dxa"/>
            <w:vAlign w:val="top"/>
          </w:tcPr>
          <w:p>
            <w:pPr>
              <w:rPr>
                <w:iCs/>
                <w:szCs w:val="21"/>
                <w:lang w:val="en-US" w:eastAsia="zh-CN"/>
              </w:rPr>
            </w:pPr>
          </w:p>
          <w:p>
            <w:pPr>
              <w:rPr>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333333"/>
                <w:lang w:eastAsia="zh-CN"/>
              </w:rPr>
            </w:pPr>
            <w:r>
              <w:rPr>
                <w:rFonts w:hint="eastAsia"/>
                <w:lang w:eastAsia="zh-CN"/>
              </w:rPr>
              <w:t>泵头滚轴不锈钢转子，脉冲小，精度高，耐腐蚀。</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333333"/>
                <w:lang w:eastAsia="zh-CN"/>
              </w:rPr>
            </w:pPr>
            <w:r>
              <w:rPr>
                <w:rFonts w:hint="eastAsia"/>
                <w:lang w:eastAsia="zh-CN"/>
              </w:rPr>
              <w:t>具有双向电机，可逆时针和顺时针运转。</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olor w:val="000000"/>
                <w:szCs w:val="21"/>
                <w:lang w:eastAsia="zh-CN"/>
              </w:rPr>
            </w:pPr>
            <w:r>
              <w:t>体积分配: 1～9999ml</w:t>
            </w:r>
            <w:r>
              <w:rPr>
                <w:rFonts w:hint="eastAsia" w:ascii="宋体" w:hAnsi="宋体"/>
                <w:color w:val="000000"/>
                <w:szCs w:val="21"/>
                <w:lang w:eastAsia="zh-CN"/>
              </w:rPr>
              <w:t>。</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t>体积分配: 1～9999ml</w:t>
            </w:r>
            <w:r>
              <w:rPr>
                <w:rFonts w:hint="eastAsia" w:ascii="宋体" w:hAnsi="宋体"/>
                <w:color w:val="000000"/>
                <w:szCs w:val="21"/>
                <w:lang w:eastAsia="zh-CN"/>
              </w:rPr>
              <w:t>。</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Calibri" w:hAnsi="Calibri" w:cs="Calibri"/>
                <w:lang w:eastAsia="zh-CN"/>
              </w:rPr>
            </w:pPr>
            <w:r>
              <w:t>时间间隔: 1～600秒</w:t>
            </w:r>
            <w:r>
              <w:rPr>
                <w:rFonts w:hint="eastAsia"/>
                <w:lang w:eastAsia="zh-CN"/>
              </w:rPr>
              <w:t>。</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28" w:edGrp="everyone"/>
          </w:p>
        </w:tc>
        <w:tc>
          <w:tcPr>
            <w:tcW w:w="7128" w:type="dxa"/>
            <w:vAlign w:val="center"/>
          </w:tcPr>
          <w:p>
            <w:pPr>
              <w:spacing w:line="276" w:lineRule="auto"/>
              <w:jc w:val="both"/>
              <w:rPr>
                <w:szCs w:val="21"/>
                <w:lang w:eastAsia="zh-CN"/>
              </w:rPr>
            </w:pPr>
            <w:r>
              <w:rPr>
                <w:rFonts w:hint="eastAsia"/>
                <w:szCs w:val="21"/>
                <w:lang w:eastAsia="zh-CN"/>
              </w:rPr>
              <w:t>使用过程中泵体不可掉粉污染制品，</w:t>
            </w:r>
            <w:r>
              <w:rPr>
                <w:rFonts w:hint="eastAsia"/>
                <w:lang w:eastAsia="zh-CN"/>
              </w:rPr>
              <w:t>泵头不与制品发生反应或对制品产生任何影响</w:t>
            </w:r>
            <w:r>
              <w:rPr>
                <w:rFonts w:hint="eastAsia"/>
                <w:szCs w:val="21"/>
                <w:lang w:eastAsia="zh-CN"/>
              </w:rPr>
              <w:t>。</w:t>
            </w:r>
          </w:p>
        </w:tc>
        <w:tc>
          <w:tcPr>
            <w:tcW w:w="2125" w:type="dxa"/>
            <w:vAlign w:val="top"/>
          </w:tcPr>
          <w:p>
            <w:pPr>
              <w:rPr>
                <w:iCs/>
                <w:szCs w:val="21"/>
                <w:lang w:val="en-US" w:eastAsia="zh-CN"/>
              </w:rPr>
            </w:pPr>
          </w:p>
          <w:p>
            <w:r>
              <w:rPr>
                <w:rFonts w:hint="eastAsia"/>
                <w:iCs/>
                <w:szCs w:val="21"/>
                <w:lang w:val="en-US" w:eastAsia="zh-CN"/>
              </w:rPr>
              <w:t>关键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蠕动泵泵头及泵体要耐酸碱,不易变形，易清洗。</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lang w:eastAsia="zh-CN"/>
              </w:rPr>
              <w:t>对流体几乎没有剪切作用，不会对具有活性的流体产生不利影响或破坏作用。</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333333"/>
                <w:lang w:val="en-US" w:eastAsia="zh-CN"/>
              </w:rPr>
            </w:pPr>
            <w:r>
              <w:rPr>
                <w:lang w:eastAsia="zh-CN"/>
              </w:rPr>
              <w:t>流量及转速液晶屏幕显示，校准后准确显示当前转速及流量状态</w:t>
            </w:r>
            <w:r>
              <w:rPr>
                <w:rFonts w:hint="eastAsia"/>
                <w:lang w:eastAsia="zh-CN"/>
              </w:rPr>
              <w:t>。使用标准尺寸的接头及泵管时，实际流速值应为设定流速的值的</w:t>
            </w:r>
            <w:r>
              <w:rPr>
                <w:rFonts w:hint="eastAsia"/>
                <w:lang w:val="en-US" w:eastAsia="zh-CN"/>
              </w:rPr>
              <w:t>±1。</w:t>
            </w:r>
          </w:p>
        </w:tc>
        <w:tc>
          <w:tcPr>
            <w:tcW w:w="2125" w:type="dxa"/>
            <w:vAlign w:val="top"/>
          </w:tcPr>
          <w:p>
            <w:pPr>
              <w:rPr>
                <w:iCs/>
                <w:szCs w:val="21"/>
                <w:lang w:val="en-US" w:eastAsia="zh-CN"/>
              </w:rPr>
            </w:pPr>
          </w:p>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lang w:eastAsia="zh-CN"/>
              </w:rPr>
            </w:pPr>
            <w:r>
              <w:rPr>
                <w:rFonts w:hint="eastAsia"/>
                <w:lang w:eastAsia="zh-CN"/>
              </w:rPr>
              <w:t>有屏锁按键防止误操作。</w:t>
            </w:r>
          </w:p>
        </w:tc>
        <w:tc>
          <w:tcPr>
            <w:tcW w:w="2125" w:type="dxa"/>
            <w:vAlign w:val="top"/>
          </w:tcPr>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lang w:eastAsia="zh-CN"/>
              </w:rPr>
            </w:pPr>
            <w:r>
              <w:rPr>
                <w:rFonts w:ascii="宋体" w:hAnsi="宋体" w:cs="宋体"/>
                <w:color w:val="000000"/>
                <w:szCs w:val="21"/>
                <w:lang w:val="en-US" w:eastAsia="zh-CN"/>
              </w:rPr>
              <w:t>可实现正反两个方向的液体物料输送。</w:t>
            </w:r>
          </w:p>
        </w:tc>
        <w:tc>
          <w:tcPr>
            <w:tcW w:w="2125" w:type="dxa"/>
            <w:vAlign w:val="top"/>
          </w:tcPr>
          <w:p>
            <w:pPr>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333333"/>
                <w:lang w:eastAsia="zh-CN"/>
              </w:rPr>
            </w:pPr>
            <w:r>
              <w:rPr>
                <w:color w:val="333333"/>
              </w:rPr>
              <w:t>具有中文操作界面</w:t>
            </w:r>
            <w:r>
              <w:rPr>
                <w:rFonts w:hint="eastAsia"/>
                <w:color w:val="333333"/>
                <w:lang w:eastAsia="zh-CN"/>
              </w:rPr>
              <w:t>。</w:t>
            </w:r>
          </w:p>
        </w:tc>
        <w:tc>
          <w:tcPr>
            <w:tcW w:w="2125" w:type="dxa"/>
            <w:vAlign w:val="top"/>
          </w:tcPr>
          <w:p>
            <w:pPr>
              <w:rPr>
                <w:iCs/>
                <w:szCs w:val="21"/>
                <w:lang w:val="en-US" w:eastAsia="zh-CN"/>
              </w:rPr>
            </w:pPr>
            <w:r>
              <w:rPr>
                <w:rFonts w:hint="eastAsia"/>
                <w:iCs/>
                <w:szCs w:val="21"/>
                <w:lang w:val="en-US" w:eastAsia="zh-CN"/>
              </w:rPr>
              <w:t>关键</w:t>
            </w:r>
          </w:p>
        </w:tc>
      </w:tr>
      <w:permEnd w:id="28"/>
    </w:tbl>
    <w:p>
      <w:pPr>
        <w:pStyle w:val="33"/>
        <w:numPr>
          <w:ilvl w:val="0"/>
          <w:numId w:val="3"/>
        </w:numPr>
        <w:spacing w:afterLines="50"/>
        <w:ind w:left="426" w:hanging="426" w:hangingChars="202"/>
        <w:outlineLvl w:val="0"/>
        <w:rPr>
          <w:rFonts w:ascii="Times New Roman" w:hAnsi="Times New Roman"/>
          <w:b/>
        </w:rPr>
      </w:pPr>
      <w:bookmarkStart w:id="29" w:name="_Toc522716122"/>
      <w:bookmarkStart w:id="30" w:name="_Toc522107742"/>
      <w:bookmarkStart w:id="31" w:name="_Toc482370151"/>
      <w:bookmarkStart w:id="32" w:name="_Toc483227237"/>
      <w:bookmarkStart w:id="33" w:name="_Toc482625289"/>
      <w:bookmarkStart w:id="34" w:name="_Toc482359946"/>
      <w:bookmarkStart w:id="35" w:name="_Toc482370071"/>
      <w:bookmarkStart w:id="36" w:name="_Toc482717202"/>
      <w:bookmarkStart w:id="37" w:name="_Toc482370359"/>
      <w:bookmarkStart w:id="38" w:name="_Toc483400317"/>
      <w:bookmarkStart w:id="39" w:name="_Toc482370767"/>
      <w:bookmarkStart w:id="40" w:name="_Toc482360291"/>
      <w:bookmarkStart w:id="41" w:name="_Toc482369815"/>
      <w:bookmarkStart w:id="42" w:name="_Toc481702480"/>
      <w:r>
        <w:rPr>
          <w:rFonts w:ascii="Times New Roman" w:hAnsi="Times New Roman"/>
          <w:b/>
        </w:rPr>
        <w:t>电气、自动控制要求</w:t>
      </w:r>
      <w:bookmarkEnd w:id="29"/>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0" w:edGrp="everyone"/>
          </w:p>
        </w:tc>
        <w:tc>
          <w:tcPr>
            <w:tcW w:w="7128" w:type="dxa"/>
            <w:vAlign w:val="center"/>
          </w:tcPr>
          <w:p>
            <w:pPr>
              <w:spacing w:line="276" w:lineRule="auto"/>
              <w:jc w:val="both"/>
              <w:rPr>
                <w:i/>
                <w:szCs w:val="21"/>
                <w:lang w:eastAsia="zh-CN"/>
              </w:rPr>
            </w:pPr>
            <w:r>
              <w:rPr>
                <w:lang w:eastAsia="zh-CN"/>
              </w:rPr>
              <w:t>泵盖保护开关：具有开盖自动停机保护功能</w:t>
            </w:r>
            <w:r>
              <w:rPr>
                <w:rFonts w:hint="eastAsia"/>
                <w:lang w:eastAsia="zh-CN"/>
              </w:rPr>
              <w:t>。</w:t>
            </w:r>
          </w:p>
        </w:tc>
        <w:tc>
          <w:tcPr>
            <w:tcW w:w="2125" w:type="dxa"/>
            <w:vAlign w:val="center"/>
          </w:tcPr>
          <w:p>
            <w:pPr>
              <w:jc w:val="both"/>
              <w:rPr>
                <w:szCs w:val="21"/>
                <w:lang w:eastAsia="zh-CN"/>
              </w:rPr>
            </w:pPr>
            <w:r>
              <w:rPr>
                <w:rFonts w:hint="eastAsia"/>
                <w:iCs/>
                <w:szCs w:val="21"/>
                <w:lang w:val="en-US"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1" w:edGrp="everyone"/>
          </w:p>
        </w:tc>
        <w:tc>
          <w:tcPr>
            <w:tcW w:w="7128" w:type="dxa"/>
            <w:vAlign w:val="center"/>
          </w:tcPr>
          <w:p>
            <w:pPr>
              <w:spacing w:line="276" w:lineRule="auto"/>
              <w:jc w:val="both"/>
              <w:rPr>
                <w:szCs w:val="21"/>
                <w:lang w:eastAsia="zh-CN"/>
              </w:rPr>
            </w:pPr>
            <w:r>
              <w:rPr>
                <w:lang w:eastAsia="zh-CN"/>
              </w:rPr>
              <w:t>自动体积分配范围：1～9999ml</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pPr>
            <w:r>
              <w:t>时间间隔: 1～600秒</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r>
              <w:rPr>
                <w:rFonts w:ascii="宋体" w:hAnsi="宋体" w:cs="宋体"/>
                <w:color w:val="000000"/>
                <w:szCs w:val="21"/>
                <w:lang w:val="en-US" w:eastAsia="zh-CN"/>
              </w:rPr>
              <w:t>流量精度控制误差≤</w:t>
            </w:r>
            <w:r>
              <w:rPr>
                <w:color w:val="000000"/>
                <w:szCs w:val="21"/>
                <w:lang w:val="en-US" w:eastAsia="zh-CN"/>
              </w:rPr>
              <w:t>0.5%</w:t>
            </w:r>
          </w:p>
        </w:tc>
        <w:tc>
          <w:tcPr>
            <w:tcW w:w="2125" w:type="dxa"/>
            <w:vAlign w:val="center"/>
          </w:tcPr>
          <w:p>
            <w:pPr>
              <w:jc w:val="both"/>
              <w:rPr>
                <w:iCs/>
                <w:szCs w:val="21"/>
                <w:lang w:val="en-US" w:eastAsia="zh-CN"/>
              </w:rPr>
            </w:pPr>
            <w:r>
              <w:rPr>
                <w:rFonts w:hint="eastAsia"/>
                <w:iCs/>
                <w:szCs w:val="21"/>
                <w:lang w:val="en-US"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3"/>
              <w:ind w:firstLine="0" w:firstLineChars="0"/>
              <w:rPr>
                <w:rFonts w:ascii="Times New Roman" w:hAnsi="Times New Roman"/>
                <w:szCs w:val="21"/>
              </w:rPr>
            </w:pPr>
            <w:permStart w:id="32" w:edGrp="everyone"/>
          </w:p>
        </w:tc>
        <w:tc>
          <w:tcPr>
            <w:tcW w:w="9253" w:type="dxa"/>
            <w:gridSpan w:val="2"/>
            <w:vAlign w:val="center"/>
          </w:tcPr>
          <w:p>
            <w:pPr>
              <w:spacing w:line="276" w:lineRule="auto"/>
              <w:jc w:val="both"/>
              <w:rPr>
                <w:color w:val="000000"/>
                <w:szCs w:val="21"/>
                <w:lang w:eastAsia="zh-CN"/>
              </w:rPr>
            </w:pPr>
            <w:r>
              <w:t>N/A</w:t>
            </w:r>
          </w:p>
        </w:tc>
      </w:tr>
      <w:permEnd w:id="32"/>
    </w:tbl>
    <w:p>
      <w:pPr>
        <w:spacing w:afterLines="50"/>
        <w:rPr>
          <w:b/>
          <w:lang w:eastAsia="zh-CN"/>
        </w:rPr>
      </w:pPr>
    </w:p>
    <w:p>
      <w:pPr>
        <w:pStyle w:val="33"/>
        <w:numPr>
          <w:ilvl w:val="0"/>
          <w:numId w:val="3"/>
        </w:numPr>
        <w:spacing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8D8D8"/>
            <w:vAlign w:val="center"/>
          </w:tcPr>
          <w:p>
            <w:pPr>
              <w:pStyle w:val="33"/>
              <w:ind w:firstLine="0" w:firstLineChars="0"/>
              <w:rPr>
                <w:rFonts w:ascii="Times New Roman" w:hAnsi="Times New Roman"/>
                <w:szCs w:val="21"/>
              </w:rPr>
            </w:pPr>
            <w:permStart w:id="34" w:edGrp="everyone"/>
          </w:p>
        </w:tc>
        <w:tc>
          <w:tcPr>
            <w:tcW w:w="9253" w:type="dxa"/>
            <w:gridSpan w:val="2"/>
            <w:vAlign w:val="center"/>
          </w:tcPr>
          <w:p>
            <w:pPr>
              <w:jc w:val="both"/>
              <w:rPr>
                <w:szCs w:val="21"/>
                <w:lang w:eastAsia="zh-CN"/>
              </w:rPr>
            </w:pPr>
            <w: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5" w:edGrp="everyone"/>
          </w:p>
        </w:tc>
        <w:tc>
          <w:tcPr>
            <w:tcW w:w="7128" w:type="dxa"/>
            <w:vAlign w:val="center"/>
          </w:tcPr>
          <w:p>
            <w:pPr>
              <w:jc w:val="both"/>
              <w:rPr>
                <w:szCs w:val="21"/>
                <w:lang w:eastAsia="zh-CN"/>
              </w:rPr>
            </w:pPr>
            <w:r>
              <w:t>防护等级：</w:t>
            </w:r>
            <w:r>
              <w:rPr>
                <w:rFonts w:eastAsia="Times New Roman"/>
              </w:rPr>
              <w:t>IP55/NEMA 4X</w:t>
            </w:r>
            <w:r>
              <w:t>。</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ascii="宋体" w:hAnsi="宋体"/>
                <w:szCs w:val="21"/>
                <w:lang w:val="en-US" w:eastAsia="zh-CN"/>
              </w:rPr>
              <w:t>设备有漏电保护功能（</w:t>
            </w:r>
            <w:r>
              <w:rPr>
                <w:rFonts w:hint="eastAsia"/>
                <w:lang w:val="en-US" w:eastAsia="zh-CN"/>
              </w:rPr>
              <w:t>过流保护功能，电气设备的金属外壳要有良好的接地）</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val="en-US" w:eastAsia="zh-CN"/>
              </w:rPr>
            </w:pPr>
            <w:r>
              <w:rPr>
                <w:rFonts w:hint="eastAsia" w:ascii="宋体" w:hAnsi="宋体"/>
                <w:szCs w:val="21"/>
                <w:lang w:val="en-US" w:eastAsia="zh-CN"/>
              </w:rPr>
              <w:t>电力故障时，设备处于停止状态，以保护操作者以及产品；电源重新启动必须由人工操作。</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val="en-US" w:eastAsia="zh-CN"/>
              </w:rPr>
            </w:pPr>
            <w:r>
              <w:rPr>
                <w:rFonts w:hint="eastAsia" w:ascii="宋体" w:hAnsi="宋体"/>
                <w:szCs w:val="21"/>
                <w:lang w:val="en-US" w:eastAsia="zh-CN"/>
              </w:rPr>
              <w:t>日常维护中要确保操作人员不会暴露在危险环境下；设备不能有锋利的边缘，以防止伤害到操作人员；设备带有接地防静电措施</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t>有断电保护</w:t>
            </w:r>
            <w:r>
              <w:rPr>
                <w:rFonts w:hint="eastAsia"/>
                <w:lang w:eastAsia="zh-CN"/>
              </w:rPr>
              <w:t>功能</w:t>
            </w:r>
            <w:r>
              <w:t>。</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ascii="宋体" w:hAnsi="宋体"/>
                <w:szCs w:val="21"/>
                <w:lang w:val="en-US" w:eastAsia="zh-CN"/>
              </w:rPr>
              <w:t>电气安全应符合GB4793.1和GB4793.4的要求</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lang w:eastAsia="zh-CN"/>
              </w:rPr>
            </w:pPr>
            <w:r>
              <w:rPr>
                <w:rFonts w:hint="eastAsia" w:ascii="宋体" w:hAnsi="宋体"/>
                <w:szCs w:val="21"/>
                <w:lang w:val="en-US" w:eastAsia="zh-CN"/>
              </w:rPr>
              <w:t>应符合国内外职业健康安全、环境安全的法律法规的要求</w:t>
            </w:r>
          </w:p>
        </w:tc>
        <w:tc>
          <w:tcPr>
            <w:tcW w:w="2125" w:type="dxa"/>
            <w:vAlign w:val="center"/>
          </w:tcPr>
          <w:p>
            <w:pPr>
              <w:jc w:val="both"/>
              <w:rPr>
                <w:iCs/>
                <w:szCs w:val="21"/>
                <w:lang w:val="en-US" w:eastAsia="zh-CN"/>
              </w:rPr>
            </w:pPr>
            <w:r>
              <w:rPr>
                <w:rFonts w:hint="eastAsia"/>
                <w:iCs/>
                <w:szCs w:val="21"/>
                <w:lang w:val="en-US" w:eastAsia="zh-CN"/>
              </w:rPr>
              <w:t>关键</w:t>
            </w:r>
          </w:p>
        </w:tc>
      </w:tr>
      <w:permEnd w:id="35"/>
    </w:tbl>
    <w:p>
      <w:pPr>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36" w:edGrp="everyone"/>
            <w:permEnd w:id="3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7" w:edGrp="everyone"/>
          </w:p>
        </w:tc>
        <w:tc>
          <w:tcPr>
            <w:tcW w:w="7128" w:type="dxa"/>
            <w:vAlign w:val="center"/>
          </w:tcPr>
          <w:p>
            <w:pPr>
              <w:jc w:val="both"/>
              <w:rPr>
                <w:rFonts w:ascii="等线" w:hAnsi="宋体" w:eastAsia="等线" w:cs="宋体"/>
                <w:color w:val="000000"/>
                <w:sz w:val="22"/>
                <w:szCs w:val="22"/>
                <w:lang w:eastAsia="zh-CN"/>
              </w:rPr>
            </w:pPr>
            <w:r>
              <w:rPr>
                <w:rFonts w:hint="eastAsia"/>
                <w:szCs w:val="21"/>
                <w:lang w:eastAsia="zh-CN"/>
              </w:rPr>
              <w:t>投标文件、合同及定单。</w:t>
            </w:r>
          </w:p>
        </w:tc>
        <w:tc>
          <w:tcPr>
            <w:tcW w:w="2125" w:type="dxa"/>
            <w:vAlign w:val="center"/>
          </w:tcPr>
          <w:p>
            <w:pPr>
              <w:jc w:val="both"/>
              <w:rPr>
                <w:szCs w:val="21"/>
                <w:lang w:eastAsia="zh-CN"/>
              </w:rPr>
            </w:pPr>
            <w:r>
              <w:rPr>
                <w:rFonts w:hint="eastAsia"/>
                <w:iCs/>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8" w:edGrp="everyone"/>
          </w:p>
        </w:tc>
        <w:tc>
          <w:tcPr>
            <w:tcW w:w="7128" w:type="dxa"/>
            <w:vAlign w:val="center"/>
          </w:tcPr>
          <w:p>
            <w:pPr>
              <w:jc w:val="both"/>
              <w:rPr>
                <w:rFonts w:ascii="等线" w:eastAsia="等线"/>
                <w:color w:val="000000"/>
                <w:sz w:val="22"/>
                <w:szCs w:val="22"/>
                <w:lang w:eastAsia="zh-CN"/>
              </w:rPr>
            </w:pPr>
            <w:r>
              <w:rPr>
                <w:rFonts w:hint="eastAsia"/>
                <w:szCs w:val="21"/>
                <w:lang w:eastAsia="zh-CN"/>
              </w:rPr>
              <w:t>供应商应提供所有组件、系统功能配置清单、说明书及合格证书，包含各组件名称、编号、型号、规格、品牌、材质等，需设备开箱验收时提交。</w:t>
            </w:r>
          </w:p>
        </w:tc>
        <w:tc>
          <w:tcPr>
            <w:tcW w:w="2125" w:type="dxa"/>
            <w:vAlign w:val="center"/>
          </w:tcPr>
          <w:p>
            <w:pPr>
              <w:jc w:val="both"/>
              <w:rPr>
                <w:iCs/>
                <w:szCs w:val="21"/>
                <w:lang w:val="en-US" w:eastAsia="zh-CN"/>
              </w:rPr>
            </w:pPr>
            <w:r>
              <w:rPr>
                <w:rFonts w:hint="eastAsia"/>
                <w:iCs/>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39" w:edGrp="everyone"/>
          </w:p>
        </w:tc>
        <w:tc>
          <w:tcPr>
            <w:tcW w:w="7128" w:type="dxa"/>
            <w:vAlign w:val="center"/>
          </w:tcPr>
          <w:p>
            <w:pPr>
              <w:jc w:val="both"/>
              <w:rPr>
                <w:rFonts w:ascii="Calibri" w:hAnsi="Calibri" w:cs="Calibri"/>
                <w:lang w:eastAsia="zh-CN"/>
              </w:rPr>
            </w:pPr>
            <w:r>
              <w:rPr>
                <w:rFonts w:hint="eastAsia" w:ascii="Calibri" w:hAnsi="Calibri" w:cs="Calibri"/>
                <w:lang w:eastAsia="zh-CN"/>
              </w:rPr>
              <w:t>卖方发运清单及相关检验报告（如说明、清单、图纸、证书、报告、验证文件、调试文件等）</w:t>
            </w:r>
            <w:r>
              <w:rPr>
                <w:rFonts w:hint="eastAsia" w:ascii="Calibri" w:hAnsi="Calibri" w:cs="Calibri"/>
                <w:szCs w:val="22"/>
                <w:lang w:eastAsia="zh-CN"/>
              </w:rPr>
              <w:t>需设备开箱验收时提交。</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jc w:val="both"/>
              <w:rPr>
                <w:rFonts w:ascii="Calibri" w:hAnsi="Calibri" w:cs="Calibri"/>
                <w:lang w:eastAsia="zh-CN"/>
              </w:rPr>
            </w:pPr>
            <w:r>
              <w:rPr>
                <w:rFonts w:hint="eastAsia" w:ascii="宋体" w:hAnsi="宋体" w:cs="宋体"/>
                <w:szCs w:val="22"/>
                <w:highlight w:val="yellow"/>
                <w:lang w:val="en-US" w:eastAsia="zh-CN"/>
              </w:rPr>
              <w:t>系统设计规格、功能配置清单</w:t>
            </w:r>
            <w:r>
              <w:rPr>
                <w:rFonts w:hAnsi="宋体" w:eastAsia="Times New Roman" w:cs="宋体"/>
                <w:szCs w:val="22"/>
                <w:highlight w:val="yellow"/>
                <w:lang w:val="en-US" w:eastAsia="zh-CN"/>
              </w:rPr>
              <w:t>&amp;</w:t>
            </w:r>
            <w:r>
              <w:rPr>
                <w:rFonts w:hint="eastAsia" w:ascii="宋体" w:hAnsi="宋体" w:cs="宋体"/>
                <w:szCs w:val="22"/>
                <w:highlight w:val="yellow"/>
                <w:lang w:val="en-US" w:eastAsia="zh-CN"/>
              </w:rPr>
              <w:t>功能说明，包含各组件名称、编号、型号、规格、品牌、材质等。</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68"/>
              <w:ind w:left="107"/>
              <w:rPr>
                <w:rFonts w:ascii="Calibri" w:hAnsi="Calibri" w:cs="Calibri"/>
                <w:lang w:eastAsia="zh-CN"/>
              </w:rPr>
            </w:pPr>
            <w:r>
              <w:rPr>
                <w:rFonts w:hint="eastAsia" w:ascii="宋体" w:hAnsi="宋体" w:cs="宋体"/>
                <w:sz w:val="21"/>
                <w:szCs w:val="22"/>
                <w:highlight w:val="yellow"/>
                <w:lang w:val="en-US" w:eastAsia="zh-CN"/>
              </w:rPr>
              <w:t>设备操作手册（</w:t>
            </w:r>
            <w:r>
              <w:rPr>
                <w:rFonts w:hAnsi="宋体" w:eastAsia="Times New Roman" w:cs="宋体"/>
                <w:sz w:val="21"/>
                <w:szCs w:val="22"/>
                <w:highlight w:val="yellow"/>
                <w:lang w:val="en-US" w:eastAsia="zh-CN"/>
              </w:rPr>
              <w:t>SOP</w:t>
            </w:r>
            <w:r>
              <w:rPr>
                <w:rFonts w:hint="eastAsia" w:ascii="宋体" w:hAnsi="宋体" w:cs="宋体"/>
                <w:sz w:val="21"/>
                <w:szCs w:val="22"/>
                <w:highlight w:val="yellow"/>
                <w:lang w:val="en-US" w:eastAsia="zh-CN"/>
              </w:rPr>
              <w:t>）：语言为中文，应说明校准周期，并能提供校准服务。</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pStyle w:val="19"/>
              <w:widowControl w:val="0"/>
              <w:spacing w:before="1"/>
              <w:ind w:left="107" w:right="94"/>
              <w:rPr>
                <w:sz w:val="21"/>
                <w:szCs w:val="22"/>
                <w:highlight w:val="yellow"/>
                <w:lang w:val="en-US" w:eastAsia="zh-CN"/>
              </w:rPr>
            </w:pPr>
            <w:r>
              <w:rPr>
                <w:rFonts w:hint="eastAsia" w:ascii="宋体" w:hAnsi="宋体" w:cs="宋体"/>
                <w:sz w:val="21"/>
                <w:szCs w:val="22"/>
                <w:highlight w:val="yellow"/>
                <w:lang w:val="en-US" w:eastAsia="zh-CN"/>
              </w:rPr>
              <w:t>设备仪表清单和相关第三方校验报告及计量证书（提供所有在该设备上安装的仪表、传感器的校验证书，且证书有效期自设备到货之日起不少于</w:t>
            </w:r>
            <w:r>
              <w:rPr>
                <w:rFonts w:hAnsi="宋体" w:eastAsia="Times New Roman" w:cs="宋体"/>
                <w:sz w:val="21"/>
                <w:szCs w:val="22"/>
                <w:highlight w:val="yellow"/>
                <w:lang w:val="en-US" w:eastAsia="zh-CN"/>
              </w:rPr>
              <w:t>8</w:t>
            </w:r>
            <w:r>
              <w:rPr>
                <w:rFonts w:hint="eastAsia" w:ascii="宋体" w:hAnsi="宋体" w:cs="宋体"/>
                <w:sz w:val="21"/>
                <w:szCs w:val="22"/>
                <w:highlight w:val="yellow"/>
                <w:lang w:val="en-US" w:eastAsia="zh-CN"/>
              </w:rPr>
              <w:t>个</w:t>
            </w:r>
          </w:p>
          <w:p>
            <w:pPr>
              <w:rPr>
                <w:rFonts w:ascii="Calibri" w:hAnsi="Calibri" w:cs="Calibri"/>
                <w:lang w:eastAsia="zh-CN"/>
              </w:rPr>
            </w:pPr>
            <w:r>
              <w:rPr>
                <w:rFonts w:hint="eastAsia" w:ascii="宋体" w:hAnsi="宋体" w:cs="宋体"/>
                <w:szCs w:val="22"/>
                <w:highlight w:val="yellow"/>
                <w:lang w:val="en-US"/>
              </w:rPr>
              <w:t>月）。</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2"/>
                <w:highlight w:val="yellow"/>
                <w:lang w:val="en-US"/>
              </w:rPr>
            </w:pPr>
            <w:r>
              <w:rPr>
                <w:rFonts w:hint="eastAsia" w:ascii="宋体" w:hAnsi="宋体" w:cs="宋体"/>
                <w:szCs w:val="22"/>
                <w:highlight w:val="yellow"/>
                <w:lang w:val="en-US"/>
              </w:rPr>
              <w:t>安全报告。</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2"/>
                <w:highlight w:val="yellow"/>
                <w:lang w:val="en-US"/>
              </w:rPr>
            </w:pPr>
            <w:r>
              <w:rPr>
                <w:rFonts w:hint="eastAsia" w:ascii="宋体" w:hAnsi="宋体" w:cs="宋体"/>
                <w:szCs w:val="22"/>
                <w:highlight w:val="yellow"/>
                <w:lang w:val="en-US"/>
              </w:rPr>
              <w:t>设备交付计划表</w:t>
            </w:r>
            <w:r>
              <w:rPr>
                <w:rFonts w:hint="eastAsia" w:ascii="宋体" w:hAnsi="宋体" w:cs="宋体"/>
                <w:szCs w:val="22"/>
                <w:highlight w:val="yellow"/>
                <w:lang w:val="en-US" w:eastAsia="zh-CN"/>
              </w:rPr>
              <w:t>。</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lang w:val="en-US" w:eastAsia="zh-CN"/>
              </w:rPr>
            </w:pPr>
            <w:r>
              <w:rPr>
                <w:rFonts w:hint="eastAsia" w:cs="宋体"/>
                <w:lang w:val="en-US" w:eastAsia="zh-CN"/>
              </w:rPr>
              <w:t>提交文件时限要求</w:t>
            </w:r>
          </w:p>
          <w:p>
            <w:pPr>
              <w:pStyle w:val="19"/>
              <w:spacing w:after="120" w:line="360" w:lineRule="auto"/>
              <w:rPr>
                <w:sz w:val="21"/>
                <w:szCs w:val="21"/>
                <w:lang w:val="en-US" w:eastAsia="zh-CN"/>
              </w:rPr>
            </w:pPr>
            <w:r>
              <w:rPr>
                <w:sz w:val="21"/>
                <w:szCs w:val="21"/>
                <w:lang w:val="en-US" w:eastAsia="zh-CN"/>
              </w:rPr>
              <w:t>1.</w:t>
            </w:r>
            <w:r>
              <w:rPr>
                <w:rFonts w:hint="eastAsia" w:cs="宋体"/>
                <w:sz w:val="21"/>
                <w:szCs w:val="21"/>
                <w:lang w:val="en-US" w:eastAsia="zh-CN"/>
              </w:rPr>
              <w:t>报警及各种报警产生的原因和处理建议清单</w:t>
            </w:r>
            <w:r>
              <w:rPr>
                <w:sz w:val="21"/>
                <w:szCs w:val="21"/>
                <w:lang w:val="en-US" w:eastAsia="zh-CN"/>
              </w:rPr>
              <w:t xml:space="preserve"> </w:t>
            </w:r>
            <w:r>
              <w:rPr>
                <w:rFonts w:hint="eastAsia" w:cs="宋体"/>
                <w:sz w:val="21"/>
                <w:szCs w:val="21"/>
                <w:lang w:val="en-US" w:eastAsia="zh-CN"/>
              </w:rPr>
              <w:t>。提交阶段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2.</w:t>
            </w:r>
            <w:r>
              <w:rPr>
                <w:sz w:val="16"/>
                <w:szCs w:val="16"/>
                <w:lang w:val="en-US" w:eastAsia="zh-CN"/>
              </w:rPr>
              <w:t xml:space="preserve"> </w:t>
            </w:r>
            <w:r>
              <w:rPr>
                <w:rFonts w:hint="eastAsia" w:cs="宋体"/>
                <w:sz w:val="21"/>
                <w:szCs w:val="21"/>
                <w:lang w:val="en-US" w:eastAsia="zh-CN"/>
              </w:rPr>
              <w:t>投标文件、合同及订单。提交阶段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3.</w:t>
            </w:r>
            <w:r>
              <w:rPr>
                <w:sz w:val="16"/>
                <w:szCs w:val="16"/>
                <w:lang w:val="en-US" w:eastAsia="zh-CN"/>
              </w:rPr>
              <w:t xml:space="preserve"> </w:t>
            </w:r>
            <w:r>
              <w:rPr>
                <w:rFonts w:hint="eastAsia" w:cs="宋体"/>
                <w:sz w:val="21"/>
                <w:szCs w:val="21"/>
                <w:lang w:val="en-US" w:eastAsia="zh-CN"/>
              </w:rPr>
              <w:t>卖方发运清单及相关检验报告。提交阶段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4.</w:t>
            </w:r>
            <w:r>
              <w:rPr>
                <w:sz w:val="16"/>
                <w:szCs w:val="16"/>
                <w:lang w:val="en-US" w:eastAsia="zh-CN"/>
              </w:rPr>
              <w:t xml:space="preserve"> </w:t>
            </w:r>
            <w:r>
              <w:rPr>
                <w:rFonts w:hint="eastAsia" w:cs="宋体"/>
                <w:sz w:val="21"/>
                <w:szCs w:val="21"/>
                <w:lang w:val="en-US" w:eastAsia="zh-CN"/>
              </w:rPr>
              <w:t>系统功能配置清单及说明，包含各组件名称、编号、型号、规格、品牌、材质等。提交阶段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5.</w:t>
            </w:r>
            <w:r>
              <w:rPr>
                <w:sz w:val="16"/>
                <w:szCs w:val="16"/>
                <w:lang w:val="en-US" w:eastAsia="zh-CN"/>
              </w:rPr>
              <w:t xml:space="preserve"> </w:t>
            </w:r>
            <w:r>
              <w:rPr>
                <w:rFonts w:hint="eastAsia" w:cs="宋体"/>
                <w:sz w:val="21"/>
                <w:szCs w:val="21"/>
                <w:lang w:val="en-US" w:eastAsia="zh-CN"/>
              </w:rPr>
              <w:t>图纸：实物图；各种确认、维修等活动所需的电子版及打印版图纸（</w:t>
            </w:r>
            <w:r>
              <w:rPr>
                <w:sz w:val="21"/>
                <w:szCs w:val="21"/>
                <w:lang w:val="en-US" w:eastAsia="zh-CN"/>
              </w:rPr>
              <w:t>P&amp;ID</w:t>
            </w:r>
            <w:r>
              <w:rPr>
                <w:rFonts w:hint="eastAsia" w:cs="宋体"/>
                <w:sz w:val="21"/>
                <w:szCs w:val="21"/>
                <w:lang w:val="en-US" w:eastAsia="zh-CN"/>
              </w:rPr>
              <w:t>图、尺寸图、安装图、必要的细节图、控制原理图、设备装配图、设备工作原理图、气动原理图、电气原理图、控制盘面仪表、开关配置图等线图、</w:t>
            </w:r>
            <w:r>
              <w:rPr>
                <w:sz w:val="21"/>
                <w:szCs w:val="21"/>
                <w:lang w:val="en-US" w:eastAsia="zh-CN"/>
              </w:rPr>
              <w:t>PLC</w:t>
            </w:r>
            <w:r>
              <w:rPr>
                <w:rFonts w:hint="eastAsia" w:cs="宋体"/>
                <w:sz w:val="21"/>
                <w:szCs w:val="21"/>
                <w:lang w:val="en-US" w:eastAsia="zh-CN"/>
              </w:rPr>
              <w:t>相关图纸、计算机化系统相关图纸等）；注释参考等；图纸清单。提交阶段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6.</w:t>
            </w:r>
            <w:r>
              <w:rPr>
                <w:rFonts w:hint="eastAsia" w:cs="宋体"/>
                <w:color w:val="auto"/>
                <w:sz w:val="21"/>
                <w:szCs w:val="21"/>
                <w:lang w:val="en-US" w:eastAsia="zh-CN"/>
              </w:rPr>
              <w:t>部件、备件</w:t>
            </w:r>
            <w:r>
              <w:rPr>
                <w:rFonts w:hint="eastAsia" w:cs="宋体"/>
                <w:sz w:val="21"/>
                <w:szCs w:val="21"/>
                <w:lang w:val="en-US" w:eastAsia="zh-CN"/>
              </w:rPr>
              <w:t>、仪表清单：包括名称、编号、对应厂家名称、生产地、规格及必要说明。提交阶段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7.</w:t>
            </w:r>
            <w:r>
              <w:rPr>
                <w:sz w:val="16"/>
                <w:szCs w:val="16"/>
                <w:lang w:val="en-US" w:eastAsia="zh-CN"/>
              </w:rPr>
              <w:t xml:space="preserve"> </w:t>
            </w:r>
            <w:r>
              <w:rPr>
                <w:rFonts w:hint="eastAsia" w:cs="宋体"/>
                <w:sz w:val="21"/>
                <w:szCs w:val="21"/>
                <w:lang w:val="en-US" w:eastAsia="zh-CN"/>
              </w:rPr>
              <w:t>设备厂家文件：出厂测试合格证、各关键组件说明书、相关检测报告、各种标示。提交阶段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8.</w:t>
            </w:r>
            <w:r>
              <w:rPr>
                <w:sz w:val="16"/>
                <w:szCs w:val="16"/>
                <w:lang w:val="en-US" w:eastAsia="zh-CN"/>
              </w:rPr>
              <w:t xml:space="preserve"> </w:t>
            </w:r>
            <w:r>
              <w:rPr>
                <w:rFonts w:hint="eastAsia" w:cs="宋体"/>
                <w:sz w:val="21"/>
                <w:szCs w:val="21"/>
                <w:lang w:val="en-US" w:eastAsia="zh-CN"/>
              </w:rPr>
              <w:t>设备操作和维护手册（</w:t>
            </w:r>
            <w:r>
              <w:rPr>
                <w:sz w:val="21"/>
                <w:szCs w:val="21"/>
                <w:lang w:val="en-US" w:eastAsia="zh-CN"/>
              </w:rPr>
              <w:t>SOP</w:t>
            </w:r>
            <w:r>
              <w:rPr>
                <w:rFonts w:hint="eastAsia" w:cs="宋体"/>
                <w:sz w:val="21"/>
                <w:szCs w:val="21"/>
                <w:lang w:val="en-US" w:eastAsia="zh-CN"/>
              </w:rPr>
              <w:t>）：语言为中文，应说明校准周期，并能提供校准服务（此项服务可付费）。提交阶段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9.</w:t>
            </w:r>
            <w:r>
              <w:rPr>
                <w:sz w:val="16"/>
                <w:szCs w:val="16"/>
                <w:lang w:val="en-US" w:eastAsia="zh-CN"/>
              </w:rPr>
              <w:t xml:space="preserve"> </w:t>
            </w:r>
            <w:r>
              <w:rPr>
                <w:rFonts w:hint="eastAsia" w:cs="宋体"/>
                <w:sz w:val="21"/>
                <w:szCs w:val="21"/>
                <w:lang w:val="en-US" w:eastAsia="zh-CN"/>
              </w:rPr>
              <w:t>校验报告及计量证书。提交阶段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10.</w:t>
            </w:r>
            <w:r>
              <w:rPr>
                <w:sz w:val="16"/>
                <w:szCs w:val="16"/>
                <w:lang w:val="en-US" w:eastAsia="zh-CN"/>
              </w:rPr>
              <w:t xml:space="preserve"> </w:t>
            </w:r>
            <w:r>
              <w:rPr>
                <w:rFonts w:hint="eastAsia" w:cs="宋体"/>
                <w:sz w:val="21"/>
                <w:szCs w:val="21"/>
                <w:lang w:val="en-US" w:eastAsia="zh-CN"/>
              </w:rPr>
              <w:t>安全报告。提交阶段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11.</w:t>
            </w:r>
            <w:r>
              <w:rPr>
                <w:sz w:val="16"/>
                <w:szCs w:val="16"/>
                <w:lang w:val="en-US" w:eastAsia="zh-CN"/>
              </w:rPr>
              <w:t xml:space="preserve"> </w:t>
            </w:r>
            <w:r>
              <w:rPr>
                <w:rFonts w:hint="eastAsia" w:cs="宋体"/>
                <w:sz w:val="21"/>
                <w:szCs w:val="21"/>
                <w:lang w:val="en-US" w:eastAsia="zh-CN"/>
              </w:rPr>
              <w:t>各种必要的合格证，包括部件合格证、环路校验合格报告、材质证书等。提交阶段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12.</w:t>
            </w:r>
            <w:r>
              <w:rPr>
                <w:sz w:val="16"/>
                <w:szCs w:val="16"/>
                <w:lang w:val="en-US" w:eastAsia="zh-CN"/>
              </w:rPr>
              <w:t xml:space="preserve"> </w:t>
            </w:r>
            <w:r>
              <w:rPr>
                <w:rFonts w:hint="eastAsia" w:cs="宋体"/>
                <w:sz w:val="21"/>
                <w:szCs w:val="21"/>
                <w:lang w:val="en-US" w:eastAsia="zh-CN"/>
              </w:rPr>
              <w:t>调试文件：调试计划、调试方案、设备测试记录，检测清单，测试报告，调试总结报告、现场验收报告等。提交阶段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13.</w:t>
            </w:r>
            <w:r>
              <w:rPr>
                <w:sz w:val="16"/>
                <w:szCs w:val="16"/>
                <w:lang w:val="en-US" w:eastAsia="zh-CN"/>
              </w:rPr>
              <w:t xml:space="preserve"> </w:t>
            </w:r>
            <w:r>
              <w:rPr>
                <w:rFonts w:hint="eastAsia" w:cs="宋体"/>
                <w:sz w:val="21"/>
                <w:szCs w:val="21"/>
                <w:lang w:val="en-US" w:eastAsia="zh-CN"/>
              </w:rPr>
              <w:t>设备交付计划表。提交阶段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14.</w:t>
            </w:r>
            <w:r>
              <w:rPr>
                <w:sz w:val="16"/>
                <w:szCs w:val="16"/>
                <w:lang w:val="en-US" w:eastAsia="zh-CN"/>
              </w:rPr>
              <w:t xml:space="preserve"> </w:t>
            </w:r>
            <w:r>
              <w:rPr>
                <w:rFonts w:hint="eastAsia" w:cs="宋体"/>
                <w:sz w:val="21"/>
                <w:szCs w:val="21"/>
                <w:lang w:val="en-US" w:eastAsia="zh-CN"/>
              </w:rPr>
              <w:t>使用操作说明书及维护保养说明（即运行及维护手册）</w:t>
            </w:r>
            <w:r>
              <w:rPr>
                <w:sz w:val="21"/>
                <w:szCs w:val="21"/>
                <w:lang w:val="en-US" w:eastAsia="zh-CN"/>
              </w:rPr>
              <w:t>3</w:t>
            </w:r>
            <w:r>
              <w:rPr>
                <w:rFonts w:hint="eastAsia" w:cs="宋体"/>
                <w:sz w:val="21"/>
                <w:szCs w:val="21"/>
                <w:lang w:val="en-US" w:eastAsia="zh-CN"/>
              </w:rPr>
              <w:t>份。提交阶段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15.</w:t>
            </w:r>
            <w:r>
              <w:rPr>
                <w:sz w:val="16"/>
                <w:szCs w:val="16"/>
                <w:lang w:val="en-US" w:eastAsia="zh-CN"/>
              </w:rPr>
              <w:t xml:space="preserve"> </w:t>
            </w:r>
            <w:r>
              <w:rPr>
                <w:rFonts w:hint="eastAsia" w:cs="宋体"/>
                <w:sz w:val="21"/>
                <w:szCs w:val="21"/>
                <w:lang w:val="en-US" w:eastAsia="zh-CN"/>
              </w:rPr>
              <w:t>提供设备及其零部件使用寿命清单。提交阶段</w:t>
            </w:r>
            <w:r>
              <w:rPr>
                <w:sz w:val="21"/>
                <w:szCs w:val="21"/>
                <w:lang w:val="en-US" w:eastAsia="zh-CN"/>
              </w:rPr>
              <w:t xml:space="preserve"> </w:t>
            </w:r>
            <w:r>
              <w:rPr>
                <w:rFonts w:hint="eastAsia" w:cs="宋体"/>
                <w:sz w:val="21"/>
                <w:szCs w:val="21"/>
                <w:lang w:val="en-US" w:eastAsia="zh-CN"/>
              </w:rPr>
              <w:t>设备开箱验收</w:t>
            </w:r>
          </w:p>
          <w:p>
            <w:pPr>
              <w:pStyle w:val="19"/>
              <w:spacing w:after="120" w:line="360" w:lineRule="auto"/>
              <w:rPr>
                <w:sz w:val="21"/>
                <w:szCs w:val="21"/>
                <w:lang w:val="en-US" w:eastAsia="zh-CN"/>
              </w:rPr>
            </w:pPr>
            <w:r>
              <w:rPr>
                <w:sz w:val="21"/>
                <w:szCs w:val="21"/>
                <w:lang w:val="en-US" w:eastAsia="zh-CN"/>
              </w:rPr>
              <w:t>16.</w:t>
            </w:r>
            <w:r>
              <w:rPr>
                <w:sz w:val="16"/>
                <w:szCs w:val="16"/>
                <w:lang w:val="en-US" w:eastAsia="zh-CN"/>
              </w:rPr>
              <w:t xml:space="preserve"> </w:t>
            </w:r>
            <w:r>
              <w:rPr>
                <w:rFonts w:hint="eastAsia" w:cs="宋体"/>
                <w:sz w:val="21"/>
                <w:szCs w:val="21"/>
                <w:lang w:val="en-US" w:eastAsia="zh-CN"/>
              </w:rPr>
              <w:t>应有针对每一部件所作序号的简明图册，以便于维修人员查找和辩识。提交阶段</w:t>
            </w:r>
            <w:r>
              <w:rPr>
                <w:sz w:val="21"/>
                <w:szCs w:val="21"/>
                <w:lang w:val="en-US" w:eastAsia="zh-CN"/>
              </w:rPr>
              <w:t xml:space="preserve"> </w:t>
            </w:r>
            <w:r>
              <w:rPr>
                <w:rFonts w:hint="eastAsia" w:cs="宋体"/>
                <w:sz w:val="21"/>
                <w:szCs w:val="21"/>
                <w:lang w:val="en-US" w:eastAsia="zh-CN"/>
              </w:rPr>
              <w:t>设备开箱验收</w:t>
            </w:r>
          </w:p>
          <w:p>
            <w:r>
              <w:rPr>
                <w:szCs w:val="21"/>
                <w:lang w:val="en-US" w:eastAsia="zh-CN"/>
              </w:rPr>
              <w:t>17.</w:t>
            </w:r>
            <w:r>
              <w:rPr>
                <w:lang w:val="en-US" w:eastAsia="zh-CN"/>
              </w:rPr>
              <w:t xml:space="preserve"> </w:t>
            </w:r>
            <w:r>
              <w:rPr>
                <w:rFonts w:hint="eastAsia"/>
                <w:szCs w:val="21"/>
                <w:lang w:val="en-US" w:eastAsia="zh-CN"/>
              </w:rPr>
              <w:t>上述条款规定的文件需提供电子版，并在设备开箱验收时将最终批准的电子版及纸质版全套资料交工程技术部存档。提交阶段</w:t>
            </w:r>
            <w:r>
              <w:rPr>
                <w:szCs w:val="21"/>
                <w:lang w:val="en-US" w:eastAsia="zh-CN"/>
              </w:rPr>
              <w:t xml:space="preserve"> </w:t>
            </w:r>
            <w:r>
              <w:rPr>
                <w:rFonts w:hint="eastAsia"/>
                <w:szCs w:val="21"/>
                <w:lang w:val="en-US" w:eastAsia="zh-CN"/>
              </w:rPr>
              <w:t>设备开箱验收</w:t>
            </w:r>
          </w:p>
          <w:p>
            <w:pPr>
              <w:rPr>
                <w:rFonts w:ascii="宋体" w:hAnsi="宋体" w:cs="宋体"/>
                <w:szCs w:val="22"/>
                <w:highlight w:val="red"/>
                <w:lang w:val="en-US" w:eastAsia="zh-CN"/>
              </w:rPr>
            </w:pP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2"/>
                <w:highlight w:val="red"/>
                <w:lang w:val="en-US" w:eastAsia="zh-CN"/>
              </w:rPr>
            </w:pPr>
            <w:r>
              <w:rPr>
                <w:rFonts w:hint="eastAsia" w:ascii="宋体" w:hAnsi="宋体" w:cs="宋体"/>
                <w:szCs w:val="22"/>
                <w:highlight w:val="yellow"/>
                <w:lang w:val="en-US" w:eastAsia="zh-CN"/>
              </w:rPr>
              <w:t>使用操作说明书及维护保养说明（即运行及维护手册）</w:t>
            </w:r>
            <w:r>
              <w:rPr>
                <w:rFonts w:hAnsi="宋体" w:eastAsia="Times New Roman" w:cs="宋体"/>
                <w:szCs w:val="22"/>
                <w:highlight w:val="yellow"/>
                <w:lang w:val="en-US" w:eastAsia="zh-CN"/>
              </w:rPr>
              <w:t>3</w:t>
            </w:r>
            <w:r>
              <w:rPr>
                <w:rFonts w:hint="eastAsia" w:ascii="宋体" w:hAnsi="宋体" w:cs="宋体"/>
                <w:szCs w:val="22"/>
                <w:highlight w:val="yellow"/>
                <w:lang w:val="en-US" w:eastAsia="zh-CN"/>
              </w:rPr>
              <w:t>份。</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2"/>
                <w:highlight w:val="yellow"/>
                <w:lang w:val="en-US" w:eastAsia="zh-CN"/>
              </w:rPr>
            </w:pPr>
            <w:r>
              <w:rPr>
                <w:rFonts w:hint="eastAsia" w:ascii="宋体" w:hAnsi="宋体" w:cs="宋体"/>
                <w:szCs w:val="22"/>
                <w:highlight w:val="yellow"/>
                <w:lang w:val="en-US" w:eastAsia="zh-CN"/>
              </w:rPr>
              <w:t>提供设备及其零部件使用寿命清单。</w:t>
            </w:r>
          </w:p>
        </w:tc>
        <w:tc>
          <w:tcPr>
            <w:tcW w:w="2125" w:type="dxa"/>
            <w:vAlign w:val="center"/>
          </w:tcPr>
          <w:p>
            <w:pPr>
              <w:jc w:val="both"/>
              <w:rPr>
                <w:iCs/>
                <w:szCs w:val="21"/>
                <w:lang w:val="en-US"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2"/>
                <w:highlight w:val="yellow"/>
                <w:lang w:val="en-US" w:eastAsia="zh-CN"/>
              </w:rPr>
            </w:pPr>
            <w:r>
              <w:rPr>
                <w:rFonts w:hint="eastAsia" w:ascii="Calibri" w:hAnsi="Calibri" w:cs="Calibri"/>
                <w:lang w:eastAsia="zh-CN"/>
              </w:rPr>
              <w:t>上述条款规定的文件需提供电子版，并在设备开箱验收时将最终批准的电子版全套资料交工程技术部存档，不直接影响系统。</w:t>
            </w:r>
          </w:p>
        </w:tc>
        <w:tc>
          <w:tcPr>
            <w:tcW w:w="2125" w:type="dxa"/>
            <w:vAlign w:val="center"/>
          </w:tcPr>
          <w:p>
            <w:pPr>
              <w:jc w:val="both"/>
              <w:rPr>
                <w:iCs/>
                <w:szCs w:val="21"/>
                <w:lang w:val="en-US" w:eastAsia="zh-CN"/>
              </w:rPr>
            </w:pPr>
            <w:r>
              <w:rPr>
                <w:rFonts w:hint="eastAsia"/>
                <w:iCs/>
                <w:szCs w:val="21"/>
                <w:lang w:val="en-US" w:eastAsia="zh-CN"/>
              </w:rPr>
              <w:t>关键</w:t>
            </w:r>
          </w:p>
        </w:tc>
      </w:tr>
      <w:permEnd w:id="39"/>
    </w:tbl>
    <w:p>
      <w:pPr>
        <w:rPr>
          <w:szCs w:val="21"/>
          <w:lang w:eastAsia="zh-CN"/>
        </w:rPr>
      </w:pPr>
    </w:p>
    <w:p>
      <w:pPr>
        <w:pStyle w:val="33"/>
        <w:numPr>
          <w:ilvl w:val="0"/>
          <w:numId w:val="3"/>
        </w:numPr>
        <w:spacing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tbl>
      <w:tblPr>
        <w:tblStyle w:val="26"/>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40" w:edGrp="everyone"/>
            <w:permEnd w:id="4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1" w:edGrp="everyone"/>
          </w:p>
        </w:tc>
        <w:tc>
          <w:tcPr>
            <w:tcW w:w="7128" w:type="dxa"/>
            <w:vAlign w:val="center"/>
          </w:tcPr>
          <w:p>
            <w:pPr>
              <w:spacing w:line="276" w:lineRule="auto"/>
              <w:jc w:val="both"/>
              <w:rPr>
                <w:color w:val="0070C0"/>
                <w:szCs w:val="21"/>
                <w:lang w:eastAsia="zh-CN"/>
              </w:rPr>
            </w:pPr>
            <w:r>
              <w:rPr>
                <w:color w:val="000000"/>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iCs/>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rFonts w:ascii="Calibri" w:hAnsi="Calibri" w:cs="Calibri"/>
                <w:lang w:eastAsia="zh-CN"/>
              </w:rPr>
            </w:pPr>
            <w:r>
              <w:rPr>
                <w:rFonts w:hint="eastAsia" w:ascii="Calibri" w:hAnsi="Calibri" w:cs="Calibri"/>
                <w:lang w:eastAsia="zh-CN"/>
              </w:rPr>
              <w:t>厂家需提供常规故障处理手册，手册中应将故障代码的相关说明及处理方法标示清楚，便于维修人员及时处理离心机故障。</w:t>
            </w:r>
          </w:p>
          <w:p>
            <w:pPr>
              <w:spacing w:line="276" w:lineRule="auto"/>
              <w:jc w:val="both"/>
              <w:rPr>
                <w:color w:val="000000"/>
                <w:szCs w:val="21"/>
                <w:lang w:eastAsia="zh-CN"/>
              </w:rPr>
            </w:pPr>
            <w:r>
              <w:rPr>
                <w:rFonts w:ascii="Calibri" w:hAnsi="Calibri" w:cs="Calibri"/>
                <w:lang w:eastAsia="zh-CN"/>
              </w:rPr>
              <w:t>生产操作人员培训包括设备结构原理、性能、操作、清洗消毒</w:t>
            </w:r>
            <w:r>
              <w:rPr>
                <w:color w:val="000000"/>
                <w:lang w:eastAsia="zh-CN"/>
              </w:rPr>
              <w:t>、故障排除等基本</w:t>
            </w:r>
            <w:r>
              <w:rPr>
                <w:color w:val="000000"/>
                <w:szCs w:val="21"/>
                <w:lang w:eastAsia="zh-CN"/>
              </w:rPr>
              <w:t>知识</w:t>
            </w:r>
            <w:r>
              <w:rPr>
                <w:color w:val="000000"/>
                <w:lang w:eastAsia="zh-CN"/>
              </w:rPr>
              <w:t>。合格标准为用户参加培训人员能够独立正确操作设备，会排除常见故障。</w:t>
            </w:r>
          </w:p>
        </w:tc>
        <w:tc>
          <w:tcPr>
            <w:tcW w:w="2125" w:type="dxa"/>
            <w:vAlign w:val="center"/>
          </w:tcPr>
          <w:p>
            <w:pPr>
              <w:jc w:val="both"/>
              <w:rPr>
                <w:szCs w:val="21"/>
                <w:lang w:eastAsia="zh-CN"/>
              </w:rPr>
            </w:pPr>
            <w:r>
              <w:rPr>
                <w:rFonts w:hint="eastAsia"/>
                <w:iCs/>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color w:val="0070C0"/>
                <w:lang w:eastAsia="zh-CN"/>
              </w:rPr>
            </w:pPr>
            <w:r>
              <w:rPr>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iCs/>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szCs w:val="21"/>
                <w:lang w:eastAsia="zh-CN"/>
              </w:rPr>
            </w:pPr>
            <w:r>
              <w:rPr>
                <w:color w:val="000000"/>
                <w:lang w:eastAsia="zh-CN"/>
              </w:rPr>
              <w:t>设备运输在运输途中需做好防护措施，不得有任何损伤。</w:t>
            </w:r>
          </w:p>
        </w:tc>
        <w:tc>
          <w:tcPr>
            <w:tcW w:w="2125" w:type="dxa"/>
            <w:vAlign w:val="center"/>
          </w:tcPr>
          <w:p>
            <w:pPr>
              <w:jc w:val="both"/>
              <w:rPr>
                <w:szCs w:val="21"/>
                <w:lang w:eastAsia="zh-CN"/>
              </w:rPr>
            </w:pPr>
            <w:r>
              <w:rPr>
                <w:rFonts w:hint="eastAsia"/>
                <w:iCs/>
                <w:szCs w:val="21"/>
                <w:lang w:val="en-US"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val="en-US" w:eastAsia="zh-CN"/>
              </w:rPr>
            </w:pPr>
            <w:r>
              <w:rPr>
                <w:rFonts w:hint="eastAsia"/>
                <w:szCs w:val="21"/>
                <w:lang w:val="en-US" w:eastAsia="zh-CN"/>
              </w:rPr>
              <w:t>需提供流速校验报告。</w:t>
            </w:r>
          </w:p>
        </w:tc>
        <w:tc>
          <w:tcPr>
            <w:tcW w:w="2125" w:type="dxa"/>
            <w:vAlign w:val="center"/>
          </w:tcPr>
          <w:p>
            <w:pPr>
              <w:jc w:val="both"/>
              <w:rPr>
                <w:szCs w:val="21"/>
                <w:lang w:eastAsia="zh-CN"/>
              </w:rPr>
            </w:pPr>
            <w:r>
              <w:rPr>
                <w:rFonts w:hint="eastAsia"/>
                <w:iCs/>
                <w:szCs w:val="21"/>
                <w:lang w:val="en-US"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szCs w:val="21"/>
                <w:lang w:eastAsia="zh-CN"/>
              </w:rPr>
              <w:t>设备保质期从设备验收合格之日起计算。</w:t>
            </w:r>
          </w:p>
        </w:tc>
        <w:tc>
          <w:tcPr>
            <w:tcW w:w="2125" w:type="dxa"/>
            <w:vAlign w:val="center"/>
          </w:tcPr>
          <w:p>
            <w:pPr>
              <w:jc w:val="both"/>
              <w:rPr>
                <w:szCs w:val="21"/>
                <w:lang w:eastAsia="zh-CN"/>
              </w:rPr>
            </w:pPr>
            <w:r>
              <w:rPr>
                <w:rFonts w:hint="eastAsia"/>
                <w:iCs/>
                <w:szCs w:val="21"/>
                <w:lang w:val="en-US"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售后服务必须响应及时，要求设备出现须厂家维修的故障后，应在4小时内明确答复，当电话沟通无法解决时，须48小时内及时派人至现场解决。</w:t>
            </w:r>
          </w:p>
        </w:tc>
        <w:tc>
          <w:tcPr>
            <w:tcW w:w="2125" w:type="dxa"/>
            <w:vAlign w:val="top"/>
          </w:tcPr>
          <w:p>
            <w:pPr>
              <w:rPr>
                <w:iCs/>
                <w:szCs w:val="21"/>
                <w:lang w:val="en-US" w:eastAsia="zh-CN"/>
              </w:rPr>
            </w:pPr>
          </w:p>
          <w:p>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top"/>
          </w:tcPr>
          <w:p>
            <w:pPr>
              <w:rPr>
                <w:iCs/>
                <w:szCs w:val="21"/>
                <w:lang w:val="en-US" w:eastAsia="zh-CN"/>
              </w:rPr>
            </w:pPr>
          </w:p>
          <w:p>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要求设备在签订的合同执行后</w:t>
            </w:r>
            <w:r>
              <w:rPr>
                <w:rFonts w:hint="eastAsia"/>
                <w:szCs w:val="21"/>
                <w:lang w:val="en-US" w:eastAsia="zh-CN"/>
              </w:rPr>
              <w:t>1</w:t>
            </w:r>
            <w:r>
              <w:rPr>
                <w:rFonts w:hint="eastAsia"/>
                <w:szCs w:val="21"/>
                <w:lang w:eastAsia="zh-CN"/>
              </w:rPr>
              <w:t>个月内到货。</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供应商需要配备常见的易耗配件和配套的工具。</w:t>
            </w:r>
          </w:p>
        </w:tc>
        <w:tc>
          <w:tcPr>
            <w:tcW w:w="2125" w:type="dxa"/>
            <w:vAlign w:val="center"/>
          </w:tcPr>
          <w:p>
            <w:pPr>
              <w:jc w:val="both"/>
              <w:rPr>
                <w:iCs/>
                <w:szCs w:val="21"/>
                <w:lang w:eastAsia="zh-CN"/>
              </w:rPr>
            </w:pPr>
            <w:r>
              <w:rPr>
                <w:rFonts w:hint="eastAsia"/>
                <w:iCs/>
                <w:szCs w:val="21"/>
                <w:lang w:val="en-US"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3"/>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vAlign w:val="center"/>
          </w:tcPr>
          <w:p>
            <w:pPr>
              <w:jc w:val="both"/>
              <w:rPr>
                <w:szCs w:val="21"/>
                <w:lang w:eastAsia="zh-CN"/>
              </w:rPr>
            </w:pPr>
            <w:r>
              <w:rPr>
                <w:rFonts w:hint="eastAsia"/>
                <w:iCs/>
                <w:szCs w:val="21"/>
                <w:lang w:val="en-US"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szCs w:val="21"/>
                <w:lang w:eastAsia="zh-CN"/>
              </w:rPr>
              <w:t>供应商进厂安装需遵守安全和安装规定。</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最后验收前必须保证所有的验证工作已完成和达到要求。</w:t>
            </w:r>
          </w:p>
        </w:tc>
        <w:tc>
          <w:tcPr>
            <w:tcW w:w="2125" w:type="dxa"/>
            <w:vAlign w:val="center"/>
          </w:tcPr>
          <w:p>
            <w:pPr>
              <w:jc w:val="both"/>
              <w:rPr>
                <w:szCs w:val="21"/>
                <w:lang w:eastAsia="zh-CN"/>
              </w:rPr>
            </w:pPr>
            <w:r>
              <w:rPr>
                <w:rFonts w:hint="eastAsia"/>
                <w:iCs/>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3"/>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确认验收合格应包含所有附件及备件。</w:t>
            </w:r>
          </w:p>
        </w:tc>
        <w:tc>
          <w:tcPr>
            <w:tcW w:w="2125" w:type="dxa"/>
            <w:vAlign w:val="center"/>
          </w:tcPr>
          <w:p>
            <w:pPr>
              <w:jc w:val="both"/>
              <w:rPr>
                <w:szCs w:val="21"/>
                <w:lang w:eastAsia="zh-CN"/>
              </w:rPr>
            </w:pPr>
            <w:r>
              <w:rPr>
                <w:rFonts w:hint="eastAsia"/>
                <w:iCs/>
                <w:szCs w:val="21"/>
                <w:lang w:val="en-US" w:eastAsia="zh-CN"/>
              </w:rPr>
              <w:t>关键</w:t>
            </w:r>
          </w:p>
        </w:tc>
      </w:tr>
      <w:permEnd w:id="49"/>
    </w:tbl>
    <w:p/>
    <w:p>
      <w:pPr>
        <w:pStyle w:val="33"/>
        <w:numPr>
          <w:ilvl w:val="0"/>
          <w:numId w:val="3"/>
        </w:numPr>
        <w:spacing w:afterLines="50"/>
        <w:ind w:left="426" w:hanging="426" w:hangingChars="202"/>
        <w:outlineLvl w:val="0"/>
        <w:rPr>
          <w:rFonts w:ascii="Times New Roman" w:hAnsi="Times New Roman"/>
          <w:b/>
        </w:rPr>
      </w:pPr>
      <w:bookmarkStart w:id="47" w:name="_Toc522716126"/>
      <w:bookmarkStart w:id="48" w:name="_Toc52210774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37"/>
        <w:spacing w:before="0" w:line="360" w:lineRule="auto"/>
        <w:ind w:left="357"/>
        <w:jc w:val="left"/>
        <w:rPr>
          <w:color w:val="4472C4"/>
          <w:szCs w:val="21"/>
          <w:lang w:eastAsia="zh-CN"/>
        </w:rPr>
      </w:pPr>
      <w:permStart w:id="50" w:edGrp="everyone"/>
      <w:r>
        <w:rPr>
          <w:rFonts w:hint="eastAsia"/>
          <w:szCs w:val="21"/>
          <w:lang w:eastAsia="zh-CN"/>
        </w:rPr>
        <w:t>N</w:t>
      </w:r>
      <w:r>
        <w:rPr>
          <w:rFonts w:hint="eastAsia"/>
          <w:color w:val="000000"/>
          <w:szCs w:val="21"/>
          <w:lang w:eastAsia="zh-CN"/>
        </w:rPr>
        <w:t>/A</w:t>
      </w:r>
    </w:p>
    <w:permEnd w:id="50"/>
    <w:p>
      <w:pPr>
        <w:pStyle w:val="37"/>
        <w:spacing w:before="0" w:line="360" w:lineRule="auto"/>
        <w:ind w:left="357"/>
        <w:jc w:val="left"/>
        <w:rPr>
          <w:color w:val="000000"/>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1467757">
    <w:nsid w:val="686546ED"/>
    <w:multiLevelType w:val="multilevel"/>
    <w:tmpl w:val="686546ED"/>
    <w:lvl w:ilvl="0" w:tentative="1">
      <w:start w:val="1"/>
      <w:numFmt w:val="decimal"/>
      <w:pStyle w:val="35"/>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943692">
    <w:nsid w:val="16D341CC"/>
    <w:multiLevelType w:val="multilevel"/>
    <w:tmpl w:val="16D341CC"/>
    <w:lvl w:ilvl="0" w:tentative="1">
      <w:start w:val="1"/>
      <w:numFmt w:val="decimal"/>
      <w:lvlText w:val="URS %1"/>
      <w:lvlJc w:val="left"/>
      <w:pPr>
        <w:ind w:left="420"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3B11"/>
    <w:rsid w:val="0000520B"/>
    <w:rsid w:val="000059AD"/>
    <w:rsid w:val="00005CB9"/>
    <w:rsid w:val="00005E76"/>
    <w:rsid w:val="00006273"/>
    <w:rsid w:val="00006FD5"/>
    <w:rsid w:val="0001160E"/>
    <w:rsid w:val="000117C7"/>
    <w:rsid w:val="000166FE"/>
    <w:rsid w:val="000169DD"/>
    <w:rsid w:val="00020FEA"/>
    <w:rsid w:val="00022818"/>
    <w:rsid w:val="000233DE"/>
    <w:rsid w:val="00023B07"/>
    <w:rsid w:val="00023CAD"/>
    <w:rsid w:val="0002457E"/>
    <w:rsid w:val="000275E7"/>
    <w:rsid w:val="000303D0"/>
    <w:rsid w:val="00031243"/>
    <w:rsid w:val="00031900"/>
    <w:rsid w:val="000355F3"/>
    <w:rsid w:val="000364A9"/>
    <w:rsid w:val="00037987"/>
    <w:rsid w:val="00037F15"/>
    <w:rsid w:val="00037F55"/>
    <w:rsid w:val="000404F1"/>
    <w:rsid w:val="00041104"/>
    <w:rsid w:val="00041652"/>
    <w:rsid w:val="00041A2A"/>
    <w:rsid w:val="00041D89"/>
    <w:rsid w:val="00044DFD"/>
    <w:rsid w:val="000467C2"/>
    <w:rsid w:val="00046B5E"/>
    <w:rsid w:val="00047038"/>
    <w:rsid w:val="00047BA8"/>
    <w:rsid w:val="00047CAF"/>
    <w:rsid w:val="00053A4C"/>
    <w:rsid w:val="00054BB1"/>
    <w:rsid w:val="000551D0"/>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0134"/>
    <w:rsid w:val="000818AC"/>
    <w:rsid w:val="00082061"/>
    <w:rsid w:val="00082C13"/>
    <w:rsid w:val="00083D58"/>
    <w:rsid w:val="000844A8"/>
    <w:rsid w:val="00084F90"/>
    <w:rsid w:val="00086CA0"/>
    <w:rsid w:val="00087002"/>
    <w:rsid w:val="00092C03"/>
    <w:rsid w:val="00096510"/>
    <w:rsid w:val="00097A7D"/>
    <w:rsid w:val="00097CA2"/>
    <w:rsid w:val="000A1116"/>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1049"/>
    <w:rsid w:val="000C3C81"/>
    <w:rsid w:val="000C41B6"/>
    <w:rsid w:val="000C7137"/>
    <w:rsid w:val="000D112B"/>
    <w:rsid w:val="000D19B9"/>
    <w:rsid w:val="000D1A79"/>
    <w:rsid w:val="000D3B24"/>
    <w:rsid w:val="000D43C9"/>
    <w:rsid w:val="000D517D"/>
    <w:rsid w:val="000D5BCC"/>
    <w:rsid w:val="000D6D1E"/>
    <w:rsid w:val="000D6FF9"/>
    <w:rsid w:val="000D7C49"/>
    <w:rsid w:val="000E0DDB"/>
    <w:rsid w:val="000E17B5"/>
    <w:rsid w:val="000E41B5"/>
    <w:rsid w:val="000E4764"/>
    <w:rsid w:val="000E51FF"/>
    <w:rsid w:val="000E5684"/>
    <w:rsid w:val="000E5B57"/>
    <w:rsid w:val="000F0D08"/>
    <w:rsid w:val="000F2CD3"/>
    <w:rsid w:val="000F36B9"/>
    <w:rsid w:val="000F3A00"/>
    <w:rsid w:val="000F4E03"/>
    <w:rsid w:val="000F606A"/>
    <w:rsid w:val="000F706D"/>
    <w:rsid w:val="000F7435"/>
    <w:rsid w:val="00100F65"/>
    <w:rsid w:val="0010110F"/>
    <w:rsid w:val="00102A7B"/>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17A77"/>
    <w:rsid w:val="00121B6E"/>
    <w:rsid w:val="00122051"/>
    <w:rsid w:val="00124244"/>
    <w:rsid w:val="00124E69"/>
    <w:rsid w:val="00125CC1"/>
    <w:rsid w:val="001273B0"/>
    <w:rsid w:val="00127CB8"/>
    <w:rsid w:val="001313C3"/>
    <w:rsid w:val="00132F4C"/>
    <w:rsid w:val="00134C68"/>
    <w:rsid w:val="00135FD6"/>
    <w:rsid w:val="001374CF"/>
    <w:rsid w:val="001415B3"/>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2627"/>
    <w:rsid w:val="001746E7"/>
    <w:rsid w:val="001757AB"/>
    <w:rsid w:val="001769A8"/>
    <w:rsid w:val="001814FA"/>
    <w:rsid w:val="001815A9"/>
    <w:rsid w:val="00182A27"/>
    <w:rsid w:val="0018313A"/>
    <w:rsid w:val="0018347D"/>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6243"/>
    <w:rsid w:val="001C6E9F"/>
    <w:rsid w:val="001D1FA0"/>
    <w:rsid w:val="001D32D4"/>
    <w:rsid w:val="001D3C96"/>
    <w:rsid w:val="001D4383"/>
    <w:rsid w:val="001D4742"/>
    <w:rsid w:val="001D474B"/>
    <w:rsid w:val="001D48B0"/>
    <w:rsid w:val="001D5549"/>
    <w:rsid w:val="001E0376"/>
    <w:rsid w:val="001E05D7"/>
    <w:rsid w:val="001E13E0"/>
    <w:rsid w:val="001E2B2B"/>
    <w:rsid w:val="001E353E"/>
    <w:rsid w:val="001E3CBE"/>
    <w:rsid w:val="001E5657"/>
    <w:rsid w:val="001E5F94"/>
    <w:rsid w:val="001E744F"/>
    <w:rsid w:val="001F065A"/>
    <w:rsid w:val="001F1FE7"/>
    <w:rsid w:val="001F25DD"/>
    <w:rsid w:val="001F3552"/>
    <w:rsid w:val="001F473D"/>
    <w:rsid w:val="001F4BFD"/>
    <w:rsid w:val="001F5A96"/>
    <w:rsid w:val="001F7405"/>
    <w:rsid w:val="001F7E95"/>
    <w:rsid w:val="00201487"/>
    <w:rsid w:val="002030C2"/>
    <w:rsid w:val="00203D68"/>
    <w:rsid w:val="0020539A"/>
    <w:rsid w:val="00205E00"/>
    <w:rsid w:val="00206088"/>
    <w:rsid w:val="00206107"/>
    <w:rsid w:val="002070B2"/>
    <w:rsid w:val="0020756B"/>
    <w:rsid w:val="00210177"/>
    <w:rsid w:val="00210A56"/>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43D"/>
    <w:rsid w:val="00234C07"/>
    <w:rsid w:val="002355FF"/>
    <w:rsid w:val="002367A6"/>
    <w:rsid w:val="00236BE9"/>
    <w:rsid w:val="00237E6C"/>
    <w:rsid w:val="00240A09"/>
    <w:rsid w:val="00240B1E"/>
    <w:rsid w:val="00241437"/>
    <w:rsid w:val="00245088"/>
    <w:rsid w:val="00247D9D"/>
    <w:rsid w:val="00253242"/>
    <w:rsid w:val="0025338E"/>
    <w:rsid w:val="002547BF"/>
    <w:rsid w:val="002548CA"/>
    <w:rsid w:val="0025531B"/>
    <w:rsid w:val="002560F9"/>
    <w:rsid w:val="00257517"/>
    <w:rsid w:val="00257FA9"/>
    <w:rsid w:val="00261CD0"/>
    <w:rsid w:val="00261F30"/>
    <w:rsid w:val="00262141"/>
    <w:rsid w:val="002637FB"/>
    <w:rsid w:val="00263CB5"/>
    <w:rsid w:val="0026571F"/>
    <w:rsid w:val="00267AFA"/>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6F59"/>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0256"/>
    <w:rsid w:val="002E1D21"/>
    <w:rsid w:val="002E3B36"/>
    <w:rsid w:val="002E59BF"/>
    <w:rsid w:val="002E63F6"/>
    <w:rsid w:val="002E69A1"/>
    <w:rsid w:val="002F1C5E"/>
    <w:rsid w:val="002F1D63"/>
    <w:rsid w:val="002F340E"/>
    <w:rsid w:val="002F4392"/>
    <w:rsid w:val="002F4641"/>
    <w:rsid w:val="002F46BA"/>
    <w:rsid w:val="002F4B22"/>
    <w:rsid w:val="002F4DDC"/>
    <w:rsid w:val="002F58B6"/>
    <w:rsid w:val="00302176"/>
    <w:rsid w:val="00302AF8"/>
    <w:rsid w:val="00303A8C"/>
    <w:rsid w:val="00304A73"/>
    <w:rsid w:val="00304F96"/>
    <w:rsid w:val="00306131"/>
    <w:rsid w:val="00311B2C"/>
    <w:rsid w:val="00311EE4"/>
    <w:rsid w:val="0031318B"/>
    <w:rsid w:val="0031343C"/>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90E"/>
    <w:rsid w:val="00330D16"/>
    <w:rsid w:val="00330FFF"/>
    <w:rsid w:val="0033216A"/>
    <w:rsid w:val="00333C91"/>
    <w:rsid w:val="0033695C"/>
    <w:rsid w:val="00337A9A"/>
    <w:rsid w:val="00341B2F"/>
    <w:rsid w:val="00342915"/>
    <w:rsid w:val="00343DF2"/>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1B19"/>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714"/>
    <w:rsid w:val="00393B6A"/>
    <w:rsid w:val="003946C3"/>
    <w:rsid w:val="0039493D"/>
    <w:rsid w:val="00395CE1"/>
    <w:rsid w:val="00395D47"/>
    <w:rsid w:val="00396425"/>
    <w:rsid w:val="003970BE"/>
    <w:rsid w:val="00397C18"/>
    <w:rsid w:val="003A04A8"/>
    <w:rsid w:val="003A1311"/>
    <w:rsid w:val="003A2EC5"/>
    <w:rsid w:val="003A3684"/>
    <w:rsid w:val="003A3AAC"/>
    <w:rsid w:val="003A4CAE"/>
    <w:rsid w:val="003A6DFE"/>
    <w:rsid w:val="003A6FCD"/>
    <w:rsid w:val="003B096A"/>
    <w:rsid w:val="003B0B6A"/>
    <w:rsid w:val="003B1FF2"/>
    <w:rsid w:val="003B2104"/>
    <w:rsid w:val="003B2D18"/>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07C84"/>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8DE"/>
    <w:rsid w:val="00442B53"/>
    <w:rsid w:val="00443256"/>
    <w:rsid w:val="00444D2D"/>
    <w:rsid w:val="004510B1"/>
    <w:rsid w:val="00451C5D"/>
    <w:rsid w:val="00451D74"/>
    <w:rsid w:val="00452E73"/>
    <w:rsid w:val="004565EF"/>
    <w:rsid w:val="00457FF9"/>
    <w:rsid w:val="004601ED"/>
    <w:rsid w:val="00460711"/>
    <w:rsid w:val="0046108B"/>
    <w:rsid w:val="00463A25"/>
    <w:rsid w:val="00464E59"/>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2D2E"/>
    <w:rsid w:val="004A3F98"/>
    <w:rsid w:val="004A5532"/>
    <w:rsid w:val="004A5958"/>
    <w:rsid w:val="004A76DF"/>
    <w:rsid w:val="004B0A75"/>
    <w:rsid w:val="004B2190"/>
    <w:rsid w:val="004B69B2"/>
    <w:rsid w:val="004B7507"/>
    <w:rsid w:val="004B7DC4"/>
    <w:rsid w:val="004B7E3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0A7"/>
    <w:rsid w:val="004E255F"/>
    <w:rsid w:val="004E4C2D"/>
    <w:rsid w:val="004F0281"/>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1AB3"/>
    <w:rsid w:val="00541BE1"/>
    <w:rsid w:val="00544652"/>
    <w:rsid w:val="0054625B"/>
    <w:rsid w:val="00551539"/>
    <w:rsid w:val="00552EFE"/>
    <w:rsid w:val="00554ABB"/>
    <w:rsid w:val="0055552D"/>
    <w:rsid w:val="00555668"/>
    <w:rsid w:val="0055679E"/>
    <w:rsid w:val="00557E8B"/>
    <w:rsid w:val="0056090D"/>
    <w:rsid w:val="00561E9C"/>
    <w:rsid w:val="00565C7A"/>
    <w:rsid w:val="00567E14"/>
    <w:rsid w:val="005705A7"/>
    <w:rsid w:val="0057277E"/>
    <w:rsid w:val="00572930"/>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73"/>
    <w:rsid w:val="00593AF8"/>
    <w:rsid w:val="00593EC9"/>
    <w:rsid w:val="00594C2E"/>
    <w:rsid w:val="005964B1"/>
    <w:rsid w:val="005965FD"/>
    <w:rsid w:val="00597FCC"/>
    <w:rsid w:val="005A132A"/>
    <w:rsid w:val="005A337C"/>
    <w:rsid w:val="005A34B0"/>
    <w:rsid w:val="005A3ECF"/>
    <w:rsid w:val="005A6821"/>
    <w:rsid w:val="005B12DE"/>
    <w:rsid w:val="005B2393"/>
    <w:rsid w:val="005B4AEA"/>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D5017"/>
    <w:rsid w:val="005E0040"/>
    <w:rsid w:val="005E2725"/>
    <w:rsid w:val="005E65FA"/>
    <w:rsid w:val="005F19CE"/>
    <w:rsid w:val="005F28F4"/>
    <w:rsid w:val="005F438B"/>
    <w:rsid w:val="005F43BB"/>
    <w:rsid w:val="005F503E"/>
    <w:rsid w:val="005F6CB3"/>
    <w:rsid w:val="005F7612"/>
    <w:rsid w:val="005F7663"/>
    <w:rsid w:val="005F7D63"/>
    <w:rsid w:val="00605E0B"/>
    <w:rsid w:val="00607170"/>
    <w:rsid w:val="00607408"/>
    <w:rsid w:val="00610AEE"/>
    <w:rsid w:val="00616BAC"/>
    <w:rsid w:val="00620598"/>
    <w:rsid w:val="00620FEC"/>
    <w:rsid w:val="006214DC"/>
    <w:rsid w:val="006215E2"/>
    <w:rsid w:val="0062168F"/>
    <w:rsid w:val="006221A2"/>
    <w:rsid w:val="0062332D"/>
    <w:rsid w:val="00623A3E"/>
    <w:rsid w:val="006255D7"/>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2654"/>
    <w:rsid w:val="006434E3"/>
    <w:rsid w:val="0064366A"/>
    <w:rsid w:val="00646987"/>
    <w:rsid w:val="006506CF"/>
    <w:rsid w:val="00650A76"/>
    <w:rsid w:val="00650CD0"/>
    <w:rsid w:val="00650DA4"/>
    <w:rsid w:val="00651DA5"/>
    <w:rsid w:val="00652D22"/>
    <w:rsid w:val="00656797"/>
    <w:rsid w:val="006571EC"/>
    <w:rsid w:val="0066086B"/>
    <w:rsid w:val="00660A74"/>
    <w:rsid w:val="00660A8C"/>
    <w:rsid w:val="006630B4"/>
    <w:rsid w:val="006632B2"/>
    <w:rsid w:val="00663ECC"/>
    <w:rsid w:val="00664084"/>
    <w:rsid w:val="0066445E"/>
    <w:rsid w:val="006655A9"/>
    <w:rsid w:val="00667045"/>
    <w:rsid w:val="00670A00"/>
    <w:rsid w:val="00670C23"/>
    <w:rsid w:val="00672B86"/>
    <w:rsid w:val="00673031"/>
    <w:rsid w:val="00673EB3"/>
    <w:rsid w:val="00675EBA"/>
    <w:rsid w:val="00680BE8"/>
    <w:rsid w:val="00686409"/>
    <w:rsid w:val="00686D19"/>
    <w:rsid w:val="0068777F"/>
    <w:rsid w:val="00690EFC"/>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525"/>
    <w:rsid w:val="006F3BB9"/>
    <w:rsid w:val="006F3DEA"/>
    <w:rsid w:val="006F4AA6"/>
    <w:rsid w:val="007007FA"/>
    <w:rsid w:val="007036CA"/>
    <w:rsid w:val="007041CB"/>
    <w:rsid w:val="00704FB2"/>
    <w:rsid w:val="00705090"/>
    <w:rsid w:val="00705102"/>
    <w:rsid w:val="00705DDB"/>
    <w:rsid w:val="0070675E"/>
    <w:rsid w:val="00706A0E"/>
    <w:rsid w:val="00710573"/>
    <w:rsid w:val="00710808"/>
    <w:rsid w:val="007116CB"/>
    <w:rsid w:val="0071211E"/>
    <w:rsid w:val="00712B1B"/>
    <w:rsid w:val="00713C98"/>
    <w:rsid w:val="0071622D"/>
    <w:rsid w:val="007168CC"/>
    <w:rsid w:val="007176BB"/>
    <w:rsid w:val="00717811"/>
    <w:rsid w:val="00720A17"/>
    <w:rsid w:val="00720D4B"/>
    <w:rsid w:val="00723A0F"/>
    <w:rsid w:val="00726CB6"/>
    <w:rsid w:val="00727255"/>
    <w:rsid w:val="0072779B"/>
    <w:rsid w:val="00727CCF"/>
    <w:rsid w:val="00733D87"/>
    <w:rsid w:val="0073446D"/>
    <w:rsid w:val="007349FF"/>
    <w:rsid w:val="00734B45"/>
    <w:rsid w:val="00736FFB"/>
    <w:rsid w:val="007375C6"/>
    <w:rsid w:val="00740080"/>
    <w:rsid w:val="00741A30"/>
    <w:rsid w:val="0074671A"/>
    <w:rsid w:val="007504DC"/>
    <w:rsid w:val="0075142F"/>
    <w:rsid w:val="00751965"/>
    <w:rsid w:val="00751B91"/>
    <w:rsid w:val="007524EF"/>
    <w:rsid w:val="00752689"/>
    <w:rsid w:val="0075657D"/>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51E7"/>
    <w:rsid w:val="0077635B"/>
    <w:rsid w:val="0077746F"/>
    <w:rsid w:val="007775FE"/>
    <w:rsid w:val="00780A5F"/>
    <w:rsid w:val="007814B4"/>
    <w:rsid w:val="00784913"/>
    <w:rsid w:val="0078585E"/>
    <w:rsid w:val="00785B90"/>
    <w:rsid w:val="0078639C"/>
    <w:rsid w:val="00790BF9"/>
    <w:rsid w:val="007913D3"/>
    <w:rsid w:val="007920DA"/>
    <w:rsid w:val="0079402F"/>
    <w:rsid w:val="0079790C"/>
    <w:rsid w:val="007A011A"/>
    <w:rsid w:val="007A102A"/>
    <w:rsid w:val="007A15E6"/>
    <w:rsid w:val="007A194B"/>
    <w:rsid w:val="007A29AF"/>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2D9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1D6E"/>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1770"/>
    <w:rsid w:val="00852488"/>
    <w:rsid w:val="0085352F"/>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2F4"/>
    <w:rsid w:val="008B58C4"/>
    <w:rsid w:val="008B6CD2"/>
    <w:rsid w:val="008B72DD"/>
    <w:rsid w:val="008C050B"/>
    <w:rsid w:val="008C1132"/>
    <w:rsid w:val="008C2DBA"/>
    <w:rsid w:val="008C302A"/>
    <w:rsid w:val="008C3E42"/>
    <w:rsid w:val="008C4B72"/>
    <w:rsid w:val="008C5279"/>
    <w:rsid w:val="008C527D"/>
    <w:rsid w:val="008C5C9F"/>
    <w:rsid w:val="008C6773"/>
    <w:rsid w:val="008C72BB"/>
    <w:rsid w:val="008D140C"/>
    <w:rsid w:val="008D2BAE"/>
    <w:rsid w:val="008D2C9E"/>
    <w:rsid w:val="008D41F5"/>
    <w:rsid w:val="008D521F"/>
    <w:rsid w:val="008D5244"/>
    <w:rsid w:val="008D5C06"/>
    <w:rsid w:val="008D6227"/>
    <w:rsid w:val="008D7A8B"/>
    <w:rsid w:val="008E41D3"/>
    <w:rsid w:val="008E43F1"/>
    <w:rsid w:val="008E594F"/>
    <w:rsid w:val="008E5A81"/>
    <w:rsid w:val="008E7312"/>
    <w:rsid w:val="008F0816"/>
    <w:rsid w:val="008F297F"/>
    <w:rsid w:val="008F447E"/>
    <w:rsid w:val="00904BA9"/>
    <w:rsid w:val="00904E7E"/>
    <w:rsid w:val="0090607F"/>
    <w:rsid w:val="0091086B"/>
    <w:rsid w:val="00911129"/>
    <w:rsid w:val="00912EA3"/>
    <w:rsid w:val="00914B6E"/>
    <w:rsid w:val="009156A2"/>
    <w:rsid w:val="0091579A"/>
    <w:rsid w:val="0091615D"/>
    <w:rsid w:val="00923F7E"/>
    <w:rsid w:val="00924C96"/>
    <w:rsid w:val="00925030"/>
    <w:rsid w:val="00925B32"/>
    <w:rsid w:val="00930123"/>
    <w:rsid w:val="00930A64"/>
    <w:rsid w:val="00930BE5"/>
    <w:rsid w:val="00930D9D"/>
    <w:rsid w:val="00931403"/>
    <w:rsid w:val="00933397"/>
    <w:rsid w:val="00934991"/>
    <w:rsid w:val="009351A7"/>
    <w:rsid w:val="009426B9"/>
    <w:rsid w:val="00944E85"/>
    <w:rsid w:val="0094634C"/>
    <w:rsid w:val="009463AB"/>
    <w:rsid w:val="00946A3A"/>
    <w:rsid w:val="00950239"/>
    <w:rsid w:val="00950332"/>
    <w:rsid w:val="009531CC"/>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2743"/>
    <w:rsid w:val="0099415E"/>
    <w:rsid w:val="009948BF"/>
    <w:rsid w:val="00997844"/>
    <w:rsid w:val="009978C2"/>
    <w:rsid w:val="009A0088"/>
    <w:rsid w:val="009A345F"/>
    <w:rsid w:val="009A4AE5"/>
    <w:rsid w:val="009A5218"/>
    <w:rsid w:val="009A6806"/>
    <w:rsid w:val="009B1717"/>
    <w:rsid w:val="009B22D2"/>
    <w:rsid w:val="009B2839"/>
    <w:rsid w:val="009B4C17"/>
    <w:rsid w:val="009B5BF6"/>
    <w:rsid w:val="009C1C79"/>
    <w:rsid w:val="009C1ED5"/>
    <w:rsid w:val="009C339C"/>
    <w:rsid w:val="009C33B8"/>
    <w:rsid w:val="009C614E"/>
    <w:rsid w:val="009D07A0"/>
    <w:rsid w:val="009D107D"/>
    <w:rsid w:val="009D10F0"/>
    <w:rsid w:val="009D1871"/>
    <w:rsid w:val="009D2985"/>
    <w:rsid w:val="009D3033"/>
    <w:rsid w:val="009D5770"/>
    <w:rsid w:val="009D6AF5"/>
    <w:rsid w:val="009D6CF1"/>
    <w:rsid w:val="009D74BA"/>
    <w:rsid w:val="009E0874"/>
    <w:rsid w:val="009E1A16"/>
    <w:rsid w:val="009E2045"/>
    <w:rsid w:val="009E3B20"/>
    <w:rsid w:val="009E4A84"/>
    <w:rsid w:val="009E6973"/>
    <w:rsid w:val="009F0466"/>
    <w:rsid w:val="009F4200"/>
    <w:rsid w:val="009F4933"/>
    <w:rsid w:val="009F5FD0"/>
    <w:rsid w:val="009F6DD5"/>
    <w:rsid w:val="009F7B12"/>
    <w:rsid w:val="00A020A2"/>
    <w:rsid w:val="00A0297B"/>
    <w:rsid w:val="00A0358E"/>
    <w:rsid w:val="00A049F9"/>
    <w:rsid w:val="00A0529B"/>
    <w:rsid w:val="00A0582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4AFD"/>
    <w:rsid w:val="00A66342"/>
    <w:rsid w:val="00A665C8"/>
    <w:rsid w:val="00A6749E"/>
    <w:rsid w:val="00A70D88"/>
    <w:rsid w:val="00A71142"/>
    <w:rsid w:val="00A722A5"/>
    <w:rsid w:val="00A72895"/>
    <w:rsid w:val="00A74589"/>
    <w:rsid w:val="00A74E1B"/>
    <w:rsid w:val="00A7513A"/>
    <w:rsid w:val="00A75AC9"/>
    <w:rsid w:val="00A75B25"/>
    <w:rsid w:val="00A76ACB"/>
    <w:rsid w:val="00A76AEE"/>
    <w:rsid w:val="00A801B4"/>
    <w:rsid w:val="00A82075"/>
    <w:rsid w:val="00A82192"/>
    <w:rsid w:val="00A84F16"/>
    <w:rsid w:val="00A857AB"/>
    <w:rsid w:val="00A863AF"/>
    <w:rsid w:val="00A86D75"/>
    <w:rsid w:val="00A90009"/>
    <w:rsid w:val="00A90382"/>
    <w:rsid w:val="00A9180C"/>
    <w:rsid w:val="00A927A4"/>
    <w:rsid w:val="00A94CC0"/>
    <w:rsid w:val="00A9534A"/>
    <w:rsid w:val="00A957FA"/>
    <w:rsid w:val="00A95CA2"/>
    <w:rsid w:val="00A968DC"/>
    <w:rsid w:val="00A977BA"/>
    <w:rsid w:val="00AA0A38"/>
    <w:rsid w:val="00AA1A89"/>
    <w:rsid w:val="00AA346E"/>
    <w:rsid w:val="00AA3770"/>
    <w:rsid w:val="00AA3CFA"/>
    <w:rsid w:val="00AA41C3"/>
    <w:rsid w:val="00AA423C"/>
    <w:rsid w:val="00AA53E2"/>
    <w:rsid w:val="00AA73FD"/>
    <w:rsid w:val="00AB2F87"/>
    <w:rsid w:val="00AB32C3"/>
    <w:rsid w:val="00AB45A9"/>
    <w:rsid w:val="00AB5E2B"/>
    <w:rsid w:val="00AB6069"/>
    <w:rsid w:val="00AB6467"/>
    <w:rsid w:val="00AC0575"/>
    <w:rsid w:val="00AC0758"/>
    <w:rsid w:val="00AC0934"/>
    <w:rsid w:val="00AC17EE"/>
    <w:rsid w:val="00AC2BFD"/>
    <w:rsid w:val="00AC4DDD"/>
    <w:rsid w:val="00AC5A43"/>
    <w:rsid w:val="00AC5D2C"/>
    <w:rsid w:val="00AC6B6D"/>
    <w:rsid w:val="00AD02BF"/>
    <w:rsid w:val="00AD0656"/>
    <w:rsid w:val="00AD3559"/>
    <w:rsid w:val="00AD3B05"/>
    <w:rsid w:val="00AD3C8E"/>
    <w:rsid w:val="00AD470D"/>
    <w:rsid w:val="00AD5193"/>
    <w:rsid w:val="00AD633C"/>
    <w:rsid w:val="00AD6E26"/>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128"/>
    <w:rsid w:val="00B032B1"/>
    <w:rsid w:val="00B03F46"/>
    <w:rsid w:val="00B05671"/>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12F4"/>
    <w:rsid w:val="00B353E7"/>
    <w:rsid w:val="00B35759"/>
    <w:rsid w:val="00B3619A"/>
    <w:rsid w:val="00B365B7"/>
    <w:rsid w:val="00B40BCA"/>
    <w:rsid w:val="00B42FF2"/>
    <w:rsid w:val="00B4308D"/>
    <w:rsid w:val="00B440DA"/>
    <w:rsid w:val="00B4415A"/>
    <w:rsid w:val="00B44B99"/>
    <w:rsid w:val="00B503CD"/>
    <w:rsid w:val="00B548AB"/>
    <w:rsid w:val="00B54BBE"/>
    <w:rsid w:val="00B553F8"/>
    <w:rsid w:val="00B560B6"/>
    <w:rsid w:val="00B5630E"/>
    <w:rsid w:val="00B619B0"/>
    <w:rsid w:val="00B61F32"/>
    <w:rsid w:val="00B62C17"/>
    <w:rsid w:val="00B62FB6"/>
    <w:rsid w:val="00B635BF"/>
    <w:rsid w:val="00B7050A"/>
    <w:rsid w:val="00B70904"/>
    <w:rsid w:val="00B70A42"/>
    <w:rsid w:val="00B74791"/>
    <w:rsid w:val="00B76AF9"/>
    <w:rsid w:val="00B8115B"/>
    <w:rsid w:val="00B81AE2"/>
    <w:rsid w:val="00B828C7"/>
    <w:rsid w:val="00B82D30"/>
    <w:rsid w:val="00B84F6F"/>
    <w:rsid w:val="00B87F62"/>
    <w:rsid w:val="00B914A4"/>
    <w:rsid w:val="00B92497"/>
    <w:rsid w:val="00B92D41"/>
    <w:rsid w:val="00B93679"/>
    <w:rsid w:val="00B9422D"/>
    <w:rsid w:val="00B95A1D"/>
    <w:rsid w:val="00B95A6B"/>
    <w:rsid w:val="00B9634B"/>
    <w:rsid w:val="00BA4185"/>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D6AC1"/>
    <w:rsid w:val="00BD7CF6"/>
    <w:rsid w:val="00BE1F47"/>
    <w:rsid w:val="00BE24AD"/>
    <w:rsid w:val="00BE2787"/>
    <w:rsid w:val="00BE51BB"/>
    <w:rsid w:val="00BE7ECD"/>
    <w:rsid w:val="00BF0E02"/>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68E7"/>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5AA"/>
    <w:rsid w:val="00C56F88"/>
    <w:rsid w:val="00C57B7E"/>
    <w:rsid w:val="00C60217"/>
    <w:rsid w:val="00C66D15"/>
    <w:rsid w:val="00C671D0"/>
    <w:rsid w:val="00C70449"/>
    <w:rsid w:val="00C7071B"/>
    <w:rsid w:val="00C717E8"/>
    <w:rsid w:val="00C73904"/>
    <w:rsid w:val="00C73BAE"/>
    <w:rsid w:val="00C73F7B"/>
    <w:rsid w:val="00C74055"/>
    <w:rsid w:val="00C7421D"/>
    <w:rsid w:val="00C76481"/>
    <w:rsid w:val="00C76812"/>
    <w:rsid w:val="00C83D88"/>
    <w:rsid w:val="00C84961"/>
    <w:rsid w:val="00C84B06"/>
    <w:rsid w:val="00C863D6"/>
    <w:rsid w:val="00C87100"/>
    <w:rsid w:val="00C87CAC"/>
    <w:rsid w:val="00C913A1"/>
    <w:rsid w:val="00C950D6"/>
    <w:rsid w:val="00C95788"/>
    <w:rsid w:val="00C97646"/>
    <w:rsid w:val="00C97672"/>
    <w:rsid w:val="00CA17EC"/>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5ADF"/>
    <w:rsid w:val="00D2600F"/>
    <w:rsid w:val="00D26A8C"/>
    <w:rsid w:val="00D30EEA"/>
    <w:rsid w:val="00D31534"/>
    <w:rsid w:val="00D32C1F"/>
    <w:rsid w:val="00D33FC2"/>
    <w:rsid w:val="00D37394"/>
    <w:rsid w:val="00D44A15"/>
    <w:rsid w:val="00D45649"/>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5A66"/>
    <w:rsid w:val="00D90293"/>
    <w:rsid w:val="00D90496"/>
    <w:rsid w:val="00D90D7F"/>
    <w:rsid w:val="00D917BC"/>
    <w:rsid w:val="00D942DE"/>
    <w:rsid w:val="00D9491E"/>
    <w:rsid w:val="00D95E8C"/>
    <w:rsid w:val="00DA070D"/>
    <w:rsid w:val="00DA3B2F"/>
    <w:rsid w:val="00DA4731"/>
    <w:rsid w:val="00DA5040"/>
    <w:rsid w:val="00DA7D5F"/>
    <w:rsid w:val="00DB053E"/>
    <w:rsid w:val="00DB11B2"/>
    <w:rsid w:val="00DB161E"/>
    <w:rsid w:val="00DB31B5"/>
    <w:rsid w:val="00DB5BBA"/>
    <w:rsid w:val="00DB7048"/>
    <w:rsid w:val="00DB7D7C"/>
    <w:rsid w:val="00DC03DB"/>
    <w:rsid w:val="00DC1206"/>
    <w:rsid w:val="00DC2BE8"/>
    <w:rsid w:val="00DC2BEC"/>
    <w:rsid w:val="00DC3256"/>
    <w:rsid w:val="00DC35A6"/>
    <w:rsid w:val="00DC5638"/>
    <w:rsid w:val="00DD090A"/>
    <w:rsid w:val="00DD2421"/>
    <w:rsid w:val="00DD3222"/>
    <w:rsid w:val="00DD3D81"/>
    <w:rsid w:val="00DD571C"/>
    <w:rsid w:val="00DD64E1"/>
    <w:rsid w:val="00DE039A"/>
    <w:rsid w:val="00DE0403"/>
    <w:rsid w:val="00DE3DE7"/>
    <w:rsid w:val="00DE4811"/>
    <w:rsid w:val="00DE5458"/>
    <w:rsid w:val="00DE5EE6"/>
    <w:rsid w:val="00DE77EA"/>
    <w:rsid w:val="00DF0ABA"/>
    <w:rsid w:val="00DF1EEE"/>
    <w:rsid w:val="00DF6B48"/>
    <w:rsid w:val="00DF6C58"/>
    <w:rsid w:val="00E001C1"/>
    <w:rsid w:val="00E039F3"/>
    <w:rsid w:val="00E03C30"/>
    <w:rsid w:val="00E078BD"/>
    <w:rsid w:val="00E078F8"/>
    <w:rsid w:val="00E1142B"/>
    <w:rsid w:val="00E11F10"/>
    <w:rsid w:val="00E149A8"/>
    <w:rsid w:val="00E157E4"/>
    <w:rsid w:val="00E157F2"/>
    <w:rsid w:val="00E15950"/>
    <w:rsid w:val="00E16522"/>
    <w:rsid w:val="00E1750C"/>
    <w:rsid w:val="00E178A6"/>
    <w:rsid w:val="00E20533"/>
    <w:rsid w:val="00E20545"/>
    <w:rsid w:val="00E223C6"/>
    <w:rsid w:val="00E2443D"/>
    <w:rsid w:val="00E24789"/>
    <w:rsid w:val="00E26615"/>
    <w:rsid w:val="00E26F37"/>
    <w:rsid w:val="00E33928"/>
    <w:rsid w:val="00E33C90"/>
    <w:rsid w:val="00E341B8"/>
    <w:rsid w:val="00E34D15"/>
    <w:rsid w:val="00E34D47"/>
    <w:rsid w:val="00E35E86"/>
    <w:rsid w:val="00E36B45"/>
    <w:rsid w:val="00E37BF1"/>
    <w:rsid w:val="00E428B3"/>
    <w:rsid w:val="00E44D19"/>
    <w:rsid w:val="00E4646D"/>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331C"/>
    <w:rsid w:val="00E959EA"/>
    <w:rsid w:val="00E96237"/>
    <w:rsid w:val="00E965D7"/>
    <w:rsid w:val="00E96D30"/>
    <w:rsid w:val="00EA1327"/>
    <w:rsid w:val="00EA623C"/>
    <w:rsid w:val="00EA6395"/>
    <w:rsid w:val="00EB044B"/>
    <w:rsid w:val="00EB067C"/>
    <w:rsid w:val="00EB3080"/>
    <w:rsid w:val="00EB3C66"/>
    <w:rsid w:val="00EB4B03"/>
    <w:rsid w:val="00EB5DEE"/>
    <w:rsid w:val="00EB64CB"/>
    <w:rsid w:val="00EB6D46"/>
    <w:rsid w:val="00EC07F3"/>
    <w:rsid w:val="00EC187E"/>
    <w:rsid w:val="00EC1CCE"/>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2644"/>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165"/>
    <w:rsid w:val="00F10287"/>
    <w:rsid w:val="00F10C82"/>
    <w:rsid w:val="00F13B2E"/>
    <w:rsid w:val="00F176A0"/>
    <w:rsid w:val="00F20174"/>
    <w:rsid w:val="00F22098"/>
    <w:rsid w:val="00F223BC"/>
    <w:rsid w:val="00F22B34"/>
    <w:rsid w:val="00F23780"/>
    <w:rsid w:val="00F26185"/>
    <w:rsid w:val="00F3178C"/>
    <w:rsid w:val="00F33DE5"/>
    <w:rsid w:val="00F34B8F"/>
    <w:rsid w:val="00F35FFC"/>
    <w:rsid w:val="00F36D7F"/>
    <w:rsid w:val="00F37186"/>
    <w:rsid w:val="00F42FCF"/>
    <w:rsid w:val="00F44A83"/>
    <w:rsid w:val="00F44F7A"/>
    <w:rsid w:val="00F4526B"/>
    <w:rsid w:val="00F47C52"/>
    <w:rsid w:val="00F51743"/>
    <w:rsid w:val="00F51F21"/>
    <w:rsid w:val="00F52897"/>
    <w:rsid w:val="00F529D4"/>
    <w:rsid w:val="00F53A64"/>
    <w:rsid w:val="00F54F27"/>
    <w:rsid w:val="00F55FC8"/>
    <w:rsid w:val="00F604E3"/>
    <w:rsid w:val="00F610E6"/>
    <w:rsid w:val="00F616C3"/>
    <w:rsid w:val="00F61FCC"/>
    <w:rsid w:val="00F63CAD"/>
    <w:rsid w:val="00F66036"/>
    <w:rsid w:val="00F6689D"/>
    <w:rsid w:val="00F67E23"/>
    <w:rsid w:val="00F7073C"/>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7EB"/>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4666D0"/>
    <w:rsid w:val="054243A2"/>
    <w:rsid w:val="055827F3"/>
    <w:rsid w:val="06052B4F"/>
    <w:rsid w:val="0A436016"/>
    <w:rsid w:val="0AC10657"/>
    <w:rsid w:val="0B792250"/>
    <w:rsid w:val="0C5F6E18"/>
    <w:rsid w:val="11F70B1E"/>
    <w:rsid w:val="157E6D20"/>
    <w:rsid w:val="15887A72"/>
    <w:rsid w:val="16637549"/>
    <w:rsid w:val="166C4DF8"/>
    <w:rsid w:val="17C4006F"/>
    <w:rsid w:val="189F2E07"/>
    <w:rsid w:val="18A5586F"/>
    <w:rsid w:val="1B231B16"/>
    <w:rsid w:val="1C810E7B"/>
    <w:rsid w:val="1E78468A"/>
    <w:rsid w:val="216D2D58"/>
    <w:rsid w:val="216E24CA"/>
    <w:rsid w:val="2998514D"/>
    <w:rsid w:val="2B9E7BEF"/>
    <w:rsid w:val="2BE0664F"/>
    <w:rsid w:val="2D626D6F"/>
    <w:rsid w:val="2DC31094"/>
    <w:rsid w:val="2EBA07C3"/>
    <w:rsid w:val="30A369BE"/>
    <w:rsid w:val="319232C1"/>
    <w:rsid w:val="35753511"/>
    <w:rsid w:val="35AD7ECA"/>
    <w:rsid w:val="360E1E53"/>
    <w:rsid w:val="38165B4C"/>
    <w:rsid w:val="3B377ED5"/>
    <w:rsid w:val="40ED38F6"/>
    <w:rsid w:val="44686FD2"/>
    <w:rsid w:val="45C714B0"/>
    <w:rsid w:val="48006436"/>
    <w:rsid w:val="4A6F0E92"/>
    <w:rsid w:val="4D232832"/>
    <w:rsid w:val="4D742F89"/>
    <w:rsid w:val="4D987E04"/>
    <w:rsid w:val="4E1233F4"/>
    <w:rsid w:val="52487C91"/>
    <w:rsid w:val="548A2E78"/>
    <w:rsid w:val="54ED0006"/>
    <w:rsid w:val="58700C1C"/>
    <w:rsid w:val="593221FE"/>
    <w:rsid w:val="5A5335A8"/>
    <w:rsid w:val="5A9D7A41"/>
    <w:rsid w:val="626E32BA"/>
    <w:rsid w:val="6401032B"/>
    <w:rsid w:val="65E33934"/>
    <w:rsid w:val="668E1B9D"/>
    <w:rsid w:val="68E56DF5"/>
    <w:rsid w:val="6EE22755"/>
    <w:rsid w:val="726E70C3"/>
    <w:rsid w:val="72CF0D6C"/>
    <w:rsid w:val="746E26E3"/>
    <w:rsid w:val="74783735"/>
    <w:rsid w:val="74BF4BC8"/>
    <w:rsid w:val="781A06D5"/>
    <w:rsid w:val="7D3D1383"/>
    <w:rsid w:val="7D8F7E6D"/>
    <w:rsid w:val="7F6E3DBC"/>
    <w:rsid w:val="7FAA0DB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unhideWhenUsed/>
    <w:qFormat/>
    <w:uiPriority w:val="1"/>
  </w:style>
  <w:style w:type="table" w:default="1" w:styleId="26">
    <w:name w:val="Normal Table"/>
    <w:unhideWhenUsed/>
    <w:qFormat/>
    <w:uiPriority w:val="99"/>
    <w:tblPr>
      <w:tblStyle w:val="26"/>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1"/>
    <w:semiHidden/>
    <w:qFormat/>
    <w:uiPriority w:val="0"/>
  </w:style>
  <w:style w:type="paragraph" w:styleId="8">
    <w:name w:val="Body Text 3"/>
    <w:basedOn w:val="1"/>
    <w:link w:val="52"/>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endnote text"/>
    <w:basedOn w:val="1"/>
    <w:link w:val="51"/>
    <w:unhideWhenUsed/>
    <w:qFormat/>
    <w:uiPriority w:val="0"/>
    <w:rPr>
      <w:sz w:val="20"/>
    </w:rPr>
  </w:style>
  <w:style w:type="paragraph" w:styleId="14">
    <w:name w:val="Balloon Text"/>
    <w:basedOn w:val="1"/>
    <w:semiHidden/>
    <w:qFormat/>
    <w:uiPriority w:val="0"/>
    <w:rPr>
      <w:sz w:val="18"/>
      <w:szCs w:val="18"/>
    </w:rPr>
  </w:style>
  <w:style w:type="paragraph" w:styleId="15">
    <w:name w:val="footer"/>
    <w:basedOn w:val="1"/>
    <w:link w:val="42"/>
    <w:qFormat/>
    <w:uiPriority w:val="99"/>
    <w:pPr>
      <w:tabs>
        <w:tab w:val="center" w:pos="4320"/>
        <w:tab w:val="right" w:pos="8640"/>
      </w:tabs>
    </w:pPr>
  </w:style>
  <w:style w:type="paragraph" w:styleId="16">
    <w:name w:val="header"/>
    <w:basedOn w:val="1"/>
    <w:link w:val="40"/>
    <w:qFormat/>
    <w:uiPriority w:val="0"/>
    <w:pPr>
      <w:tabs>
        <w:tab w:val="center" w:pos="4320"/>
        <w:tab w:val="right" w:pos="8640"/>
      </w:tabs>
    </w:pPr>
  </w:style>
  <w:style w:type="paragraph" w:styleId="17">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Normal (Web)"/>
    <w:basedOn w:val="1"/>
    <w:unhideWhenUsed/>
    <w:qFormat/>
    <w:uiPriority w:val="0"/>
    <w:rPr>
      <w:sz w:val="24"/>
    </w:rPr>
  </w:style>
  <w:style w:type="paragraph" w:styleId="20">
    <w:name w:val="Title"/>
    <w:basedOn w:val="1"/>
    <w:next w:val="1"/>
    <w:link w:val="49"/>
    <w:qFormat/>
    <w:uiPriority w:val="0"/>
    <w:pPr>
      <w:spacing w:before="240" w:after="60"/>
      <w:jc w:val="center"/>
      <w:outlineLvl w:val="0"/>
    </w:pPr>
    <w:rPr>
      <w:rFonts w:ascii="Calibri Light" w:hAnsi="Calibri Light"/>
      <w:b/>
      <w:bCs/>
      <w:sz w:val="32"/>
      <w:szCs w:val="32"/>
    </w:rPr>
  </w:style>
  <w:style w:type="character" w:styleId="22">
    <w:name w:val="endnote reference"/>
    <w:basedOn w:val="21"/>
    <w:unhideWhenUsed/>
    <w:qFormat/>
    <w:uiPriority w:val="0"/>
    <w:rPr>
      <w:vertAlign w:val="superscript"/>
    </w:rPr>
  </w:style>
  <w:style w:type="character" w:styleId="23">
    <w:name w:val="page number"/>
    <w:basedOn w:val="21"/>
    <w:qFormat/>
    <w:uiPriority w:val="0"/>
    <w:rPr/>
  </w:style>
  <w:style w:type="character" w:styleId="24">
    <w:name w:val="Hyperlink"/>
    <w:qFormat/>
    <w:uiPriority w:val="99"/>
    <w:rPr>
      <w:color w:val="0000FF"/>
      <w:u w:val="single"/>
    </w:rPr>
  </w:style>
  <w:style w:type="character" w:styleId="25">
    <w:name w:val="annotation reference"/>
    <w:semiHidden/>
    <w:qFormat/>
    <w:uiPriority w:val="0"/>
    <w:rPr>
      <w:sz w:val="21"/>
      <w:szCs w:val="21"/>
    </w:rPr>
  </w:style>
  <w:style w:type="table" w:styleId="27">
    <w:name w:val="Table Grid"/>
    <w:basedOn w:val="26"/>
    <w:qFormat/>
    <w:uiPriority w:val="59"/>
    <w:pPr>
      <w:overflowPunct w:val="0"/>
      <w:autoSpaceDE w:val="0"/>
      <w:autoSpaceDN w:val="0"/>
      <w:adjustRightInd w:val="0"/>
      <w:textAlignment w:val="baseline"/>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8">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9">
    <w:name w:val="Default Text"/>
    <w:basedOn w:val="1"/>
    <w:qFormat/>
    <w:uiPriority w:val="0"/>
    <w:pPr>
      <w:textAlignment w:val="auto"/>
    </w:pPr>
    <w:rPr>
      <w:rFonts w:ascii="Arial" w:hAnsi="Arial"/>
      <w:szCs w:val="24"/>
      <w:lang w:val="en-US"/>
    </w:rPr>
  </w:style>
  <w:style w:type="paragraph" w:customStyle="1" w:styleId="30">
    <w:name w:val="Style"/>
    <w:basedOn w:val="1"/>
    <w:qFormat/>
    <w:uiPriority w:val="0"/>
    <w:pPr>
      <w:textAlignment w:val="auto"/>
    </w:pPr>
    <w:rPr>
      <w:rFonts w:ascii="Arial" w:hAnsi="Arial"/>
      <w:szCs w:val="24"/>
      <w:lang w:val="en-US"/>
    </w:rPr>
  </w:style>
  <w:style w:type="paragraph" w:customStyle="1" w:styleId="31">
    <w:name w:val="正文1"/>
    <w:basedOn w:val="1"/>
    <w:qFormat/>
    <w:uiPriority w:val="0"/>
    <w:pPr>
      <w:textAlignment w:val="auto"/>
    </w:pPr>
    <w:rPr>
      <w:rFonts w:ascii="Arial" w:hAnsi="Arial"/>
      <w:sz w:val="20"/>
      <w:lang w:val="en-US"/>
    </w:rPr>
  </w:style>
  <w:style w:type="paragraph" w:customStyle="1" w:styleId="32">
    <w:name w:val="修订1"/>
    <w:hidden/>
    <w:semiHidden/>
    <w:qFormat/>
    <w:uiPriority w:val="99"/>
    <w:rPr>
      <w:rFonts w:ascii="Times New Roman" w:hAnsi="Times New Roman" w:eastAsia="宋体" w:cs="Times New Roman"/>
      <w:sz w:val="24"/>
      <w:lang w:eastAsia="en-US" w:bidi="ar-SA"/>
    </w:rPr>
  </w:style>
  <w:style w:type="paragraph" w:customStyle="1" w:styleId="33">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4">
    <w:name w:val="TOC 标题1"/>
    <w:basedOn w:val="2"/>
    <w:next w:val="1"/>
    <w:qFormat/>
    <w:uiPriority w:val="39"/>
    <w:pPr>
      <w:numPr>
        <w:ilvl w:val="0"/>
        <w:numId w:val="0"/>
      </w:numPr>
      <w:outlineLvl w:val="9"/>
    </w:pPr>
  </w:style>
  <w:style w:type="paragraph" w:customStyle="1" w:styleId="35">
    <w:name w:val="numbering blue"/>
    <w:basedOn w:val="1"/>
    <w:link w:val="45"/>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6">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7">
    <w:name w:val="Text"/>
    <w:basedOn w:val="1"/>
    <w:link w:val="46"/>
    <w:qFormat/>
    <w:uiPriority w:val="0"/>
    <w:pPr>
      <w:adjustRightInd/>
      <w:spacing w:before="120"/>
      <w:jc w:val="both"/>
      <w:textAlignment w:val="auto"/>
    </w:pPr>
    <w:rPr>
      <w:lang w:val="en-US"/>
    </w:rPr>
  </w:style>
  <w:style w:type="paragraph" w:customStyle="1" w:styleId="38">
    <w:name w:val="Table text"/>
    <w:basedOn w:val="1"/>
    <w:qFormat/>
    <w:uiPriority w:val="0"/>
    <w:pPr>
      <w:adjustRightInd/>
      <w:spacing w:before="120" w:after="120"/>
      <w:jc w:val="both"/>
      <w:textAlignment w:val="auto"/>
    </w:pPr>
    <w:rPr>
      <w:lang w:val="en-US"/>
    </w:rPr>
  </w:style>
  <w:style w:type="paragraph" w:customStyle="1" w:styleId="39">
    <w:name w:val="Table Paragraph"/>
    <w:basedOn w:val="1"/>
    <w:qFormat/>
    <w:uiPriority w:val="1"/>
    <w:pPr>
      <w:widowControl w:val="0"/>
      <w:adjustRightInd/>
      <w:textAlignment w:val="auto"/>
    </w:pPr>
    <w:rPr>
      <w:rFonts w:ascii="宋体" w:hAnsi="宋体" w:cs="宋体"/>
      <w:sz w:val="22"/>
      <w:szCs w:val="22"/>
      <w:lang w:val="en-US" w:bidi="en-US"/>
    </w:rPr>
  </w:style>
  <w:style w:type="character" w:customStyle="1" w:styleId="40">
    <w:name w:val="页眉 Char"/>
    <w:link w:val="16"/>
    <w:qFormat/>
    <w:uiPriority w:val="0"/>
    <w:rPr>
      <w:rFonts w:eastAsia="宋体"/>
      <w:sz w:val="24"/>
      <w:lang w:eastAsia="en-US" w:bidi="ar-SA"/>
    </w:rPr>
  </w:style>
  <w:style w:type="character" w:customStyle="1" w:styleId="41">
    <w:name w:val="批注文字 Char"/>
    <w:link w:val="7"/>
    <w:semiHidden/>
    <w:qFormat/>
    <w:uiPriority w:val="0"/>
    <w:rPr>
      <w:sz w:val="24"/>
      <w:lang w:eastAsia="en-US"/>
    </w:rPr>
  </w:style>
  <w:style w:type="character" w:customStyle="1" w:styleId="42">
    <w:name w:val="页脚 Char"/>
    <w:link w:val="15"/>
    <w:qFormat/>
    <w:uiPriority w:val="99"/>
    <w:rPr>
      <w:sz w:val="24"/>
      <w:lang w:eastAsia="en-US"/>
    </w:rPr>
  </w:style>
  <w:style w:type="character" w:customStyle="1" w:styleId="43">
    <w:name w:val="instruction standard blue"/>
    <w:qFormat/>
    <w:uiPriority w:val="1"/>
    <w:rPr>
      <w:rFonts w:cs="Arial"/>
      <w:i/>
      <w:color w:val="0070C0"/>
    </w:rPr>
  </w:style>
  <w:style w:type="character" w:customStyle="1" w:styleId="44">
    <w:name w:val="keyword"/>
    <w:basedOn w:val="21"/>
    <w:qFormat/>
    <w:uiPriority w:val="0"/>
    <w:rPr/>
  </w:style>
  <w:style w:type="character" w:customStyle="1" w:styleId="45">
    <w:name w:val="numbering blue Zchn"/>
    <w:link w:val="35"/>
    <w:qFormat/>
    <w:uiPriority w:val="0"/>
    <w:rPr>
      <w:rFonts w:ascii="Arial" w:hAnsi="Arial" w:eastAsia="PMingLiU"/>
      <w:color w:val="0070C0"/>
      <w:lang w:eastAsia="zh-TW"/>
    </w:rPr>
  </w:style>
  <w:style w:type="character" w:customStyle="1" w:styleId="46">
    <w:name w:val="Text Char"/>
    <w:link w:val="37"/>
    <w:qFormat/>
    <w:locked/>
    <w:uiPriority w:val="0"/>
    <w:rPr>
      <w:sz w:val="24"/>
      <w:lang w:eastAsia="en-US"/>
    </w:rPr>
  </w:style>
  <w:style w:type="character" w:customStyle="1" w:styleId="47">
    <w:name w:val="ordinary-span-edit2"/>
    <w:qFormat/>
    <w:uiPriority w:val="0"/>
  </w:style>
  <w:style w:type="character" w:customStyle="1" w:styleId="48">
    <w:name w:val="apple-converted-space"/>
    <w:basedOn w:val="21"/>
    <w:qFormat/>
    <w:uiPriority w:val="0"/>
    <w:rPr/>
  </w:style>
  <w:style w:type="character" w:customStyle="1" w:styleId="49">
    <w:name w:val="标题 Char"/>
    <w:link w:val="20"/>
    <w:qFormat/>
    <w:uiPriority w:val="0"/>
    <w:rPr>
      <w:rFonts w:ascii="Calibri Light" w:hAnsi="Calibri Light" w:cs="Times New Roman"/>
      <w:b/>
      <w:bCs/>
      <w:sz w:val="32"/>
      <w:szCs w:val="32"/>
      <w:lang w:eastAsia="en-US"/>
    </w:rPr>
  </w:style>
  <w:style w:type="character" w:customStyle="1" w:styleId="50">
    <w:name w:val="Footer Char"/>
    <w:basedOn w:val="21"/>
    <w:semiHidden/>
    <w:qFormat/>
    <w:locked/>
    <w:uiPriority w:val="0"/>
    <w:rPr>
      <w:rFonts w:cs="Times New Roman"/>
      <w:sz w:val="18"/>
      <w:szCs w:val="18"/>
    </w:rPr>
  </w:style>
  <w:style w:type="character" w:customStyle="1" w:styleId="51">
    <w:name w:val="尾注文本 Char"/>
    <w:basedOn w:val="21"/>
    <w:link w:val="13"/>
    <w:semiHidden/>
    <w:qFormat/>
    <w:uiPriority w:val="0"/>
    <w:rPr>
      <w:lang w:eastAsia="en-US"/>
    </w:rPr>
  </w:style>
  <w:style w:type="character" w:customStyle="1" w:styleId="52">
    <w:name w:val="正文文本 3 Char"/>
    <w:basedOn w:val="21"/>
    <w:link w:val="8"/>
    <w:qFormat/>
    <w:uiPriority w:val="0"/>
    <w:rPr>
      <w:rFonts w:hint="eastAsia" w:ascii="宋体" w:hAnsi="宋体" w:eastAsia="宋体" w:cs="宋体"/>
      <w:sz w:val="16"/>
      <w:szCs w:val="16"/>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959</Words>
  <Characters>5472</Characters>
  <Lines>45</Lines>
  <Paragraphs>12</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2020-08-24T07:31:00Z</cp:lastPrinted>
  <dcterms:modified xsi:type="dcterms:W3CDTF">2021-01-05T02:16:49Z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