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4532399"/>
      <w:bookmarkStart w:id="1" w:name="_Toc483666358"/>
      <w:bookmarkStart w:id="2" w:name="_Toc483400307"/>
      <w:bookmarkStart w:id="3" w:name="_Toc483227223"/>
      <w:bookmarkStart w:id="4" w:name="_Toc482717189"/>
    </w:p>
    <w:p>
      <w:pPr>
        <w:spacing w:after="158" w:afterLines="50"/>
        <w:jc w:val="center"/>
        <w:rPr>
          <w:b/>
          <w:szCs w:val="21"/>
          <w:lang w:eastAsia="zh-CN"/>
        </w:rPr>
      </w:pPr>
      <w:r>
        <w:rPr>
          <w:rFonts w:hint="eastAsia"/>
          <w:b/>
          <w:sz w:val="28"/>
          <w:szCs w:val="28"/>
          <w:lang w:eastAsia="zh-CN"/>
        </w:rPr>
        <w:t>金港产业园区实验动物室</w:t>
      </w:r>
      <w:r>
        <w:rPr>
          <w:rFonts w:hint="eastAsia"/>
          <w:b/>
          <w:sz w:val="28"/>
          <w:szCs w:val="28"/>
          <w:lang w:val="en-US" w:eastAsia="zh-CN"/>
        </w:rPr>
        <w:t>凝胶成像系统</w:t>
      </w:r>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31"/>
        <w:widowControl w:val="0"/>
        <w:spacing w:after="158" w:afterLines="50" w:line="240" w:lineRule="auto"/>
        <w:rPr>
          <w:sz w:val="21"/>
          <w:szCs w:val="21"/>
          <w:lang w:eastAsia="zh-CN"/>
        </w:rPr>
      </w:pPr>
    </w:p>
    <w:p>
      <w:pPr>
        <w:pStyle w:val="31"/>
        <w:widowControl w:val="0"/>
        <w:spacing w:after="158"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
    <w:p>
      <w:pPr>
        <w:pStyle w:val="16"/>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1"/>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 HYPERLINK \l "_Toc522716115" </w:instrText>
      </w:r>
      <w:r>
        <w:fldChar w:fldCharType="separate"/>
      </w:r>
      <w:r>
        <w:rPr>
          <w:rStyle w:val="21"/>
        </w:rPr>
        <w:t>1</w:t>
      </w:r>
      <w:r>
        <w:rPr>
          <w:b w:val="0"/>
          <w:bCs w:val="0"/>
          <w:caps w:val="0"/>
          <w:szCs w:val="22"/>
        </w:rPr>
        <w:tab/>
      </w:r>
      <w:r>
        <w:rPr>
          <w:rStyle w:val="21"/>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"_Toc522716116" </w:instrText>
      </w:r>
      <w:r>
        <w:fldChar w:fldCharType="separate"/>
      </w:r>
      <w:r>
        <w:rPr>
          <w:rStyle w:val="21"/>
        </w:rPr>
        <w:t>2</w:t>
      </w:r>
      <w:r>
        <w:rPr>
          <w:b w:val="0"/>
          <w:bCs w:val="0"/>
          <w:caps w:val="0"/>
          <w:szCs w:val="22"/>
        </w:rPr>
        <w:tab/>
      </w:r>
      <w:r>
        <w:rPr>
          <w:rStyle w:val="21"/>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"_Toc522716117" </w:instrText>
      </w:r>
      <w:r>
        <w:fldChar w:fldCharType="separate"/>
      </w:r>
      <w:r>
        <w:rPr>
          <w:rStyle w:val="21"/>
        </w:rPr>
        <w:t>3</w:t>
      </w:r>
      <w:r>
        <w:rPr>
          <w:b w:val="0"/>
          <w:bCs w:val="0"/>
          <w:caps w:val="0"/>
          <w:szCs w:val="22"/>
        </w:rPr>
        <w:tab/>
      </w:r>
      <w:r>
        <w:rPr>
          <w:rStyle w:val="21"/>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"_Toc522716118" </w:instrText>
      </w:r>
      <w:r>
        <w:fldChar w:fldCharType="separate"/>
      </w:r>
      <w:r>
        <w:rPr>
          <w:rStyle w:val="21"/>
        </w:rPr>
        <w:t>4</w:t>
      </w:r>
      <w:r>
        <w:rPr>
          <w:b w:val="0"/>
          <w:bCs w:val="0"/>
          <w:caps w:val="0"/>
          <w:szCs w:val="22"/>
        </w:rPr>
        <w:tab/>
      </w:r>
      <w:r>
        <w:rPr>
          <w:rStyle w:val="21"/>
          <w:rFonts w:hint="eastAsia"/>
        </w:rPr>
        <w:t>职责</w:t>
      </w:r>
      <w:r>
        <w:tab/>
      </w:r>
      <w:r>
        <w:fldChar w:fldCharType="begin"/>
      </w:r>
      <w:r>
        <w:instrText xml:space="preserve"> PAGEREF _Toc522716118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"_Toc522716119" </w:instrText>
      </w:r>
      <w:r>
        <w:fldChar w:fldCharType="separate"/>
      </w:r>
      <w:r>
        <w:rPr>
          <w:rStyle w:val="21"/>
        </w:rPr>
        <w:t>5</w:t>
      </w:r>
      <w:r>
        <w:rPr>
          <w:b w:val="0"/>
          <w:bCs w:val="0"/>
          <w:caps w:val="0"/>
          <w:szCs w:val="22"/>
        </w:rPr>
        <w:tab/>
      </w:r>
      <w:r>
        <w:rPr>
          <w:rStyle w:val="21"/>
          <w:rFonts w:hint="eastAsia"/>
        </w:rPr>
        <w:t>系统描述</w:t>
      </w:r>
      <w:r>
        <w:tab/>
      </w:r>
      <w:r>
        <w:fldChar w:fldCharType="begin"/>
      </w:r>
      <w:r>
        <w:instrText xml:space="preserve"> PAGEREF _Toc522716119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"_Toc522716120" </w:instrText>
      </w:r>
      <w:r>
        <w:fldChar w:fldCharType="separate"/>
      </w:r>
      <w:r>
        <w:rPr>
          <w:rStyle w:val="21"/>
        </w:rPr>
        <w:t>6</w:t>
      </w:r>
      <w:r>
        <w:rPr>
          <w:b w:val="0"/>
          <w:bCs w:val="0"/>
          <w:caps w:val="0"/>
          <w:szCs w:val="22"/>
        </w:rPr>
        <w:tab/>
      </w:r>
      <w:r>
        <w:rPr>
          <w:rStyle w:val="21"/>
          <w:rFonts w:hint="eastAsia"/>
        </w:rPr>
        <w:t>安装要求</w:t>
      </w:r>
      <w:r>
        <w:tab/>
      </w:r>
      <w:r>
        <w:fldChar w:fldCharType="begin"/>
      </w:r>
      <w:r>
        <w:instrText xml:space="preserve"> PAGEREF _Toc522716120 \h </w:instrText>
      </w:r>
      <w:r>
        <w:fldChar w:fldCharType="separate"/>
      </w:r>
      <w:r>
        <w:t>4</w:t>
      </w:r>
      <w:r>
        <w:fldChar w:fldCharType="end"/>
      </w:r>
      <w:r>
        <w:fldChar w:fldCharType="end"/>
      </w:r>
    </w:p>
    <w:p>
      <w:pPr>
        <w:pStyle w:val="16"/>
        <w:rPr>
          <w:b w:val="0"/>
          <w:bCs w:val="0"/>
          <w:caps w:val="0"/>
          <w:szCs w:val="22"/>
        </w:rPr>
      </w:pPr>
      <w:r>
        <w:fldChar w:fldCharType="begin"/>
      </w:r>
      <w:r>
        <w:instrText xml:space="preserve"> HYPERLINK \l "_Toc522716121" </w:instrText>
      </w:r>
      <w:r>
        <w:fldChar w:fldCharType="separate"/>
      </w:r>
      <w:r>
        <w:rPr>
          <w:rStyle w:val="21"/>
        </w:rPr>
        <w:t>7</w:t>
      </w:r>
      <w:r>
        <w:rPr>
          <w:b w:val="0"/>
          <w:bCs w:val="0"/>
          <w:caps w:val="0"/>
          <w:szCs w:val="22"/>
        </w:rPr>
        <w:tab/>
      </w:r>
      <w:r>
        <w:rPr>
          <w:rStyle w:val="21"/>
          <w:rFonts w:hint="eastAsia"/>
        </w:rPr>
        <w:t>运行要求</w:t>
      </w:r>
      <w:r>
        <w:tab/>
      </w:r>
      <w:r>
        <w:fldChar w:fldCharType="begin"/>
      </w:r>
      <w:r>
        <w:instrText xml:space="preserve"> PAGEREF _Toc522716121 \h </w:instrText>
      </w:r>
      <w:r>
        <w:fldChar w:fldCharType="separate"/>
      </w:r>
      <w:r>
        <w:t>6</w:t>
      </w:r>
      <w:r>
        <w:fldChar w:fldCharType="end"/>
      </w:r>
      <w:r>
        <w:fldChar w:fldCharType="end"/>
      </w:r>
    </w:p>
    <w:p>
      <w:pPr>
        <w:pStyle w:val="16"/>
        <w:rPr>
          <w:b w:val="0"/>
          <w:bCs w:val="0"/>
          <w:caps w:val="0"/>
          <w:szCs w:val="22"/>
        </w:rPr>
      </w:pPr>
      <w:r>
        <w:fldChar w:fldCharType="begin"/>
      </w:r>
      <w:r>
        <w:instrText xml:space="preserve"> HYPERLINK \l "_Toc522716122" </w:instrText>
      </w:r>
      <w:r>
        <w:fldChar w:fldCharType="separate"/>
      </w:r>
      <w:r>
        <w:rPr>
          <w:rStyle w:val="21"/>
        </w:rPr>
        <w:t>8</w:t>
      </w:r>
      <w:r>
        <w:rPr>
          <w:b w:val="0"/>
          <w:bCs w:val="0"/>
          <w:caps w:val="0"/>
          <w:szCs w:val="22"/>
        </w:rPr>
        <w:tab/>
      </w:r>
      <w:r>
        <w:rPr>
          <w:rStyle w:val="21"/>
          <w:rFonts w:hint="eastAsia"/>
        </w:rPr>
        <w:t>电气、自动控制要求</w:t>
      </w:r>
      <w:r>
        <w:tab/>
      </w:r>
      <w:r>
        <w:fldChar w:fldCharType="begin"/>
      </w:r>
      <w:r>
        <w:instrText xml:space="preserve"> PAGEREF _Toc522716122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"_Toc522716123" </w:instrText>
      </w:r>
      <w:r>
        <w:fldChar w:fldCharType="separate"/>
      </w:r>
      <w:r>
        <w:rPr>
          <w:rStyle w:val="21"/>
        </w:rPr>
        <w:t>9</w:t>
      </w:r>
      <w:r>
        <w:rPr>
          <w:b w:val="0"/>
          <w:bCs w:val="0"/>
          <w:caps w:val="0"/>
          <w:szCs w:val="22"/>
        </w:rPr>
        <w:tab/>
      </w:r>
      <w:r>
        <w:rPr>
          <w:rStyle w:val="21"/>
          <w:rFonts w:hint="eastAsia"/>
        </w:rPr>
        <w:t>安全要求</w:t>
      </w:r>
      <w:r>
        <w:tab/>
      </w:r>
      <w:r>
        <w:fldChar w:fldCharType="begin"/>
      </w:r>
      <w:r>
        <w:instrText xml:space="preserve"> PAGEREF _Toc522716123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"_Toc522716124" </w:instrText>
      </w:r>
      <w:r>
        <w:fldChar w:fldCharType="separate"/>
      </w:r>
      <w:r>
        <w:rPr>
          <w:rStyle w:val="21"/>
        </w:rPr>
        <w:t>10</w:t>
      </w:r>
      <w:r>
        <w:rPr>
          <w:b w:val="0"/>
          <w:bCs w:val="0"/>
          <w:caps w:val="0"/>
          <w:szCs w:val="22"/>
        </w:rPr>
        <w:tab/>
      </w:r>
      <w:r>
        <w:rPr>
          <w:rStyle w:val="21"/>
          <w:rFonts w:hint="eastAsia"/>
        </w:rPr>
        <w:t>文件要求</w:t>
      </w:r>
      <w:r>
        <w:tab/>
      </w:r>
      <w:r>
        <w:fldChar w:fldCharType="begin"/>
      </w:r>
      <w:r>
        <w:instrText xml:space="preserve"> PAGEREF _Toc522716124 \h </w:instrText>
      </w:r>
      <w:r>
        <w:fldChar w:fldCharType="separate"/>
      </w:r>
      <w:r>
        <w:t>8</w:t>
      </w:r>
      <w:r>
        <w:fldChar w:fldCharType="end"/>
      </w:r>
      <w:r>
        <w:fldChar w:fldCharType="end"/>
      </w:r>
    </w:p>
    <w:p>
      <w:pPr>
        <w:pStyle w:val="16"/>
        <w:rPr>
          <w:b w:val="0"/>
          <w:bCs w:val="0"/>
          <w:caps w:val="0"/>
          <w:szCs w:val="22"/>
        </w:rPr>
      </w:pPr>
      <w:r>
        <w:fldChar w:fldCharType="begin"/>
      </w:r>
      <w:r>
        <w:instrText xml:space="preserve"> HYPERLINK \l "_Toc522716125" </w:instrText>
      </w:r>
      <w:r>
        <w:fldChar w:fldCharType="separate"/>
      </w:r>
      <w:r>
        <w:rPr>
          <w:rStyle w:val="21"/>
        </w:rPr>
        <w:t>11</w:t>
      </w:r>
      <w:r>
        <w:rPr>
          <w:b w:val="0"/>
          <w:bCs w:val="0"/>
          <w:caps w:val="0"/>
          <w:szCs w:val="22"/>
        </w:rPr>
        <w:tab/>
      </w:r>
      <w:r>
        <w:rPr>
          <w:rStyle w:val="21"/>
          <w:rFonts w:hint="eastAsia"/>
        </w:rPr>
        <w:t>服务要求</w:t>
      </w:r>
      <w:r>
        <w:tab/>
      </w:r>
      <w:r>
        <w:fldChar w:fldCharType="begin"/>
      </w:r>
      <w:r>
        <w:instrText xml:space="preserve"> PAGEREF _Toc522716125 \h </w:instrText>
      </w:r>
      <w:r>
        <w:fldChar w:fldCharType="separate"/>
      </w:r>
      <w:r>
        <w:t>10</w:t>
      </w:r>
      <w:r>
        <w:fldChar w:fldCharType="end"/>
      </w:r>
      <w:r>
        <w:fldChar w:fldCharType="end"/>
      </w:r>
    </w:p>
    <w:p>
      <w:pPr>
        <w:pStyle w:val="16"/>
        <w:rPr>
          <w:b w:val="0"/>
          <w:bCs w:val="0"/>
          <w:caps w:val="0"/>
          <w:szCs w:val="22"/>
        </w:rPr>
      </w:pPr>
      <w:r>
        <w:fldChar w:fldCharType="begin"/>
      </w:r>
      <w:r>
        <w:instrText xml:space="preserve"> HYPERLINK \l "_Toc522716126" </w:instrText>
      </w:r>
      <w:r>
        <w:fldChar w:fldCharType="separate"/>
      </w:r>
      <w:r>
        <w:rPr>
          <w:rStyle w:val="21"/>
        </w:rPr>
        <w:t>12</w:t>
      </w:r>
      <w:r>
        <w:rPr>
          <w:b w:val="0"/>
          <w:bCs w:val="0"/>
          <w:caps w:val="0"/>
          <w:szCs w:val="22"/>
        </w:rPr>
        <w:tab/>
      </w:r>
      <w:r>
        <w:rPr>
          <w:rStyle w:val="21"/>
          <w:rFonts w:hint="eastAsia"/>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
    <w:p>
      <w:pPr>
        <w:rPr>
          <w:b/>
          <w:bCs/>
          <w:caps/>
          <w:kern w:val="2"/>
          <w:szCs w:val="21"/>
          <w:lang w:eastAsia="zh-CN"/>
        </w:rPr>
      </w:pPr>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5" w:name="_Toc522716115"/>
      <w:bookmarkStart w:id="6" w:name="_Toc522107735"/>
      <w:r>
        <w:rPr>
          <w:rFonts w:hint="eastAsia" w:ascii="Times New Roman" w:hAnsi="Times New Roman"/>
          <w:b/>
        </w:rPr>
        <w:t>目的</w:t>
      </w:r>
      <w:bookmarkEnd w:id="5"/>
      <w:bookmarkEnd w:id="6"/>
    </w:p>
    <w:p>
      <w:pPr>
        <w:pStyle w:val="34"/>
        <w:spacing w:before="0" w:line="360" w:lineRule="auto"/>
        <w:ind w:left="357"/>
        <w:jc w:val="left"/>
        <w:rPr>
          <w:szCs w:val="21"/>
          <w:lang w:eastAsia="zh-CN"/>
        </w:rPr>
      </w:pPr>
      <w:bookmarkStart w:id="7" w:name="_Toc482360281"/>
      <w:bookmarkStart w:id="8" w:name="_Toc482370757"/>
      <w:bookmarkStart w:id="9" w:name="_Toc482370061"/>
      <w:bookmarkStart w:id="10" w:name="_Toc481702475"/>
      <w:bookmarkStart w:id="11" w:name="_Toc482625279"/>
      <w:bookmarkStart w:id="12" w:name="_Toc482369805"/>
      <w:bookmarkStart w:id="13" w:name="_Toc482370141"/>
      <w:bookmarkStart w:id="14" w:name="_Toc482370349"/>
      <w:bookmarkStart w:id="15" w:name="_Toc482359936"/>
      <w:r>
        <w:rPr>
          <w:rFonts w:hint="eastAsia"/>
          <w:szCs w:val="21"/>
          <w:lang w:eastAsia="zh-CN"/>
        </w:rPr>
        <w:t>本文件的目的是描述武汉生物制品研究所有限责任公司金港产业园区实验动物室凝胶成像系统的用户需求说明（</w:t>
      </w:r>
      <w:r>
        <w:rPr>
          <w:szCs w:val="21"/>
          <w:lang w:eastAsia="zh-CN"/>
        </w:rPr>
        <w:t>URS</w:t>
      </w:r>
      <w:r>
        <w:rPr>
          <w:rFonts w:hint="eastAsia"/>
          <w:szCs w:val="21"/>
          <w:lang w:eastAsia="zh-CN"/>
        </w:rPr>
        <w:t>），以确保最终用户的需求在项目设计阶段得以实现，并作为后续验证工作的基础。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hint="eastAsia" w:ascii="Times New Roman" w:hAnsi="Times New Roman"/>
          <w:b/>
        </w:rPr>
        <w:t>范围</w:t>
      </w:r>
      <w:bookmarkEnd w:id="16"/>
      <w:bookmarkEnd w:id="17"/>
    </w:p>
    <w:p>
      <w:pPr>
        <w:pStyle w:val="34"/>
        <w:spacing w:before="0" w:line="360" w:lineRule="auto"/>
        <w:ind w:left="357"/>
        <w:jc w:val="left"/>
        <w:rPr>
          <w:szCs w:val="21"/>
          <w:lang w:eastAsia="zh-CN"/>
        </w:rPr>
      </w:pPr>
      <w:r>
        <w:rPr>
          <w:rFonts w:hint="eastAsia"/>
          <w:szCs w:val="21"/>
          <w:lang w:eastAsia="zh-CN"/>
        </w:rPr>
        <w:t>本</w:t>
      </w:r>
      <w:r>
        <w:rPr>
          <w:szCs w:val="21"/>
          <w:lang w:eastAsia="zh-CN"/>
        </w:rPr>
        <w:t>URS</w:t>
      </w:r>
      <w:r>
        <w:rPr>
          <w:rFonts w:hint="eastAsia"/>
          <w:szCs w:val="21"/>
          <w:lang w:eastAsia="zh-CN"/>
        </w:rPr>
        <w:t>适用于武汉生物制品研究所有限责任公司</w:t>
      </w:r>
      <w:bookmarkEnd w:id="7"/>
      <w:bookmarkEnd w:id="8"/>
      <w:bookmarkEnd w:id="9"/>
      <w:bookmarkEnd w:id="10"/>
      <w:bookmarkEnd w:id="11"/>
      <w:bookmarkEnd w:id="12"/>
      <w:bookmarkEnd w:id="13"/>
      <w:bookmarkEnd w:id="14"/>
      <w:bookmarkEnd w:id="15"/>
      <w:r>
        <w:rPr>
          <w:rFonts w:hint="eastAsia"/>
          <w:szCs w:val="21"/>
          <w:lang w:eastAsia="zh-CN"/>
        </w:rPr>
        <w:t>金港产业园区实验动物室凝胶成像系统。</w:t>
      </w:r>
    </w:p>
    <w:p>
      <w:pPr>
        <w:pStyle w:val="30"/>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hint="eastAsia"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w:t>
      </w:r>
      <w:r>
        <w:rPr>
          <w:rFonts w:hint="eastAsia"/>
          <w:color w:val="000000"/>
          <w:szCs w:val="21"/>
          <w:lang w:eastAsia="zh-CN"/>
        </w:rPr>
        <w:t>法规指南和</w:t>
      </w:r>
      <w:r>
        <w:rPr>
          <w:color w:val="000000"/>
          <w:szCs w:val="21"/>
          <w:lang w:eastAsia="zh-CN"/>
        </w:rPr>
        <w:t>SOP</w:t>
      </w:r>
    </w:p>
    <w:p>
      <w:pPr>
        <w:pStyle w:val="34"/>
        <w:numPr>
          <w:ilvl w:val="0"/>
          <w:numId w:val="5"/>
        </w:numPr>
        <w:spacing w:before="0" w:line="360" w:lineRule="auto"/>
        <w:ind w:left="777"/>
        <w:jc w:val="left"/>
        <w:rPr>
          <w:color w:val="4472C4"/>
          <w:szCs w:val="21"/>
          <w:lang w:eastAsia="zh-CN"/>
        </w:rPr>
      </w:pPr>
      <w:r>
        <w:rPr>
          <w:color w:val="000000"/>
          <w:szCs w:val="21"/>
          <w:lang w:eastAsia="zh-CN"/>
        </w:rPr>
        <w:t xml:space="preserve">SOP-06-12-0005 </w:t>
      </w:r>
      <w:r>
        <w:rPr>
          <w:rFonts w:hint="eastAsia"/>
          <w:color w:val="000000"/>
          <w:szCs w:val="21"/>
          <w:lang w:eastAsia="zh-CN"/>
        </w:rPr>
        <w:t>用户需求编写审批</w:t>
      </w:r>
      <w:r>
        <w:rPr>
          <w:color w:val="000000"/>
          <w:szCs w:val="21"/>
          <w:lang w:eastAsia="zh-CN"/>
        </w:rPr>
        <w:t>SOP</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w:t>
      </w:r>
      <w:r>
        <w:rPr>
          <w:rFonts w:hint="eastAsia"/>
          <w:iCs/>
          <w:szCs w:val="21"/>
          <w:lang w:eastAsia="zh-CN"/>
        </w:rPr>
        <w:t>中华人民共和国药典</w:t>
      </w:r>
      <w:r>
        <w:rPr>
          <w:rFonts w:hint="eastAsia"/>
          <w:iCs/>
          <w:szCs w:val="21"/>
          <w:lang w:val="zh-CN" w:eastAsia="zh-CN"/>
        </w:rPr>
        <w:t>》</w:t>
      </w:r>
      <w:r>
        <w:rPr>
          <w:iCs/>
          <w:szCs w:val="21"/>
          <w:lang w:val="zh-CN" w:eastAsia="zh-CN"/>
        </w:rPr>
        <w:t xml:space="preserve"> 2020</w:t>
      </w:r>
      <w:r>
        <w:rPr>
          <w:rFonts w:hint="eastAsia"/>
          <w:iCs/>
          <w:szCs w:val="21"/>
          <w:lang w:val="zh-CN" w:eastAsia="zh-CN"/>
        </w:rPr>
        <w:t>年版</w:t>
      </w:r>
    </w:p>
    <w:p>
      <w:pPr>
        <w:pStyle w:val="34"/>
        <w:numPr>
          <w:ilvl w:val="0"/>
          <w:numId w:val="5"/>
        </w:numPr>
        <w:spacing w:before="0" w:line="360" w:lineRule="auto"/>
        <w:ind w:left="777"/>
        <w:jc w:val="left"/>
        <w:rPr>
          <w:iCs/>
          <w:szCs w:val="21"/>
          <w:lang w:val="zh-CN" w:eastAsia="zh-CN"/>
        </w:rPr>
      </w:pPr>
      <w:r>
        <w:rPr>
          <w:rFonts w:hint="eastAsia"/>
          <w:iCs/>
          <w:szCs w:val="21"/>
          <w:lang w:val="zh-CN" w:eastAsia="zh-CN"/>
        </w:rPr>
        <w:t>《药品生产质量管理规范》（</w:t>
      </w:r>
      <w:r>
        <w:rPr>
          <w:iCs/>
          <w:szCs w:val="21"/>
          <w:lang w:val="zh-CN" w:eastAsia="zh-CN"/>
        </w:rPr>
        <w:t>2010</w:t>
      </w:r>
      <w:r>
        <w:rPr>
          <w:rFonts w:hint="eastAsia"/>
          <w:iCs/>
          <w:szCs w:val="21"/>
          <w:lang w:val="zh-CN" w:eastAsia="zh-CN"/>
        </w:rPr>
        <w:t>修订版）</w:t>
      </w:r>
    </w:p>
    <w:p>
      <w:pPr>
        <w:pStyle w:val="34"/>
        <w:numPr>
          <w:ilvl w:val="0"/>
          <w:numId w:val="4"/>
        </w:numPr>
        <w:spacing w:before="0" w:line="360" w:lineRule="auto"/>
        <w:jc w:val="left"/>
        <w:rPr>
          <w:color w:val="000000"/>
          <w:szCs w:val="21"/>
          <w:lang w:eastAsia="zh-CN"/>
        </w:rPr>
      </w:pPr>
      <w:r>
        <w:rPr>
          <w:rFonts w:hint="eastAsia"/>
          <w:color w:val="000000"/>
          <w:szCs w:val="21"/>
          <w:lang w:eastAsia="zh-CN"/>
        </w:rPr>
        <w:t>安全及环保法规指南</w:t>
      </w:r>
    </w:p>
    <w:p>
      <w:pPr>
        <w:pStyle w:val="34"/>
        <w:numPr>
          <w:ilvl w:val="0"/>
          <w:numId w:val="5"/>
        </w:numPr>
        <w:spacing w:before="0" w:line="360" w:lineRule="auto"/>
        <w:ind w:left="777"/>
        <w:jc w:val="left"/>
        <w:rPr>
          <w:szCs w:val="21"/>
          <w:lang w:eastAsia="zh-CN"/>
        </w:rPr>
      </w:pPr>
      <w:r>
        <w:rPr>
          <w:rFonts w:hint="eastAsia"/>
          <w:color w:val="000000"/>
          <w:szCs w:val="21"/>
          <w:lang w:eastAsia="zh-CN"/>
        </w:rPr>
        <w:t>电气安全应符合</w:t>
      </w:r>
      <w:r>
        <w:rPr>
          <w:color w:val="000000"/>
          <w:szCs w:val="21"/>
          <w:lang w:eastAsia="zh-CN"/>
        </w:rPr>
        <w:t>GB4793.1</w:t>
      </w:r>
      <w:r>
        <w:rPr>
          <w:rFonts w:hint="eastAsia"/>
          <w:color w:val="000000"/>
          <w:szCs w:val="21"/>
          <w:lang w:eastAsia="zh-CN"/>
        </w:rPr>
        <w:t>和</w:t>
      </w:r>
      <w:r>
        <w:rPr>
          <w:color w:val="000000"/>
          <w:szCs w:val="21"/>
          <w:lang w:eastAsia="zh-CN"/>
        </w:rPr>
        <w:t>GB4793.4</w:t>
      </w:r>
      <w:r>
        <w:rPr>
          <w:rFonts w:hint="eastAsia"/>
          <w:color w:val="000000"/>
          <w:szCs w:val="21"/>
          <w:lang w:eastAsia="zh-CN"/>
        </w:rPr>
        <w:t>的要求。</w:t>
      </w:r>
      <w:bookmarkStart w:id="47" w:name="_GoBack"/>
      <w:bookmarkEnd w:id="47"/>
    </w:p>
    <w:p>
      <w:pPr>
        <w:pStyle w:val="30"/>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hint="eastAsia" w:ascii="Times New Roman" w:hAnsi="Times New Roman"/>
          <w:b/>
        </w:rPr>
        <w:t>系统描述</w:t>
      </w:r>
      <w:bookmarkEnd w:id="20"/>
      <w:bookmarkEnd w:id="21"/>
      <w:bookmarkStart w:id="22" w:name="_Toc522716120"/>
    </w:p>
    <w:p>
      <w:pPr>
        <w:pStyle w:val="30"/>
        <w:spacing w:after="158" w:afterLines="50"/>
        <w:ind w:left="485" w:firstLine="0" w:firstLineChars="0"/>
        <w:outlineLvl w:val="0"/>
        <w:rPr>
          <w:rFonts w:ascii="Times New Roman" w:hAnsi="Times New Roman"/>
          <w:b/>
          <w:szCs w:val="21"/>
        </w:rPr>
      </w:pPr>
      <w:r>
        <w:rPr>
          <w:rFonts w:hint="eastAsia" w:ascii="Times New Roman" w:hAnsi="Times New Roman"/>
          <w:bCs/>
          <w:szCs w:val="21"/>
        </w:rPr>
        <w:t>金港产业园区</w:t>
      </w:r>
      <w:r>
        <w:rPr>
          <w:rFonts w:hint="eastAsia" w:ascii="宋体" w:hAnsi="宋体"/>
          <w:color w:val="000000"/>
          <w:szCs w:val="21"/>
        </w:rPr>
        <w:t>实验动物室实验动物质量检测间需购买1台凝胶成像系统，主要用于实验动物PCR检测。</w:t>
      </w:r>
    </w:p>
    <w:p>
      <w:pPr>
        <w:pStyle w:val="30"/>
        <w:numPr>
          <w:ilvl w:val="0"/>
          <w:numId w:val="3"/>
        </w:numPr>
        <w:spacing w:after="158" w:afterLines="50"/>
        <w:ind w:left="426" w:hanging="426" w:hangingChars="202"/>
        <w:outlineLvl w:val="0"/>
        <w:rPr>
          <w:rFonts w:ascii="Times New Roman" w:hAnsi="Times New Roman"/>
          <w:b/>
          <w:szCs w:val="21"/>
        </w:rPr>
      </w:pPr>
      <w:r>
        <w:rPr>
          <w:rFonts w:hint="eastAsia"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iCs/>
                <w:szCs w:val="21"/>
                <w:lang w:eastAsia="zh-CN"/>
              </w:rPr>
            </w:pPr>
            <w:r>
              <w:rPr>
                <w:rFonts w:hint="eastAsia" w:ascii="宋体" w:hAnsi="宋体"/>
                <w:color w:val="000000"/>
                <w:szCs w:val="21"/>
                <w:lang w:val="en-US" w:eastAsia="zh-CN"/>
              </w:rPr>
              <w:t>凝胶成像系统</w:t>
            </w:r>
            <w:r>
              <w:rPr>
                <w:rFonts w:hint="eastAsia"/>
                <w:iCs/>
                <w:szCs w:val="21"/>
                <w:lang w:eastAsia="zh-CN"/>
              </w:rPr>
              <w:t>到货后放在金港产业园区实验动物室实验动物质量检测间</w:t>
            </w:r>
          </w:p>
        </w:tc>
        <w:tc>
          <w:tcPr>
            <w:tcW w:w="2125" w:type="dxa"/>
            <w:vAlign w:val="center"/>
          </w:tcPr>
          <w:p>
            <w:pPr>
              <w:jc w:val="both"/>
              <w:rPr>
                <w:i/>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长*宽≤400*400mm，</w:t>
            </w:r>
            <w:r>
              <w:rPr>
                <w:rFonts w:hint="eastAsia"/>
                <w:szCs w:val="21"/>
                <w:lang w:eastAsia="zh-CN"/>
              </w:rPr>
              <w:t>设备的形式尺寸应符合制造商说明书及技术文件规定的要求。</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供应商必须给出设备选型方案及相应附件选型方案，并交给我公司实验动物室及工程类部门审核。</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N/A</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
        </w:tc>
        <w:tc>
          <w:tcPr>
            <w:tcW w:w="9253" w:type="dxa"/>
            <w:gridSpan w:val="2"/>
            <w:vAlign w:val="center"/>
          </w:tcPr>
          <w:p>
            <w:pPr>
              <w:jc w:val="both"/>
              <w:rPr>
                <w:szCs w:val="21"/>
                <w:lang w:eastAsia="zh-CN"/>
              </w:rPr>
            </w:pPr>
            <w:r>
              <w:rPr>
                <w:szCs w:val="21"/>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szCs w:val="22"/>
                <w:lang w:eastAsia="zh-CN"/>
              </w:rPr>
              <w:t>适用于我公司工作环境温度：</w:t>
            </w:r>
            <w:r>
              <w:rPr>
                <w:color w:val="000000"/>
                <w:szCs w:val="22"/>
                <w:lang w:val="en-US" w:eastAsia="zh-CN"/>
              </w:rPr>
              <w:t>0-40</w:t>
            </w:r>
            <w:r>
              <w:rPr>
                <w:rFonts w:hint="eastAsia"/>
                <w:color w:val="000000"/>
                <w:szCs w:val="22"/>
                <w:lang w:val="en-US"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color w:val="000000"/>
                <w:lang w:eastAsia="zh-CN"/>
              </w:rPr>
              <w:t>适用于我公司工作环境湿度：</w:t>
            </w:r>
            <w:r>
              <w:rPr>
                <w:color w:val="000000"/>
                <w:lang w:val="en-US" w:eastAsia="zh-CN"/>
              </w:rPr>
              <w:t>0-80%</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lang w:eastAsia="zh-CN"/>
              </w:rPr>
            </w:pPr>
            <w:r>
              <w:rPr>
                <w:rFonts w:hint="eastAsia"/>
                <w:color w:val="000000"/>
                <w:lang w:eastAsia="zh-CN"/>
              </w:rPr>
              <w:t>适用于我公司工作环境洁净级别：普通区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0000"/>
                <w:szCs w:val="22"/>
                <w:lang w:eastAsia="zh-CN"/>
              </w:rPr>
            </w:pPr>
            <w:r>
              <w:rPr>
                <w:rFonts w:hint="eastAsia"/>
                <w:color w:val="000000"/>
                <w:szCs w:val="22"/>
                <w:lang w:eastAsia="zh-CN"/>
              </w:rPr>
              <w:t>适用于我公司交流电电源供电：～</w:t>
            </w:r>
            <w:r>
              <w:rPr>
                <w:color w:val="000000"/>
                <w:szCs w:val="22"/>
                <w:lang w:eastAsia="zh-CN"/>
              </w:rPr>
              <w:t>220</w:t>
            </w:r>
            <w:r>
              <w:rPr>
                <w:rFonts w:hint="eastAsia"/>
                <w:color w:val="000000"/>
                <w:szCs w:val="22"/>
                <w:lang w:eastAsia="zh-CN"/>
              </w:rPr>
              <w:t>±</w:t>
            </w:r>
            <w:r>
              <w:rPr>
                <w:color w:val="000000"/>
                <w:szCs w:val="22"/>
                <w:lang w:eastAsia="zh-CN"/>
              </w:rPr>
              <w:t>10%V</w:t>
            </w:r>
            <w:r>
              <w:rPr>
                <w:rFonts w:hint="eastAsia"/>
                <w:color w:val="000000"/>
                <w:szCs w:val="22"/>
                <w:lang w:eastAsia="zh-CN"/>
              </w:rPr>
              <w:t>，</w:t>
            </w:r>
            <w:r>
              <w:rPr>
                <w:color w:val="000000"/>
                <w:szCs w:val="22"/>
                <w:lang w:eastAsia="zh-CN"/>
              </w:rPr>
              <w:t>50</w:t>
            </w:r>
            <w:r>
              <w:rPr>
                <w:rFonts w:hint="eastAsia"/>
                <w:color w:val="000000"/>
                <w:szCs w:val="22"/>
                <w:lang w:eastAsia="zh-CN"/>
              </w:rPr>
              <w:t>±</w:t>
            </w:r>
            <w:r>
              <w:rPr>
                <w:color w:val="000000"/>
                <w:szCs w:val="22"/>
                <w:lang w:eastAsia="zh-CN"/>
              </w:rPr>
              <w:t xml:space="preserve">1Hz </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lang w:val="en-US" w:eastAsia="zh-CN"/>
              </w:rPr>
            </w:pPr>
            <w:r>
              <w:rPr>
                <w:rFonts w:hint="eastAsia" w:ascii="宋体" w:hAnsi="宋体"/>
                <w:lang w:eastAsia="zh-CN"/>
              </w:rPr>
              <w:t>表面无明显的划痕、凹陷、脱落、裂纹、锈蚀、以及其它肉眼可见的外观缺陷，易清洗。</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szCs w:val="21"/>
                <w:lang w:val="en-US" w:eastAsia="zh-CN"/>
              </w:rPr>
              <w:t>标识：至少应有以下永久贴牢和清楚易认的标识：</w:t>
            </w:r>
            <w:r>
              <w:rPr>
                <w:szCs w:val="21"/>
                <w:lang w:val="en-US" w:eastAsia="zh-CN"/>
              </w:rPr>
              <w:t xml:space="preserve"> </w:t>
            </w:r>
          </w:p>
          <w:p>
            <w:pPr>
              <w:spacing w:line="276" w:lineRule="auto"/>
              <w:jc w:val="both"/>
              <w:rPr>
                <w:szCs w:val="21"/>
                <w:lang w:val="en-US" w:eastAsia="zh-CN"/>
              </w:rPr>
            </w:pPr>
            <w:r>
              <w:rPr>
                <w:rFonts w:hint="eastAsia"/>
                <w:szCs w:val="21"/>
                <w:lang w:val="en-US" w:eastAsia="zh-CN"/>
              </w:rPr>
              <w:t>（</w:t>
            </w:r>
            <w:r>
              <w:rPr>
                <w:szCs w:val="21"/>
                <w:lang w:val="en-US" w:eastAsia="zh-CN"/>
              </w:rPr>
              <w:t>1</w:t>
            </w:r>
            <w:r>
              <w:rPr>
                <w:rFonts w:hint="eastAsia"/>
                <w:szCs w:val="21"/>
                <w:lang w:val="en-US" w:eastAsia="zh-CN"/>
              </w:rPr>
              <w:t>）制造</w:t>
            </w:r>
            <w:r>
              <w:rPr>
                <w:szCs w:val="21"/>
                <w:lang w:val="en-US" w:eastAsia="zh-CN"/>
              </w:rPr>
              <w:t>/</w:t>
            </w:r>
            <w:r>
              <w:rPr>
                <w:rFonts w:hint="eastAsia"/>
                <w:szCs w:val="21"/>
                <w:lang w:val="en-US" w:eastAsia="zh-CN"/>
              </w:rPr>
              <w:t>供应单位；</w:t>
            </w:r>
          </w:p>
          <w:p>
            <w:pPr>
              <w:spacing w:line="276" w:lineRule="auto"/>
              <w:jc w:val="both"/>
              <w:rPr>
                <w:szCs w:val="21"/>
                <w:lang w:val="en-US" w:eastAsia="zh-CN"/>
              </w:rPr>
            </w:pPr>
            <w:r>
              <w:rPr>
                <w:rFonts w:hint="eastAsia"/>
                <w:szCs w:val="21"/>
                <w:lang w:val="en-US" w:eastAsia="zh-CN"/>
              </w:rPr>
              <w:t>（</w:t>
            </w:r>
            <w:r>
              <w:rPr>
                <w:szCs w:val="21"/>
                <w:lang w:val="en-US" w:eastAsia="zh-CN"/>
              </w:rPr>
              <w:t>2</w:t>
            </w:r>
            <w:r>
              <w:rPr>
                <w:rFonts w:hint="eastAsia"/>
                <w:szCs w:val="21"/>
                <w:lang w:val="en-US" w:eastAsia="zh-CN"/>
              </w:rPr>
              <w:t>）产品注册号；</w:t>
            </w:r>
          </w:p>
          <w:p>
            <w:pPr>
              <w:spacing w:line="276" w:lineRule="auto"/>
              <w:jc w:val="both"/>
              <w:rPr>
                <w:szCs w:val="21"/>
                <w:lang w:val="en-US" w:eastAsia="zh-CN"/>
              </w:rPr>
            </w:pPr>
            <w:r>
              <w:rPr>
                <w:rFonts w:hint="eastAsia"/>
                <w:szCs w:val="21"/>
                <w:lang w:val="en-US" w:eastAsia="zh-CN"/>
              </w:rPr>
              <w:t>（</w:t>
            </w:r>
            <w:r>
              <w:rPr>
                <w:szCs w:val="21"/>
                <w:lang w:val="en-US" w:eastAsia="zh-CN"/>
              </w:rPr>
              <w:t>3</w:t>
            </w:r>
            <w:r>
              <w:rPr>
                <w:rFonts w:hint="eastAsia"/>
                <w:szCs w:val="21"/>
                <w:lang w:val="en-US" w:eastAsia="zh-CN"/>
              </w:rPr>
              <w:t>）型号；</w:t>
            </w:r>
          </w:p>
          <w:p>
            <w:pPr>
              <w:spacing w:line="276" w:lineRule="auto"/>
              <w:jc w:val="both"/>
              <w:rPr>
                <w:szCs w:val="21"/>
                <w:lang w:val="en-US" w:eastAsia="zh-CN"/>
              </w:rPr>
            </w:pPr>
            <w:r>
              <w:rPr>
                <w:rFonts w:hint="eastAsia"/>
                <w:szCs w:val="21"/>
                <w:lang w:val="en-US" w:eastAsia="zh-CN"/>
              </w:rPr>
              <w:t>（</w:t>
            </w:r>
            <w:r>
              <w:rPr>
                <w:szCs w:val="21"/>
                <w:lang w:val="en-US" w:eastAsia="zh-CN"/>
              </w:rPr>
              <w:t>4</w:t>
            </w:r>
            <w:r>
              <w:rPr>
                <w:rFonts w:hint="eastAsia"/>
                <w:szCs w:val="21"/>
                <w:lang w:val="en-US" w:eastAsia="zh-CN"/>
              </w:rPr>
              <w:t>）生产日期或编号；</w:t>
            </w:r>
          </w:p>
          <w:p>
            <w:pPr>
              <w:spacing w:line="276" w:lineRule="auto"/>
              <w:jc w:val="both"/>
              <w:rPr>
                <w:szCs w:val="21"/>
                <w:lang w:val="en-US" w:eastAsia="zh-CN"/>
              </w:rPr>
            </w:pPr>
            <w:r>
              <w:rPr>
                <w:rFonts w:hint="eastAsia"/>
                <w:szCs w:val="21"/>
                <w:lang w:val="en-US" w:eastAsia="zh-CN"/>
              </w:rPr>
              <w:t>（</w:t>
            </w:r>
            <w:r>
              <w:rPr>
                <w:szCs w:val="21"/>
                <w:lang w:val="en-US" w:eastAsia="zh-CN"/>
              </w:rPr>
              <w:t>5</w:t>
            </w:r>
            <w:r>
              <w:rPr>
                <w:rFonts w:hint="eastAsia"/>
                <w:szCs w:val="21"/>
                <w:lang w:val="en-US" w:eastAsia="zh-CN"/>
              </w:rPr>
              <w:t>）对设备必要的说明；</w:t>
            </w:r>
          </w:p>
          <w:p>
            <w:pPr>
              <w:spacing w:line="276" w:lineRule="auto"/>
              <w:jc w:val="both"/>
              <w:rPr>
                <w:color w:val="0070C0"/>
                <w:szCs w:val="21"/>
                <w:lang w:eastAsia="zh-CN"/>
              </w:rPr>
            </w:pPr>
            <w:r>
              <w:rPr>
                <w:rFonts w:hint="eastAsia"/>
                <w:szCs w:val="21"/>
                <w:lang w:val="en-US" w:eastAsia="zh-CN"/>
              </w:rPr>
              <w:t>（</w:t>
            </w:r>
            <w:r>
              <w:rPr>
                <w:szCs w:val="21"/>
                <w:lang w:val="en-US" w:eastAsia="zh-CN"/>
              </w:rPr>
              <w:t>6</w:t>
            </w:r>
            <w:r>
              <w:rPr>
                <w:rFonts w:hint="eastAsia"/>
                <w:szCs w:val="21"/>
                <w:lang w:val="en-US" w:eastAsia="zh-CN"/>
              </w:rPr>
              <w:t>）安全标识。</w:t>
            </w:r>
          </w:p>
        </w:tc>
        <w:tc>
          <w:tcPr>
            <w:tcW w:w="2125" w:type="dxa"/>
            <w:vAlign w:val="center"/>
          </w:tcPr>
          <w:p>
            <w:pPr>
              <w:jc w:val="both"/>
              <w:rPr>
                <w:szCs w:val="21"/>
                <w:lang w:eastAsia="zh-CN"/>
              </w:rPr>
            </w:pPr>
            <w:r>
              <w:rPr>
                <w:rFonts w:hint="eastAsia"/>
                <w:szCs w:val="21"/>
                <w:lang w:eastAsia="zh-CN"/>
              </w:rPr>
              <w:t>关键</w:t>
            </w:r>
          </w:p>
        </w:tc>
      </w:tr>
      <w:bookmarkEnd w:id="23"/>
      <w:bookmarkEnd w:id="24"/>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hint="eastAsia" w:ascii="Times New Roman" w:hAnsi="Times New Roman"/>
          <w:b/>
        </w:rPr>
        <w:t>运行要求</w:t>
      </w:r>
      <w:bookmarkEnd w:id="25"/>
      <w:bookmarkEnd w:id="26"/>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szCs w:val="21"/>
                <w:lang w:eastAsia="zh-CN"/>
              </w:rPr>
              <w:t>N/A</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50" w:lineRule="atLeast"/>
              <w:rPr>
                <w:sz w:val="18"/>
                <w:szCs w:val="18"/>
                <w:lang w:eastAsia="zh-CN"/>
              </w:rPr>
            </w:pPr>
            <w:r>
              <w:rPr>
                <w:szCs w:val="21"/>
                <w:lang w:eastAsia="zh-CN"/>
              </w:rPr>
              <w:t>N/A</w:t>
            </w:r>
          </w:p>
          <w:p>
            <w:pPr>
              <w:jc w:val="center"/>
              <w:rPr>
                <w:szCs w:val="21"/>
                <w:lang w:eastAsia="zh-CN"/>
              </w:rPr>
            </w:pP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i/>
                <w:sz w:val="21"/>
                <w:szCs w:val="21"/>
                <w:lang w:val="en-US" w:eastAsia="zh-CN"/>
              </w:rPr>
            </w:pPr>
            <w:r>
              <w:rPr>
                <w:rFonts w:hint="eastAsia" w:ascii="宋体" w:hAnsi="宋体" w:eastAsia="宋体" w:cs="宋体"/>
                <w:sz w:val="21"/>
                <w:szCs w:val="21"/>
              </w:rPr>
              <w:t>具备成像功能：不透光样品如照片、纸张、杂交膜等；荧光样品如EB染色的DNA凝胶、SYBR Safe荧光染色DNA凝胶、Radiant Red荧光染色的RNA凝胶等；各种染色的蛋白质凝胶如考染、银染、SYPRO Ruby或Oriole荧光染色等</w:t>
            </w:r>
          </w:p>
        </w:tc>
        <w:tc>
          <w:tcPr>
            <w:tcW w:w="2125" w:type="dxa"/>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rPr>
              <w:t>具有Stain-Free免染成像功能</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rPr>
              <w:t xml:space="preserve"> Camera分辨率不小于630万像素</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9.7英寸触摸屏控制，支持多点触控功能</w:t>
            </w:r>
          </w:p>
        </w:tc>
        <w:tc>
          <w:tcPr>
            <w:tcW w:w="2125" w:type="dxa"/>
            <w:vAlign w:val="center"/>
          </w:tcPr>
          <w:p>
            <w:pPr>
              <w:jc w:val="both"/>
              <w:rPr>
                <w:rFonts w:hint="eastAsia" w:ascii="宋体" w:hAnsi="宋体" w:eastAsia="宋体" w:cs="宋体"/>
                <w:sz w:val="21"/>
                <w:szCs w:val="21"/>
                <w:lang w:val="en-US"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全缩放设置范围内的预校准自动聚焦</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自动优化曝光功能，具有快速和优化两种自动曝光算法</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r>
              <w:rPr>
                <w:rFonts w:hint="eastAsia" w:ascii="宋体" w:hAnsi="宋体" w:eastAsia="宋体" w:cs="宋体"/>
                <w:sz w:val="21"/>
                <w:szCs w:val="21"/>
              </w:rPr>
              <w:t>灰</w:t>
            </w: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灰度值：65536</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r>
              <w:rPr>
                <w:rFonts w:hint="eastAsia" w:ascii="宋体" w:hAnsi="宋体" w:eastAsia="宋体" w:cs="宋体"/>
                <w:sz w:val="21"/>
                <w:szCs w:val="21"/>
              </w:rPr>
              <w:t>动</w:t>
            </w: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动态范围：3.5OD</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rPr>
            </w:pPr>
            <w:r>
              <w:rPr>
                <w:rFonts w:hint="eastAsia" w:ascii="宋体" w:hAnsi="宋体" w:eastAsia="宋体" w:cs="宋体"/>
                <w:sz w:val="21"/>
                <w:szCs w:val="21"/>
              </w:rPr>
              <w:t>成像灵敏度不低于：0.1ngEB染色的DNA</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rPr>
            </w:pPr>
            <w:r>
              <w:rPr>
                <w:rFonts w:hint="eastAsia" w:ascii="宋体" w:hAnsi="宋体" w:eastAsia="宋体" w:cs="宋体"/>
                <w:sz w:val="21"/>
                <w:szCs w:val="21"/>
              </w:rPr>
              <w:t>成像大小：21x14cm</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激发光源：透射紫外，侧白光，可选配透射蓝光</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r>
              <w:rPr>
                <w:rFonts w:hint="eastAsia" w:ascii="宋体" w:hAnsi="宋体" w:eastAsia="宋体" w:cs="宋体"/>
                <w:sz w:val="21"/>
                <w:szCs w:val="21"/>
              </w:rPr>
              <w:t>发</w:t>
            </w: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发射滤光片：535-645nm滤光片</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rPr>
            </w:pPr>
            <w:r>
              <w:rPr>
                <w:rFonts w:hint="eastAsia" w:ascii="宋体" w:hAnsi="宋体" w:eastAsia="宋体" w:cs="宋体"/>
                <w:sz w:val="21"/>
                <w:szCs w:val="21"/>
              </w:rPr>
              <w:t>具有切胶功能</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软件可编程，所编程序可重复调用或再编辑</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显示过饱和像素保证精确定量</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所有成像过程均保持自动对焦,无需手动调节</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具备自动条带检测，自动分子量测算，自动条带浓度测算功能</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具备相对含量百分数、绝对浓度、密度计算分析功能</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具有3D图像观察及输出、12种预设染料颜色标记显示及输出</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可进行多幅图像合并显示并分析功能</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数据输出：16bit SCN，TIFF，JPEG格式</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具有以下数据输出方式：剪贴板输出、数据库输出、Excel表格式输出、PDF输出</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hint="eastAsia" w:ascii="宋体" w:hAnsi="宋体" w:eastAsia="宋体" w:cs="宋体"/>
                <w:sz w:val="21"/>
                <w:szCs w:val="21"/>
              </w:rPr>
            </w:pPr>
          </w:p>
        </w:tc>
        <w:tc>
          <w:tcPr>
            <w:tcW w:w="9253" w:type="dxa"/>
            <w:gridSpan w:val="2"/>
            <w:shd w:val="clear" w:color="auto" w:fill="D9D9D9"/>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spacing w:line="276"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N/A</w:t>
            </w:r>
          </w:p>
        </w:tc>
        <w:tc>
          <w:tcPr>
            <w:tcW w:w="2125" w:type="dxa"/>
            <w:vAlign w:val="center"/>
          </w:tcPr>
          <w:p>
            <w:pPr>
              <w:jc w:val="both"/>
              <w:rPr>
                <w:rFonts w:hint="eastAsia" w:ascii="宋体" w:hAnsi="宋体" w:eastAsia="宋体" w:cs="宋体"/>
                <w:sz w:val="21"/>
                <w:szCs w:val="21"/>
                <w:lang w:eastAsia="zh-CN"/>
              </w:rPr>
            </w:pPr>
          </w:p>
        </w:tc>
      </w:tr>
    </w:tbl>
    <w:p>
      <w:pPr>
        <w:pStyle w:val="30"/>
        <w:numPr>
          <w:ilvl w:val="0"/>
          <w:numId w:val="3"/>
        </w:numPr>
        <w:spacing w:after="158" w:afterLines="50"/>
        <w:ind w:left="426" w:hanging="426" w:hangingChars="202"/>
        <w:outlineLvl w:val="0"/>
        <w:rPr>
          <w:rFonts w:hint="eastAsia" w:ascii="宋体" w:hAnsi="宋体" w:eastAsia="宋体" w:cs="宋体"/>
          <w:b/>
          <w:sz w:val="21"/>
          <w:szCs w:val="21"/>
        </w:rPr>
      </w:pPr>
      <w:bookmarkStart w:id="27" w:name="_Toc522716122"/>
      <w:bookmarkStart w:id="28" w:name="_Toc522107742"/>
      <w:bookmarkStart w:id="29" w:name="_Toc483400317"/>
      <w:bookmarkStart w:id="30" w:name="_Toc481702480"/>
      <w:bookmarkStart w:id="31" w:name="_Toc482717202"/>
      <w:bookmarkStart w:id="32" w:name="_Toc482359946"/>
      <w:bookmarkStart w:id="33" w:name="_Toc482370071"/>
      <w:bookmarkStart w:id="34" w:name="_Toc482370767"/>
      <w:bookmarkStart w:id="35" w:name="_Toc482370151"/>
      <w:bookmarkStart w:id="36" w:name="_Toc482370359"/>
      <w:bookmarkStart w:id="37" w:name="_Toc483227237"/>
      <w:bookmarkStart w:id="38" w:name="_Toc482360291"/>
      <w:bookmarkStart w:id="39" w:name="_Toc482369815"/>
      <w:bookmarkStart w:id="40" w:name="_Toc482625289"/>
      <w:r>
        <w:rPr>
          <w:rFonts w:hint="eastAsia" w:ascii="宋体" w:hAnsi="宋体" w:eastAsia="宋体" w:cs="宋体"/>
          <w:b/>
          <w:sz w:val="21"/>
          <w:szCs w:val="21"/>
        </w:rPr>
        <w:t>电气、自动控制要求</w:t>
      </w:r>
      <w:bookmarkEnd w:id="27"/>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rFonts w:hint="eastAsia" w:ascii="宋体" w:hAnsi="宋体" w:eastAsia="宋体" w:cs="宋体"/>
                <w:b/>
                <w:sz w:val="21"/>
                <w:szCs w:val="21"/>
              </w:rPr>
            </w:pPr>
            <w:r>
              <w:rPr>
                <w:rFonts w:hint="eastAsia" w:ascii="宋体" w:hAnsi="宋体" w:eastAsia="宋体" w:cs="宋体"/>
                <w:b/>
                <w:sz w:val="21"/>
                <w:szCs w:val="21"/>
              </w:rPr>
              <w:t>编号</w:t>
            </w:r>
          </w:p>
        </w:tc>
        <w:tc>
          <w:tcPr>
            <w:tcW w:w="7128" w:type="dxa"/>
            <w:shd w:val="clear" w:color="auto" w:fill="D9D9D9"/>
            <w:vAlign w:val="center"/>
          </w:tcPr>
          <w:p>
            <w:pPr>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需求</w:t>
            </w:r>
          </w:p>
        </w:tc>
        <w:tc>
          <w:tcPr>
            <w:tcW w:w="2125" w:type="dxa"/>
            <w:shd w:val="clear" w:color="auto" w:fill="D9D9D9"/>
            <w:vAlign w:val="center"/>
          </w:tcPr>
          <w:p>
            <w:pPr>
              <w:jc w:val="center"/>
              <w:rPr>
                <w:rFonts w:hint="eastAsia" w:ascii="宋体" w:hAnsi="宋体" w:eastAsia="宋体" w:cs="宋体"/>
                <w:b/>
                <w:sz w:val="21"/>
                <w:szCs w:val="21"/>
                <w:lang w:eastAsia="zh-CN"/>
              </w:rPr>
            </w:pPr>
            <w:r>
              <w:rPr>
                <w:rFonts w:hint="eastAsia" w:ascii="宋体" w:hAnsi="宋体" w:eastAsia="宋体" w:cs="宋体"/>
                <w:b/>
                <w:sz w:val="21"/>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hint="eastAsia" w:ascii="宋体" w:hAnsi="宋体" w:eastAsia="宋体" w:cs="宋体"/>
                <w:sz w:val="21"/>
                <w:szCs w:val="21"/>
              </w:rPr>
            </w:pPr>
          </w:p>
        </w:tc>
        <w:tc>
          <w:tcPr>
            <w:tcW w:w="9253" w:type="dxa"/>
            <w:gridSpan w:val="2"/>
            <w:shd w:val="clear" w:color="auto" w:fill="D9D9D9"/>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spacing w:line="450" w:lineRule="atLeas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N/A</w:t>
            </w:r>
          </w:p>
        </w:tc>
        <w:tc>
          <w:tcPr>
            <w:tcW w:w="2125" w:type="dxa"/>
            <w:vAlign w:val="center"/>
          </w:tcPr>
          <w:p>
            <w:pPr>
              <w:jc w:val="both"/>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hint="eastAsia" w:ascii="宋体" w:hAnsi="宋体" w:eastAsia="宋体" w:cs="宋体"/>
                <w:sz w:val="21"/>
                <w:szCs w:val="21"/>
              </w:rPr>
            </w:pPr>
          </w:p>
        </w:tc>
        <w:tc>
          <w:tcPr>
            <w:tcW w:w="9253" w:type="dxa"/>
            <w:gridSpan w:val="2"/>
            <w:shd w:val="clear" w:color="auto" w:fill="D9D9D9"/>
            <w:vAlign w:val="center"/>
          </w:tcPr>
          <w:p>
            <w:pPr>
              <w:jc w:val="both"/>
              <w:rPr>
                <w:rFonts w:hint="eastAsia" w:ascii="宋体" w:hAnsi="宋体" w:eastAsia="宋体" w:cs="宋体"/>
                <w:sz w:val="21"/>
                <w:szCs w:val="21"/>
              </w:rPr>
            </w:pPr>
            <w:r>
              <w:rPr>
                <w:rFonts w:hint="eastAsia" w:ascii="宋体" w:hAnsi="宋体" w:eastAsia="宋体" w:cs="宋体"/>
                <w:sz w:val="21"/>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rPr>
                <w:rFonts w:hint="eastAsia" w:ascii="宋体" w:hAnsi="宋体" w:eastAsia="宋体" w:cs="宋体"/>
                <w:iCs/>
                <w:sz w:val="21"/>
                <w:szCs w:val="21"/>
                <w:lang w:eastAsia="zh-CN"/>
              </w:rPr>
            </w:pPr>
            <w:r>
              <w:rPr>
                <w:rFonts w:hint="eastAsia" w:ascii="宋体" w:hAnsi="宋体" w:eastAsia="宋体" w:cs="宋体"/>
                <w:sz w:val="21"/>
                <w:szCs w:val="21"/>
                <w:lang w:eastAsia="zh-CN"/>
              </w:rPr>
              <w:t>软件为全开放式的、可安装与任意一台电脑，可免费升级</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r>
              <w:rPr>
                <w:rFonts w:hint="eastAsia" w:ascii="宋体" w:hAnsi="宋体" w:eastAsia="宋体" w:cs="宋体"/>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hint="eastAsia" w:ascii="宋体" w:hAnsi="宋体" w:eastAsia="宋体" w:cs="宋体"/>
                <w:sz w:val="21"/>
                <w:szCs w:val="21"/>
              </w:rPr>
            </w:pPr>
          </w:p>
        </w:tc>
        <w:tc>
          <w:tcPr>
            <w:tcW w:w="7128" w:type="dxa"/>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lang w:eastAsia="zh-CN"/>
              </w:rPr>
              <w:t>免费的中文版、英文版软件自由切换，更适合国人习惯</w:t>
            </w:r>
          </w:p>
        </w:tc>
        <w:tc>
          <w:tcPr>
            <w:tcW w:w="2125" w:type="dxa"/>
            <w:vAlign w:val="center"/>
          </w:tcPr>
          <w:p>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关键</w:t>
            </w:r>
          </w:p>
        </w:tc>
      </w:tr>
    </w:tbl>
    <w:p>
      <w:pPr>
        <w:spacing w:after="158" w:afterLines="50"/>
        <w:rPr>
          <w:rFonts w:hint="eastAsia"/>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1" w:name="_Toc522716123"/>
      <w:r>
        <w:rPr>
          <w:rFonts w:hint="eastAsia" w:ascii="Times New Roman" w:hAnsi="Times New Roman"/>
          <w:b/>
        </w:rPr>
        <w:t>安全要求</w:t>
      </w:r>
      <w:bookmarkEnd w:id="28"/>
      <w:bookmarkEnd w:id="41"/>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50" w:lineRule="atLeast"/>
              <w:jc w:val="both"/>
              <w:rPr>
                <w:szCs w:val="21"/>
                <w:lang w:val="en-US" w:eastAsia="zh-CN"/>
              </w:rPr>
            </w:pPr>
            <w:r>
              <w:rPr>
                <w:rFonts w:hint="eastAsia"/>
                <w:szCs w:val="21"/>
                <w:lang w:val="en-US" w:eastAsia="zh-CN"/>
              </w:rPr>
              <w:t>N/A</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N/A</w:t>
            </w:r>
          </w:p>
        </w:tc>
        <w:tc>
          <w:tcPr>
            <w:tcW w:w="2125" w:type="dxa"/>
            <w:vAlign w:val="center"/>
          </w:tcPr>
          <w:p>
            <w:pPr>
              <w:jc w:val="both"/>
              <w:rPr>
                <w:szCs w:val="21"/>
                <w:lang w:eastAsia="zh-CN"/>
              </w:rPr>
            </w:pPr>
          </w:p>
        </w:tc>
      </w:tr>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hint="eastAsia" w:ascii="Times New Roman" w:hAnsi="Times New Roman"/>
          <w:b/>
        </w:rPr>
        <w:t>文件要求</w:t>
      </w:r>
      <w:bookmarkEnd w:id="42"/>
      <w:bookmarkEnd w:id="43"/>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szCs w:val="21"/>
                <w:lang w:eastAsia="zh-CN"/>
              </w:rPr>
              <w:t xml:space="preserve"> </w:t>
            </w:r>
            <w:r>
              <w:rPr>
                <w:rFonts w:hint="eastAsia"/>
                <w:szCs w:val="21"/>
                <w:lang w:eastAsia="zh-CN"/>
              </w:rPr>
              <w:t>整机运行及维护手册应为中文，纸质文件至少一式三份，</w:t>
            </w:r>
            <w:r>
              <w:rPr>
                <w:rFonts w:hint="eastAsia" w:hAnsi="宋体"/>
                <w:sz w:val="24"/>
                <w:u w:val="none" w:color="333333"/>
                <w:lang w:eastAsia="zh-CN"/>
              </w:rPr>
              <w:t>电子版</w:t>
            </w:r>
            <w:r>
              <w:rPr>
                <w:rFonts w:hint="eastAsia"/>
                <w:szCs w:val="21"/>
                <w:lang w:eastAsia="zh-CN"/>
              </w:rPr>
              <w:t>至少一份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cs="宋体"/>
                <w:szCs w:val="21"/>
                <w:lang w:eastAsia="zh-CN"/>
              </w:rPr>
              <w:t>投标文件（必须包含性能确认报告）、合同、订单及</w:t>
            </w:r>
            <w:r>
              <w:rPr>
                <w:rFonts w:hint="eastAsia" w:ascii="宋体" w:hAnsi="宋体" w:cs="宋体"/>
                <w:szCs w:val="21"/>
                <w:u w:val="none" w:color="333333"/>
                <w:lang w:val="zh-TW" w:eastAsia="zh-TW"/>
              </w:rPr>
              <w:t>设备交付计划表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生产商发运清单及所有单元配件及其组合的检验报告和证书标识等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设计选型文件：软硬件</w:t>
            </w:r>
            <w:r>
              <w:rPr>
                <w:rFonts w:hint="eastAsia" w:hAnsi="宋体"/>
                <w:szCs w:val="21"/>
                <w:u w:val="none" w:color="333333"/>
                <w:lang w:val="zh-TW" w:eastAsia="zh-CN"/>
              </w:rPr>
              <w:t>功能</w:t>
            </w:r>
            <w:r>
              <w:rPr>
                <w:rFonts w:hint="eastAsia" w:hAnsi="宋体"/>
                <w:szCs w:val="21"/>
                <w:u w:val="none" w:color="333333"/>
                <w:lang w:val="zh-TW" w:eastAsia="zh-TW"/>
              </w:rPr>
              <w:t>说明</w:t>
            </w:r>
            <w:r>
              <w:rPr>
                <w:rFonts w:hint="eastAsia" w:hAnsi="宋体"/>
                <w:szCs w:val="21"/>
                <w:u w:val="none" w:color="333333"/>
                <w:lang w:val="zh-TW" w:eastAsia="zh-CN"/>
              </w:rPr>
              <w:t>、</w:t>
            </w:r>
            <w:r>
              <w:rPr>
                <w:rFonts w:hint="eastAsia" w:hAnsi="宋体"/>
                <w:szCs w:val="21"/>
                <w:u w:val="none" w:color="333333"/>
                <w:lang w:val="zh-TW" w:eastAsia="zh-TW"/>
              </w:rPr>
              <w:t>设计说明</w:t>
            </w:r>
            <w:r>
              <w:rPr>
                <w:rFonts w:hint="eastAsia" w:hAnsi="宋体"/>
                <w:szCs w:val="21"/>
                <w:u w:val="none" w:color="333333"/>
                <w:lang w:val="zh-TW" w:eastAsia="zh-CN"/>
              </w:rPr>
              <w:t>、</w:t>
            </w:r>
            <w:r>
              <w:rPr>
                <w:rFonts w:hint="eastAsia" w:hAnsi="宋体"/>
                <w:szCs w:val="21"/>
                <w:u w:val="none" w:color="333333"/>
                <w:lang w:val="zh-TW" w:eastAsia="zh-TW"/>
              </w:rPr>
              <w:t>配置清单与说明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图纸：实物图；各种验证、维修等活动所需的电子版及打印版设备布局图、设备尺寸图、设备局部图（与功能相关的细节图）、安装图、</w:t>
            </w:r>
            <w:r>
              <w:rPr>
                <w:szCs w:val="21"/>
                <w:lang w:eastAsia="zh-CN"/>
              </w:rPr>
              <w:t>P&amp;ID</w:t>
            </w:r>
            <w:r>
              <w:rPr>
                <w:rFonts w:hint="eastAsia"/>
                <w:szCs w:val="21"/>
                <w:lang w:eastAsia="zh-CN"/>
              </w:rPr>
              <w:t>图、控制原理图、其他计算机化系统相关图纸、图纸清单。</w:t>
            </w:r>
          </w:p>
          <w:p>
            <w:pPr>
              <w:jc w:val="both"/>
              <w:rPr>
                <w:szCs w:val="21"/>
                <w:lang w:eastAsia="zh-CN"/>
              </w:rPr>
            </w:pPr>
            <w:r>
              <w:rPr>
                <w:rFonts w:hint="eastAsia"/>
                <w:szCs w:val="21"/>
                <w:lang w:eastAsia="zh-CN"/>
              </w:rPr>
              <w:t>提供设备及其零部件使用寿命清单。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lang w:eastAsia="zh-CN"/>
              </w:rPr>
              <w:t>使用说明书中应注明当转子达到使用寿命时，如仍要继续使用，应采取哪些安全防护措施</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组件清单、易损件清单、备件、消耗品清单：包括名称、编号、对应厂家名称、生产地、规格、使用寿命及必要说明</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TW"/>
              </w:rPr>
              <w:t>设备操作手册（</w:t>
            </w:r>
            <w:r>
              <w:rPr>
                <w:szCs w:val="21"/>
                <w:u w:val="none" w:color="333333"/>
                <w:lang w:eastAsia="zh-CN"/>
              </w:rPr>
              <w:t>SOP</w:t>
            </w:r>
            <w:r>
              <w:rPr>
                <w:rFonts w:hint="eastAsia" w:hAnsi="宋体"/>
                <w:szCs w:val="21"/>
                <w:u w:val="none" w:color="333333"/>
                <w:lang w:val="zh-TW" w:eastAsia="zh-TW"/>
              </w:rPr>
              <w:t>）：语言为中文，应说明设备维护内容、校准周期，并能提供校准服务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eastAsia="zh-TW"/>
              </w:rPr>
              <w:t>有资质的第三方检测机构出具的</w:t>
            </w:r>
            <w:r>
              <w:rPr>
                <w:rFonts w:hint="eastAsia" w:hAnsi="宋体"/>
                <w:szCs w:val="21"/>
                <w:u w:val="none" w:color="333333"/>
                <w:lang w:val="zh-TW" w:eastAsia="zh-TW"/>
              </w:rPr>
              <w:t>首次校验报告及计量证书</w:t>
            </w:r>
            <w:r>
              <w:rPr>
                <w:rFonts w:hint="eastAsia" w:hAnsi="宋体"/>
                <w:szCs w:val="21"/>
                <w:u w:val="none" w:color="333333"/>
                <w:lang w:eastAsia="zh-TW"/>
              </w:rPr>
              <w:t>，设备到厂验收时有效期不得少于</w:t>
            </w:r>
            <w:r>
              <w:rPr>
                <w:rFonts w:hAnsi="宋体"/>
                <w:szCs w:val="21"/>
                <w:u w:val="none" w:color="333333"/>
                <w:lang w:eastAsia="zh-TW"/>
              </w:rPr>
              <w:t>6</w:t>
            </w:r>
            <w:r>
              <w:rPr>
                <w:rFonts w:hint="eastAsia" w:hAnsi="宋体"/>
                <w:szCs w:val="21"/>
                <w:u w:val="none" w:color="333333"/>
                <w:lang w:eastAsia="zh-TW"/>
              </w:rPr>
              <w:t>个月</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TW"/>
              </w:rPr>
            </w:pPr>
            <w:r>
              <w:rPr>
                <w:rFonts w:hint="eastAsia" w:hAnsi="宋体"/>
                <w:szCs w:val="21"/>
                <w:u w:val="none" w:color="333333"/>
                <w:lang w:val="zh-TW" w:eastAsia="zh-TW"/>
              </w:rPr>
              <w:t>安全报告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hAnsi="宋体"/>
                <w:szCs w:val="21"/>
                <w:u w:val="none" w:color="333333"/>
                <w:lang w:val="zh-TW" w:eastAsia="zh-TW"/>
              </w:rPr>
              <w:t>材质证书（写明材料有效期）</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hAnsi="宋体"/>
                <w:szCs w:val="21"/>
                <w:u w:val="none" w:color="333333"/>
                <w:lang w:eastAsia="zh-TW"/>
              </w:rPr>
              <w:t>现场验收测试</w:t>
            </w:r>
            <w:r>
              <w:rPr>
                <w:rFonts w:hint="eastAsia" w:hAnsi="宋体"/>
                <w:szCs w:val="21"/>
                <w:u w:val="none" w:color="333333"/>
                <w:lang w:eastAsia="zh-CN"/>
              </w:rPr>
              <w:t>（</w:t>
            </w:r>
            <w:r>
              <w:rPr>
                <w:rFonts w:hAnsi="宋体"/>
                <w:szCs w:val="21"/>
                <w:u w:val="none" w:color="333333"/>
                <w:lang w:eastAsia="zh-CN"/>
              </w:rPr>
              <w:t>SAT</w:t>
            </w:r>
            <w:r>
              <w:rPr>
                <w:rFonts w:hint="eastAsia" w:hAnsi="宋体"/>
                <w:szCs w:val="21"/>
                <w:u w:val="none" w:color="333333"/>
                <w:lang w:eastAsia="zh-CN"/>
              </w:rPr>
              <w:t>）报告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ascii="宋体" w:hAnsi="宋体"/>
                <w:szCs w:val="21"/>
                <w:lang w:eastAsia="zh-CN"/>
              </w:rPr>
              <w:t>设备厂家文件：</w:t>
            </w:r>
            <w:r>
              <w:rPr>
                <w:rFonts w:hint="eastAsia" w:ascii="宋体" w:hAnsi="宋体" w:cs="宋体"/>
                <w:szCs w:val="21"/>
                <w:lang w:eastAsia="zh-CN"/>
              </w:rPr>
              <w:t>出厂测试合格证、说明书、</w:t>
            </w:r>
            <w:r>
              <w:rPr>
                <w:rFonts w:hint="eastAsia" w:ascii="宋体" w:hAnsi="宋体"/>
                <w:szCs w:val="21"/>
                <w:lang w:eastAsia="zh-CN"/>
              </w:rPr>
              <w:t>相关检测报告、各种标示。</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val="zh-TW" w:eastAsia="zh-TW"/>
              </w:rPr>
            </w:pPr>
            <w:r>
              <w:rPr>
                <w:rFonts w:hint="eastAsia" w:hAnsi="宋体"/>
                <w:szCs w:val="21"/>
                <w:u w:val="none" w:color="333333"/>
                <w:lang w:val="zh-TW" w:eastAsia="zh-TW"/>
              </w:rPr>
              <w:t>调试文件：调试计划（调试说明、调试清单、现场验收测试、保修信息、培训计划等），总测试计划，检查计划，检测清单，各测试结果，调试总结报告等。</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验证文件：</w:t>
            </w:r>
            <w:r>
              <w:rPr>
                <w:szCs w:val="21"/>
                <w:u w:val="none" w:color="333333"/>
                <w:lang w:eastAsia="zh-CN"/>
              </w:rPr>
              <w:t xml:space="preserve"> </w:t>
            </w:r>
          </w:p>
          <w:p>
            <w:pPr>
              <w:rPr>
                <w:szCs w:val="21"/>
                <w:lang w:eastAsia="zh-CN"/>
              </w:rPr>
            </w:pPr>
            <w:r>
              <w:rPr>
                <w:rFonts w:hint="eastAsia"/>
                <w:szCs w:val="21"/>
                <w:lang w:eastAsia="zh-CN"/>
              </w:rPr>
              <w:t>（</w:t>
            </w:r>
            <w:r>
              <w:rPr>
                <w:szCs w:val="21"/>
                <w:lang w:eastAsia="zh-CN"/>
              </w:rPr>
              <w:t>1</w:t>
            </w:r>
            <w:r>
              <w:rPr>
                <w:rFonts w:hint="eastAsia"/>
                <w:szCs w:val="21"/>
                <w:lang w:eastAsia="zh-CN"/>
              </w:rPr>
              <w:t>）验证计划</w:t>
            </w:r>
          </w:p>
          <w:p>
            <w:pPr>
              <w:rPr>
                <w:szCs w:val="21"/>
                <w:lang w:eastAsia="zh-CN"/>
              </w:rPr>
            </w:pPr>
            <w:r>
              <w:rPr>
                <w:rFonts w:hint="eastAsia"/>
                <w:szCs w:val="21"/>
                <w:lang w:eastAsia="zh-CN"/>
              </w:rPr>
              <w:t>（</w:t>
            </w:r>
            <w:r>
              <w:rPr>
                <w:szCs w:val="21"/>
                <w:lang w:eastAsia="zh-CN"/>
              </w:rPr>
              <w:t>2</w:t>
            </w:r>
            <w:r>
              <w:rPr>
                <w:rFonts w:hint="eastAsia"/>
                <w:szCs w:val="21"/>
                <w:lang w:eastAsia="zh-CN"/>
              </w:rPr>
              <w:t>）满足</w:t>
            </w:r>
            <w:r>
              <w:rPr>
                <w:szCs w:val="21"/>
                <w:lang w:eastAsia="zh-CN"/>
              </w:rPr>
              <w:t>GMP</w:t>
            </w:r>
            <w:r>
              <w:rPr>
                <w:rFonts w:hint="eastAsia"/>
                <w:szCs w:val="21"/>
                <w:lang w:eastAsia="zh-CN"/>
              </w:rPr>
              <w:t>等相关法规的评估文件</w:t>
            </w:r>
          </w:p>
          <w:p>
            <w:pPr>
              <w:rPr>
                <w:szCs w:val="21"/>
                <w:lang w:eastAsia="zh-CN"/>
              </w:rPr>
            </w:pPr>
            <w:r>
              <w:rPr>
                <w:rFonts w:hint="eastAsia"/>
                <w:szCs w:val="21"/>
                <w:lang w:eastAsia="zh-CN"/>
              </w:rPr>
              <w:t>（</w:t>
            </w:r>
            <w:r>
              <w:rPr>
                <w:szCs w:val="21"/>
                <w:lang w:eastAsia="zh-CN"/>
              </w:rPr>
              <w:t>3</w:t>
            </w:r>
            <w:r>
              <w:rPr>
                <w:rFonts w:hint="eastAsia"/>
                <w:szCs w:val="21"/>
                <w:lang w:eastAsia="zh-CN"/>
              </w:rPr>
              <w:t>）设计确认及文件（</w:t>
            </w:r>
            <w:r>
              <w:rPr>
                <w:szCs w:val="21"/>
                <w:lang w:eastAsia="zh-CN"/>
              </w:rPr>
              <w:t>DQ</w:t>
            </w:r>
            <w:r>
              <w:rPr>
                <w:rFonts w:hint="eastAsia"/>
                <w:szCs w:val="21"/>
                <w:lang w:eastAsia="zh-CN"/>
              </w:rPr>
              <w:t>），</w:t>
            </w:r>
          </w:p>
          <w:p>
            <w:pPr>
              <w:rPr>
                <w:szCs w:val="21"/>
                <w:lang w:eastAsia="zh-CN"/>
              </w:rPr>
            </w:pPr>
            <w:r>
              <w:rPr>
                <w:rFonts w:hint="eastAsia"/>
                <w:szCs w:val="21"/>
                <w:lang w:eastAsia="zh-CN"/>
              </w:rPr>
              <w:t>（</w:t>
            </w:r>
            <w:r>
              <w:rPr>
                <w:szCs w:val="21"/>
                <w:lang w:eastAsia="zh-CN"/>
              </w:rPr>
              <w:t>4</w:t>
            </w:r>
            <w:r>
              <w:rPr>
                <w:rFonts w:hint="eastAsia"/>
                <w:szCs w:val="21"/>
                <w:lang w:eastAsia="zh-CN"/>
              </w:rPr>
              <w:t>）安装确认及文件（</w:t>
            </w:r>
            <w:r>
              <w:rPr>
                <w:szCs w:val="21"/>
                <w:lang w:eastAsia="zh-CN"/>
              </w:rPr>
              <w:t>IQ</w:t>
            </w:r>
            <w:r>
              <w:rPr>
                <w:rFonts w:hint="eastAsia"/>
                <w:szCs w:val="21"/>
                <w:lang w:eastAsia="zh-CN"/>
              </w:rPr>
              <w:t>）；</w:t>
            </w:r>
          </w:p>
          <w:p>
            <w:pPr>
              <w:jc w:val="both"/>
              <w:rPr>
                <w:rFonts w:hAnsi="宋体"/>
                <w:szCs w:val="21"/>
                <w:u w:val="none" w:color="333333"/>
                <w:lang w:val="zh-TW" w:eastAsia="zh-TW"/>
              </w:rPr>
            </w:pPr>
            <w:r>
              <w:rPr>
                <w:rFonts w:hint="eastAsia"/>
                <w:szCs w:val="21"/>
                <w:lang w:eastAsia="zh-CN"/>
              </w:rPr>
              <w:t>（</w:t>
            </w:r>
            <w:r>
              <w:rPr>
                <w:szCs w:val="21"/>
                <w:lang w:eastAsia="zh-CN"/>
              </w:rPr>
              <w:t>5</w:t>
            </w:r>
            <w:r>
              <w:rPr>
                <w:rFonts w:hint="eastAsia"/>
                <w:szCs w:val="21"/>
                <w:lang w:eastAsia="zh-CN"/>
              </w:rPr>
              <w:t>）运行确认及文件（</w:t>
            </w:r>
            <w:r>
              <w:rPr>
                <w:szCs w:val="21"/>
                <w:lang w:eastAsia="zh-CN"/>
              </w:rPr>
              <w:t>OQ</w:t>
            </w:r>
            <w:r>
              <w:rPr>
                <w:rFonts w:hint="eastAsia"/>
                <w:szCs w:val="21"/>
                <w:lang w:eastAsia="zh-CN"/>
              </w:rPr>
              <w:t>）；</w:t>
            </w:r>
          </w:p>
        </w:tc>
        <w:tc>
          <w:tcPr>
            <w:tcW w:w="2125" w:type="dxa"/>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hAnsi="宋体"/>
                <w:szCs w:val="21"/>
                <w:u w:val="none" w:color="333333"/>
                <w:lang w:val="zh-TW" w:eastAsia="zh-CN"/>
              </w:rPr>
              <w:t>现场验收报告</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rPr>
                <w:szCs w:val="21"/>
                <w:u w:val="none" w:color="333333"/>
                <w:lang w:eastAsia="zh-CN"/>
              </w:rPr>
            </w:pPr>
            <w:r>
              <w:rPr>
                <w:rFonts w:hint="eastAsia" w:hAnsi="宋体"/>
                <w:szCs w:val="21"/>
                <w:u w:val="none" w:color="333333"/>
                <w:lang w:val="zh-TW" w:eastAsia="zh-TW"/>
              </w:rPr>
              <w:t>文件具体要求：</w:t>
            </w:r>
          </w:p>
          <w:p>
            <w:pPr>
              <w:rPr>
                <w:szCs w:val="21"/>
                <w:u w:val="none" w:color="333333"/>
                <w:lang w:eastAsia="zh-CN"/>
              </w:rPr>
            </w:pPr>
            <w:r>
              <w:rPr>
                <w:rFonts w:hint="eastAsia" w:hAnsi="宋体"/>
                <w:szCs w:val="21"/>
                <w:u w:val="none" w:color="333333"/>
                <w:lang w:val="zh-TW" w:eastAsia="zh-TW"/>
              </w:rPr>
              <w:t>（</w:t>
            </w:r>
            <w:r>
              <w:rPr>
                <w:szCs w:val="21"/>
                <w:u w:val="none" w:color="333333"/>
                <w:lang w:eastAsia="zh-CN"/>
              </w:rPr>
              <w:t>1</w:t>
            </w:r>
            <w:r>
              <w:rPr>
                <w:rFonts w:hint="eastAsia" w:hAnsi="宋体"/>
                <w:szCs w:val="21"/>
                <w:u w:val="none" w:color="333333"/>
                <w:lang w:val="zh-TW" w:eastAsia="zh-TW"/>
              </w:rPr>
              <w:t>）系统相关方案中，应明确本系统的配置、规格，并且通过分析阐述每一个系统环节的必要性；</w:t>
            </w:r>
          </w:p>
          <w:p>
            <w:pPr>
              <w:rPr>
                <w:rFonts w:hAnsi="宋体"/>
                <w:szCs w:val="21"/>
                <w:u w:val="none" w:color="333333"/>
                <w:lang w:val="zh-TW" w:eastAsia="zh-TW"/>
              </w:rPr>
            </w:pPr>
            <w:r>
              <w:rPr>
                <w:rFonts w:hint="eastAsia" w:hAnsi="宋体"/>
                <w:szCs w:val="21"/>
                <w:u w:val="none" w:color="333333"/>
                <w:lang w:val="zh-TW" w:eastAsia="zh-TW"/>
              </w:rPr>
              <w:t>（</w:t>
            </w:r>
            <w:r>
              <w:rPr>
                <w:szCs w:val="21"/>
                <w:u w:val="none" w:color="333333"/>
                <w:lang w:eastAsia="zh-CN"/>
              </w:rPr>
              <w:t>2</w:t>
            </w:r>
            <w:r>
              <w:rPr>
                <w:rFonts w:hint="eastAsia" w:hAnsi="宋体"/>
                <w:szCs w:val="21"/>
                <w:u w:val="none" w:color="333333"/>
                <w:lang w:val="zh-TW" w:eastAsia="zh-TW"/>
              </w:rPr>
              <w:t>）标书中明确系统所有组件的品牌、材质、型号，并且注明每一个组件的保修期；</w:t>
            </w:r>
          </w:p>
          <w:p>
            <w:pPr>
              <w:jc w:val="both"/>
              <w:rPr>
                <w:szCs w:val="21"/>
                <w:lang w:eastAsia="zh-CN"/>
              </w:rPr>
            </w:pPr>
            <w:r>
              <w:rPr>
                <w:rFonts w:hint="eastAsia" w:hAnsi="宋体"/>
                <w:szCs w:val="21"/>
                <w:u w:val="none" w:color="333333"/>
                <w:lang w:eastAsia="zh-TW"/>
              </w:rPr>
              <w:t>（</w:t>
            </w:r>
            <w:r>
              <w:rPr>
                <w:rFonts w:hAnsi="宋体"/>
                <w:szCs w:val="21"/>
                <w:u w:val="none" w:color="333333"/>
                <w:lang w:eastAsia="zh-TW"/>
              </w:rPr>
              <w:t>3</w:t>
            </w:r>
            <w:r>
              <w:rPr>
                <w:rFonts w:hint="eastAsia" w:hAnsi="宋体"/>
                <w:szCs w:val="21"/>
                <w:u w:val="none" w:color="333333"/>
                <w:lang w:eastAsia="zh-TW"/>
              </w:rPr>
              <w:t>）除另有约定外，上述文件中方案或计划类文件应在合同签订后设备发运前交付审核</w:t>
            </w:r>
          </w:p>
        </w:tc>
        <w:tc>
          <w:tcPr>
            <w:tcW w:w="2125" w:type="dxa"/>
            <w:vAlign w:val="center"/>
          </w:tcPr>
          <w:p>
            <w:pPr>
              <w:jc w:val="both"/>
              <w:rPr>
                <w:szCs w:val="21"/>
                <w:lang w:eastAsia="zh-CN"/>
              </w:rPr>
            </w:pPr>
            <w:r>
              <w:rPr>
                <w:rFonts w:hint="eastAsia"/>
                <w:szCs w:val="21"/>
                <w:lang w:eastAsia="zh-CN"/>
              </w:rPr>
              <w:t>关键</w:t>
            </w:r>
          </w:p>
        </w:tc>
      </w:tr>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5"/>
      <w:r>
        <w:rPr>
          <w:rFonts w:hint="eastAsia" w:ascii="Times New Roman" w:hAnsi="Times New Roman"/>
          <w:b/>
          <w:szCs w:val="21"/>
        </w:rPr>
        <w:t>服务要求</w:t>
      </w:r>
      <w:bookmarkEnd w:id="44"/>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eastAsia="zh-CN"/>
              </w:rPr>
              <w:t>设备供应商应免费对设备使用方人员进行全面培训，包括对生产操作人员及设备维护、维修人员，并填写培训记录。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rFonts w:hAnsi="宋体"/>
                <w:szCs w:val="21"/>
                <w:u w:val="none" w:color="333333"/>
                <w:lang w:eastAsia="zh-CN"/>
              </w:rPr>
            </w:pPr>
            <w:r>
              <w:rPr>
                <w:rFonts w:hint="eastAsia" w:hAnsi="宋体"/>
                <w:szCs w:val="21"/>
                <w:u w:val="none" w:color="333333"/>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szCs w:val="21"/>
                <w:lang w:eastAsia="zh-CN"/>
              </w:rPr>
            </w:pPr>
            <w:r>
              <w:rPr>
                <w:rFonts w:hint="eastAsia" w:ascii="宋体" w:hAnsi="宋体"/>
                <w:szCs w:val="21"/>
                <w:lang w:eastAsia="zh-CN"/>
              </w:rPr>
              <w:t>设备运输在运输途中需做好防护措施，不得有任何损伤。</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ascii="宋体" w:hAnsi="宋体"/>
                <w:szCs w:val="21"/>
                <w:lang w:eastAsia="zh-CN"/>
              </w:rPr>
              <w:t>验证包括验证计划、</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文件与服务，供应商必须派出具备该类系统验证经验，且熟悉验证相关文件编写及验证工作实施的验证工程师开展验证工作。供应商协助完成</w:t>
            </w:r>
            <w:r>
              <w:rPr>
                <w:rFonts w:ascii="宋体" w:hAnsi="宋体"/>
                <w:szCs w:val="21"/>
                <w:lang w:eastAsia="zh-CN"/>
              </w:rPr>
              <w:t>PQ</w:t>
            </w:r>
            <w:r>
              <w:rPr>
                <w:rFonts w:hint="eastAsia" w:ascii="宋体" w:hAnsi="宋体"/>
                <w:szCs w:val="21"/>
                <w:lang w:eastAsia="zh-CN"/>
              </w:rPr>
              <w:t>。</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hAnsi="宋体"/>
                <w:szCs w:val="21"/>
                <w:u w:val="none" w:color="333333"/>
                <w:lang w:val="zh-TW" w:eastAsia="zh-TW"/>
              </w:rPr>
              <w:t>各验证工作开始前验证方案需经过本公司相关部门审核，并经质量保证部批准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hAnsi="宋体"/>
                <w:szCs w:val="21"/>
                <w:u w:val="none" w:color="333333"/>
                <w:lang w:val="zh-TW" w:eastAsia="zh-TW"/>
              </w:rPr>
              <w:t>验证工作应按时保质完成，供应商需提供验证工作计划表</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hAnsi="宋体"/>
                <w:szCs w:val="21"/>
                <w:u w:val="none" w:color="333333"/>
                <w:lang w:val="zh-TW" w:eastAsia="zh-TW"/>
              </w:rPr>
              <w:t>验证项目应包含法规要求的测试项目，以及本公司提出的测试项目。</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hAnsi="宋体"/>
                <w:szCs w:val="21"/>
                <w:u w:val="none" w:color="333333"/>
                <w:lang w:val="zh-TW" w:eastAsia="zh-TW"/>
              </w:rPr>
              <w:t>验证工作完成后，验证记录经本公司相关部门审核，并经质量保证部批准。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ascii="宋体" w:hAnsi="宋体"/>
                <w:szCs w:val="21"/>
                <w:lang w:eastAsia="zh-CN"/>
              </w:rPr>
            </w:pPr>
            <w:r>
              <w:rPr>
                <w:rFonts w:hint="eastAsia" w:hAnsi="宋体"/>
                <w:szCs w:val="21"/>
                <w:u w:val="none" w:color="333333"/>
                <w:lang w:val="zh-TW" w:eastAsia="zh-TW"/>
              </w:rPr>
              <w:t>验收前，验证工作已成功完成，验证最终报告已经本公司相关部门审核，并经质量保证部批准</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szCs w:val="21"/>
                <w:lang w:eastAsia="zh-CN"/>
              </w:rPr>
              <w:t>仪器</w:t>
            </w:r>
            <w:r>
              <w:rPr>
                <w:rFonts w:hint="eastAsia" w:hAnsi="宋体"/>
                <w:szCs w:val="21"/>
                <w:u w:val="none" w:color="333333"/>
                <w:lang w:val="zh-TW" w:eastAsia="zh-TW"/>
              </w:rPr>
              <w:t>保质期从确认验收的阶段就开始计算</w:t>
            </w:r>
            <w:r>
              <w:rPr>
                <w:rFonts w:hint="eastAsia" w:hAnsi="宋体"/>
                <w:szCs w:val="21"/>
                <w:u w:val="none" w:color="333333"/>
                <w:lang w:eastAsia="zh-TW"/>
              </w:rPr>
              <w:t>，整机</w:t>
            </w:r>
            <w:r>
              <w:rPr>
                <w:rFonts w:hint="eastAsia" w:hAnsi="宋体"/>
                <w:szCs w:val="21"/>
                <w:u w:val="none" w:color="333333"/>
                <w:lang w:val="zh-TW" w:eastAsia="zh-TW"/>
              </w:rPr>
              <w:t>保期为一年，一年内免费保修，一年后应提供良好的售后服务</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cs="宋体"/>
                <w:szCs w:val="21"/>
                <w:u w:val="none" w:color="333333"/>
                <w:lang w:val="zh-TW" w:eastAsia="zh-TW"/>
              </w:rPr>
              <w:t>售后服务必须响应及时，要求设备出现须厂家维修的故障后，应在</w:t>
            </w:r>
            <w:r>
              <w:rPr>
                <w:rFonts w:ascii="宋体" w:hAnsi="宋体" w:cs="宋体"/>
                <w:szCs w:val="21"/>
                <w:u w:val="none" w:color="333333"/>
                <w:lang w:eastAsia="zh-CN"/>
              </w:rPr>
              <w:t>4</w:t>
            </w:r>
            <w:r>
              <w:rPr>
                <w:rFonts w:hint="eastAsia" w:ascii="宋体" w:hAnsi="宋体" w:cs="宋体"/>
                <w:szCs w:val="21"/>
                <w:u w:val="none" w:color="333333"/>
                <w:lang w:val="zh-TW" w:eastAsia="zh-TW"/>
              </w:rPr>
              <w:t>小时内明确答复，当电话沟通无法解决时，须</w:t>
            </w:r>
            <w:r>
              <w:rPr>
                <w:rFonts w:ascii="宋体" w:hAnsi="宋体" w:cs="宋体"/>
                <w:szCs w:val="21"/>
                <w:u w:val="none" w:color="333333"/>
                <w:lang w:eastAsia="zh-CN"/>
              </w:rPr>
              <w:t>24</w:t>
            </w:r>
            <w:r>
              <w:rPr>
                <w:rFonts w:hint="eastAsia" w:ascii="宋体" w:hAnsi="宋体" w:cs="宋体"/>
                <w:szCs w:val="21"/>
                <w:u w:val="none" w:color="333333"/>
                <w:lang w:val="zh-TW" w:eastAsia="zh-TW"/>
              </w:rPr>
              <w:t>小时内派人至现场解决。</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一年免费保修期后，</w:t>
            </w:r>
            <w:r>
              <w:rPr>
                <w:rFonts w:hint="eastAsia" w:hAnsi="宋体"/>
                <w:szCs w:val="21"/>
                <w:u w:val="none" w:color="333333"/>
                <w:lang w:eastAsia="zh-TW"/>
              </w:rPr>
              <w:t>供应商</w:t>
            </w:r>
            <w:r>
              <w:rPr>
                <w:rFonts w:hint="eastAsia" w:hAnsi="宋体"/>
                <w:szCs w:val="21"/>
                <w:u w:val="none" w:color="333333"/>
                <w:lang w:val="zh-TW" w:eastAsia="zh-TW"/>
              </w:rPr>
              <w:t>应终生提供及时的维修、维护，</w:t>
            </w:r>
            <w:r>
              <w:rPr>
                <w:rFonts w:hint="eastAsia" w:hAnsi="宋体"/>
                <w:szCs w:val="21"/>
                <w:u w:val="none" w:color="333333"/>
                <w:lang w:eastAsia="zh-TW"/>
              </w:rPr>
              <w:t>供应商</w:t>
            </w:r>
            <w:r>
              <w:rPr>
                <w:rFonts w:hint="eastAsia" w:hAnsi="宋体"/>
                <w:szCs w:val="21"/>
                <w:u w:val="none" w:color="333333"/>
                <w:lang w:val="zh-TW" w:eastAsia="zh-TW"/>
              </w:rPr>
              <w:t>应定期回访，解决设备运行当中可能出现的疑问，排除潜在故障，使设备保持良好工作状态。</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440" w:lineRule="exact"/>
              <w:rPr>
                <w:rFonts w:hint="eastAsia"/>
                <w:szCs w:val="21"/>
                <w:u w:val="none" w:color="333333"/>
                <w:lang w:eastAsia="zh-CN"/>
              </w:rPr>
            </w:pPr>
            <w:r>
              <w:rPr>
                <w:rFonts w:hint="eastAsia" w:hAnsi="宋体"/>
                <w:szCs w:val="21"/>
                <w:u w:val="none" w:color="333333"/>
                <w:lang w:eastAsia="zh-TW"/>
              </w:rPr>
              <w:t>供应商</w:t>
            </w:r>
            <w:r>
              <w:rPr>
                <w:rFonts w:hint="eastAsia" w:hAnsi="宋体"/>
                <w:szCs w:val="21"/>
                <w:u w:val="none" w:color="333333"/>
                <w:lang w:val="zh-TW" w:eastAsia="zh-TW"/>
              </w:rPr>
              <w:t>应提供合格的备件，用于设备相应部件的维修、更换。</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0"/>
                <w:numId w:val="11"/>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货物到达买方使用现场后，由买卖双方共同验收，卖方工程师免费为买方提供调试。</w:t>
            </w:r>
          </w:p>
        </w:tc>
        <w:tc>
          <w:tcPr>
            <w:tcW w:w="2125" w:type="dxa"/>
            <w:vAlign w:val="center"/>
          </w:tcPr>
          <w:p>
            <w:pPr>
              <w:jc w:val="both"/>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hAnsi="宋体"/>
                <w:szCs w:val="21"/>
                <w:u w:val="none" w:color="333333"/>
                <w:lang w:val="zh-TW" w:eastAsia="zh-TW"/>
              </w:rPr>
              <w:t>供应商进厂施工需遵守安全和施工规定。确认验收合格后，买卖双方签订验收报告</w:t>
            </w:r>
            <w:r>
              <w:rPr>
                <w:rFonts w:hint="eastAsia" w:hAnsi="宋体"/>
                <w:szCs w:val="21"/>
                <w:u w:val="none" w:color="333333"/>
                <w:lang w:val="zh-TW" w:eastAsia="zh-CN"/>
              </w:rPr>
              <w:t>。</w:t>
            </w:r>
          </w:p>
        </w:tc>
        <w:tc>
          <w:tcPr>
            <w:tcW w:w="2125" w:type="dxa"/>
            <w:vAlign w:val="center"/>
          </w:tcPr>
          <w:p>
            <w:pPr>
              <w:jc w:val="both"/>
              <w:rPr>
                <w:szCs w:val="21"/>
                <w:lang w:eastAsia="zh-CN"/>
              </w:rPr>
            </w:pPr>
            <w:r>
              <w:rPr>
                <w:rFonts w:hint="eastAsia"/>
                <w:szCs w:val="21"/>
                <w:lang w:eastAsia="zh-CN"/>
              </w:rPr>
              <w:t>关键</w:t>
            </w:r>
          </w:p>
        </w:tc>
      </w:tr>
    </w:tbl>
    <w:p/>
    <w:p>
      <w:pPr>
        <w:pStyle w:val="30"/>
        <w:numPr>
          <w:ilvl w:val="0"/>
          <w:numId w:val="3"/>
        </w:numPr>
        <w:spacing w:after="158" w:afterLines="50"/>
        <w:ind w:left="426" w:hanging="426" w:hangingChars="202"/>
        <w:outlineLvl w:val="0"/>
        <w:rPr>
          <w:rFonts w:ascii="Times New Roman" w:hAnsi="Times New Roman"/>
          <w:b/>
        </w:rPr>
      </w:pPr>
      <w:bookmarkStart w:id="45" w:name="_Toc522716126"/>
      <w:bookmarkStart w:id="46" w:name="_Toc522107746"/>
      <w:r>
        <w:rPr>
          <w:rFonts w:hint="eastAsia"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34"/>
        <w:spacing w:before="0" w:line="360" w:lineRule="auto"/>
        <w:ind w:left="357"/>
        <w:jc w:val="left"/>
        <w:rPr>
          <w:rFonts w:hAnsi="宋体"/>
          <w:sz w:val="21"/>
          <w:szCs w:val="21"/>
          <w:u w:val="none" w:color="333333"/>
          <w:lang w:val="zh-TW" w:eastAsia="zh-CN"/>
        </w:rPr>
      </w:pPr>
      <w:r>
        <w:rPr>
          <w:rFonts w:hint="eastAsia" w:hAnsi="宋体"/>
          <w:sz w:val="21"/>
          <w:szCs w:val="21"/>
          <w:u w:val="none" w:color="333333"/>
          <w:lang w:val="zh-TW" w:eastAsia="zh-CN"/>
        </w:rPr>
        <w:t>不适用</w:t>
      </w: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PMingLiUfalt">
    <w:altName w:val="MingLiU-ExtB"/>
    <w:panose1 w:val="00000000000000000000"/>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39589741">
    <w:nsid w:val="320B1F6D"/>
    <w:multiLevelType w:val="multilevel"/>
    <w:tmpl w:val="320B1F6D"/>
    <w:lvl w:ilvl="0" w:tentative="1">
      <w:start w:val="1"/>
      <w:numFmt w:val="decimal"/>
      <w:lvlText w:val="8.%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decimal"/>
      <w:lvlText w:val="8.%3"/>
      <w:lvlJc w:val="right"/>
      <w:pPr>
        <w:ind w:left="1260" w:hanging="420"/>
      </w:pPr>
      <w:rPr>
        <w:rFonts w:hint="eastAsia"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751467757">
    <w:nsid w:val="686546ED"/>
    <w:multiLevelType w:val="multilevel"/>
    <w:tmpl w:val="686546ED"/>
    <w:lvl w:ilvl="0" w:tentative="1">
      <w:start w:val="1"/>
      <w:numFmt w:val="decimal"/>
      <w:pStyle w:val="32"/>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cs="Times New Roman"/>
        <w:sz w:val="22"/>
      </w:rPr>
    </w:lvl>
    <w:lvl w:ilvl="1" w:tentative="1">
      <w:start w:val="1"/>
      <w:numFmt w:val="decimal"/>
      <w:lvlText w:val="%1.%2."/>
      <w:lvlJc w:val="left"/>
      <w:pPr>
        <w:tabs>
          <w:tab w:val="left" w:pos="567"/>
        </w:tabs>
        <w:ind w:left="567" w:hanging="567"/>
      </w:pPr>
      <w:rPr>
        <w:rFonts w:hint="default" w:cs="Times New Roman"/>
        <w:sz w:val="22"/>
      </w:rPr>
    </w:lvl>
    <w:lvl w:ilvl="2" w:tentative="1">
      <w:start w:val="1"/>
      <w:numFmt w:val="decimal"/>
      <w:lvlText w:val="%1.%2.%3."/>
      <w:lvlJc w:val="left"/>
      <w:pPr>
        <w:tabs>
          <w:tab w:val="left" w:pos="709"/>
        </w:tabs>
        <w:ind w:left="709" w:hanging="709"/>
      </w:pPr>
      <w:rPr>
        <w:rFonts w:hint="default" w:cs="Times New Roman"/>
      </w:rPr>
    </w:lvl>
    <w:lvl w:ilvl="3" w:tentative="1">
      <w:start w:val="1"/>
      <w:numFmt w:val="decimal"/>
      <w:lvlText w:val="%1.%2.%3.%4."/>
      <w:lvlJc w:val="left"/>
      <w:pPr>
        <w:tabs>
          <w:tab w:val="left" w:pos="851"/>
        </w:tabs>
        <w:ind w:left="851" w:hanging="851"/>
      </w:pPr>
      <w:rPr>
        <w:rFonts w:hint="default" w:cs="Times New Roman"/>
      </w:rPr>
    </w:lvl>
    <w:lvl w:ilvl="4" w:tentative="1">
      <w:start w:val="1"/>
      <w:numFmt w:val="decimal"/>
      <w:lvlText w:val="%1.%2.%3.%4.%5."/>
      <w:lvlJc w:val="left"/>
      <w:pPr>
        <w:tabs>
          <w:tab w:val="left" w:pos="992"/>
        </w:tabs>
        <w:ind w:left="992" w:hanging="992"/>
      </w:pPr>
      <w:rPr>
        <w:rFonts w:hint="default" w:cs="Times New Roman"/>
      </w:rPr>
    </w:lvl>
    <w:lvl w:ilvl="5" w:tentative="1">
      <w:start w:val="1"/>
      <w:numFmt w:val="decimal"/>
      <w:lvlText w:val="%1.%2.%3.%4.%5.%6."/>
      <w:lvlJc w:val="left"/>
      <w:pPr>
        <w:tabs>
          <w:tab w:val="left" w:pos="1134"/>
        </w:tabs>
        <w:ind w:left="1134" w:hanging="1134"/>
      </w:pPr>
      <w:rPr>
        <w:rFonts w:hint="default" w:cs="Times New Roman"/>
      </w:rPr>
    </w:lvl>
    <w:lvl w:ilvl="6" w:tentative="1">
      <w:start w:val="1"/>
      <w:numFmt w:val="decimal"/>
      <w:lvlText w:val="%1.%2.%3.%4.%5.%6.%7."/>
      <w:lvlJc w:val="left"/>
      <w:pPr>
        <w:tabs>
          <w:tab w:val="left" w:pos="1276"/>
        </w:tabs>
        <w:ind w:left="1276" w:hanging="1276"/>
      </w:pPr>
      <w:rPr>
        <w:rFonts w:hint="default" w:cs="Times New Roman"/>
      </w:rPr>
    </w:lvl>
    <w:lvl w:ilvl="7" w:tentative="1">
      <w:start w:val="1"/>
      <w:numFmt w:val="decimal"/>
      <w:lvlText w:val="%1.%2.%3.%4.%5.%6.%7.%8."/>
      <w:lvlJc w:val="left"/>
      <w:pPr>
        <w:tabs>
          <w:tab w:val="left" w:pos="1418"/>
        </w:tabs>
        <w:ind w:left="1418" w:hanging="1418"/>
      </w:pPr>
      <w:rPr>
        <w:rFonts w:hint="default" w:cs="Times New Roman"/>
      </w:rPr>
    </w:lvl>
    <w:lvl w:ilvl="8" w:tentative="1">
      <w:start w:val="1"/>
      <w:numFmt w:val="decimal"/>
      <w:lvlText w:val="%1.%2.%3.%4.%5.%6.%7.%8.%9."/>
      <w:lvlJc w:val="left"/>
      <w:pPr>
        <w:tabs>
          <w:tab w:val="left" w:pos="1559"/>
        </w:tabs>
        <w:ind w:left="1559" w:hanging="1559"/>
      </w:pPr>
      <w:rPr>
        <w:rFonts w:hint="default" w:cs="Times New Roman"/>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94097956">
    <w:nsid w:val="23693724"/>
    <w:multiLevelType w:val="multilevel"/>
    <w:tmpl w:val="23693724"/>
    <w:lvl w:ilvl="0" w:tentative="1">
      <w:start w:val="1"/>
      <w:numFmt w:val="decimal"/>
      <w:lvlText w:val="%1"/>
      <w:lvlJc w:val="left"/>
      <w:pPr>
        <w:ind w:left="425" w:hanging="425"/>
      </w:pPr>
      <w:rPr>
        <w:rFonts w:cs="Times New Roman"/>
      </w:rPr>
    </w:lvl>
    <w:lvl w:ilvl="1" w:tentative="1">
      <w:start w:val="1"/>
      <w:numFmt w:val="decimal"/>
      <w:lvlText w:val="%1.%2"/>
      <w:lvlJc w:val="left"/>
      <w:pPr>
        <w:ind w:left="992" w:hanging="567"/>
      </w:pPr>
      <w:rPr>
        <w:rFonts w:cs="Times New Roman"/>
      </w:rPr>
    </w:lvl>
    <w:lvl w:ilvl="2" w:tentative="1">
      <w:start w:val="1"/>
      <w:numFmt w:val="decimal"/>
      <w:lvlText w:val="%1.%2.%3"/>
      <w:lvlJc w:val="left"/>
      <w:pPr>
        <w:ind w:left="1418" w:hanging="567"/>
      </w:pPr>
      <w:rPr>
        <w:rFonts w:cs="Times New Roman"/>
      </w:rPr>
    </w:lvl>
    <w:lvl w:ilvl="3" w:tentative="1">
      <w:start w:val="1"/>
      <w:numFmt w:val="decimal"/>
      <w:lvlText w:val="%1.%2.%3.%4"/>
      <w:lvlJc w:val="left"/>
      <w:pPr>
        <w:ind w:left="1984" w:hanging="708"/>
      </w:pPr>
      <w:rPr>
        <w:rFonts w:cs="Times New Roman"/>
      </w:rPr>
    </w:lvl>
    <w:lvl w:ilvl="4" w:tentative="1">
      <w:start w:val="1"/>
      <w:numFmt w:val="decimal"/>
      <w:lvlText w:val="%1.%2.%3.%4.%5"/>
      <w:lvlJc w:val="left"/>
      <w:pPr>
        <w:ind w:left="2551" w:hanging="850"/>
      </w:pPr>
      <w:rPr>
        <w:rFonts w:cs="Times New Roman"/>
      </w:rPr>
    </w:lvl>
    <w:lvl w:ilvl="5" w:tentative="1">
      <w:start w:val="1"/>
      <w:numFmt w:val="decimal"/>
      <w:lvlText w:val="%1.%2.%3.%4.%5.%6"/>
      <w:lvlJc w:val="left"/>
      <w:pPr>
        <w:ind w:left="3260" w:hanging="1134"/>
      </w:pPr>
      <w:rPr>
        <w:rFonts w:cs="Times New Roman"/>
      </w:rPr>
    </w:lvl>
    <w:lvl w:ilvl="6" w:tentative="1">
      <w:start w:val="1"/>
      <w:numFmt w:val="decimal"/>
      <w:lvlText w:val="%1.%2.%3.%4.%5.%6.%7"/>
      <w:lvlJc w:val="left"/>
      <w:pPr>
        <w:ind w:left="3827" w:hanging="1276"/>
      </w:pPr>
      <w:rPr>
        <w:rFonts w:cs="Times New Roman"/>
      </w:rPr>
    </w:lvl>
    <w:lvl w:ilvl="7" w:tentative="1">
      <w:start w:val="1"/>
      <w:numFmt w:val="decimal"/>
      <w:lvlText w:val="%1.%2.%3.%4.%5.%6.%7.%8"/>
      <w:lvlJc w:val="left"/>
      <w:pPr>
        <w:ind w:left="4394" w:hanging="1418"/>
      </w:pPr>
      <w:rPr>
        <w:rFonts w:cs="Times New Roman"/>
      </w:rPr>
    </w:lvl>
    <w:lvl w:ilvl="8" w:tentative="1">
      <w:start w:val="1"/>
      <w:numFmt w:val="decimal"/>
      <w:lvlText w:val="%1.%2.%3.%4.%5.%6.%7.%8.%9"/>
      <w:lvlJc w:val="left"/>
      <w:pPr>
        <w:ind w:left="5102" w:hanging="1700"/>
      </w:pPr>
      <w:rPr>
        <w:rFonts w:cs="Times New Roman"/>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cs="Times New Roman"/>
      </w:rPr>
    </w:lvl>
    <w:lvl w:ilvl="1" w:tentative="1">
      <w:start w:val="1"/>
      <w:numFmt w:val="lowerLetter"/>
      <w:lvlText w:val="%2)"/>
      <w:lvlJc w:val="left"/>
      <w:pPr>
        <w:ind w:left="1440" w:hanging="420"/>
      </w:pPr>
      <w:rPr>
        <w:rFonts w:cs="Times New Roman"/>
      </w:rPr>
    </w:lvl>
    <w:lvl w:ilvl="2" w:tentative="1">
      <w:start w:val="1"/>
      <w:numFmt w:val="lowerRoman"/>
      <w:lvlText w:val="%3."/>
      <w:lvlJc w:val="right"/>
      <w:pPr>
        <w:ind w:left="1860" w:hanging="420"/>
      </w:pPr>
      <w:rPr>
        <w:rFonts w:cs="Times New Roman"/>
      </w:rPr>
    </w:lvl>
    <w:lvl w:ilvl="3" w:tentative="1">
      <w:start w:val="1"/>
      <w:numFmt w:val="decimal"/>
      <w:lvlText w:val="%4."/>
      <w:lvlJc w:val="left"/>
      <w:pPr>
        <w:ind w:left="2280" w:hanging="420"/>
      </w:pPr>
      <w:rPr>
        <w:rFonts w:cs="Times New Roman"/>
      </w:rPr>
    </w:lvl>
    <w:lvl w:ilvl="4" w:tentative="1">
      <w:start w:val="1"/>
      <w:numFmt w:val="lowerLetter"/>
      <w:lvlText w:val="%5)"/>
      <w:lvlJc w:val="left"/>
      <w:pPr>
        <w:ind w:left="2700" w:hanging="420"/>
      </w:pPr>
      <w:rPr>
        <w:rFonts w:cs="Times New Roman"/>
      </w:rPr>
    </w:lvl>
    <w:lvl w:ilvl="5" w:tentative="1">
      <w:start w:val="1"/>
      <w:numFmt w:val="lowerRoman"/>
      <w:lvlText w:val="%6."/>
      <w:lvlJc w:val="right"/>
      <w:pPr>
        <w:ind w:left="3120" w:hanging="420"/>
      </w:pPr>
      <w:rPr>
        <w:rFonts w:cs="Times New Roman"/>
      </w:rPr>
    </w:lvl>
    <w:lvl w:ilvl="6" w:tentative="1">
      <w:start w:val="1"/>
      <w:numFmt w:val="decimal"/>
      <w:lvlText w:val="%7."/>
      <w:lvlJc w:val="left"/>
      <w:pPr>
        <w:ind w:left="3540" w:hanging="420"/>
      </w:pPr>
      <w:rPr>
        <w:rFonts w:cs="Times New Roman"/>
      </w:rPr>
    </w:lvl>
    <w:lvl w:ilvl="7" w:tentative="1">
      <w:start w:val="1"/>
      <w:numFmt w:val="lowerLetter"/>
      <w:lvlText w:val="%8)"/>
      <w:lvlJc w:val="left"/>
      <w:pPr>
        <w:ind w:left="3960" w:hanging="420"/>
      </w:pPr>
      <w:rPr>
        <w:rFonts w:cs="Times New Roman"/>
      </w:rPr>
    </w:lvl>
    <w:lvl w:ilvl="8" w:tentative="1">
      <w:start w:val="1"/>
      <w:numFmt w:val="lowerRoman"/>
      <w:lvlText w:val="%9."/>
      <w:lvlJc w:val="right"/>
      <w:pPr>
        <w:ind w:left="4380" w:hanging="420"/>
      </w:pPr>
      <w:rPr>
        <w:rFonts w:cs="Times New Roman"/>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trackedChanges" w:enforcement="0"/>
  <w:defaultTabStop w:val="720"/>
  <w:drawingGridHorizontalSpacing w:val="120"/>
  <w:drawingGridVerticalSpacing w:val="158"/>
  <w:displayHorizontalDrawingGridEvery w:val="1"/>
  <w:displayVerticalDrawingGridEvery w:val="1"/>
  <w:noPunctuationKerning w:val="1"/>
  <w:characterSpacingControl w:val="doNotCompress"/>
  <w:noLineBreaksAfter w:lang="zh-CN" w:val="$([{£¥·‘“〈《「『【〔〖〝﹙﹛﹝＄（．［｛￡￥"/>
  <w:noLineBreaksBefore w:lang="zh-CN" w:val="!%),.:;&gt;?]}¢¨°·ˇˉ―‖’”…‰′″›℃∶、。〃〉》」』】〕〗〞︶︺︾﹀﹄﹚﹜﹞！＂％＇），．：；？］｀｜｝～￠"/>
  <w:compat>
    <w:spaceForUL/>
    <w:doNotLeaveBackslashAlone/>
    <w:ulTrailSpace/>
    <w:splitPgBreakAndParaMark/>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9AD"/>
    <w:rsid w:val="00005CB9"/>
    <w:rsid w:val="00005E76"/>
    <w:rsid w:val="00006273"/>
    <w:rsid w:val="00006FD5"/>
    <w:rsid w:val="000077BA"/>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4DF5"/>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95DC3"/>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4449"/>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08B0"/>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367D"/>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C6792"/>
    <w:rsid w:val="002C6E0B"/>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0D44"/>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58C9"/>
    <w:rsid w:val="004565EF"/>
    <w:rsid w:val="00457FF9"/>
    <w:rsid w:val="004601ED"/>
    <w:rsid w:val="00460711"/>
    <w:rsid w:val="0046108B"/>
    <w:rsid w:val="00466F5B"/>
    <w:rsid w:val="00467AE6"/>
    <w:rsid w:val="00467EC9"/>
    <w:rsid w:val="0047089B"/>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E7C93"/>
    <w:rsid w:val="004F0539"/>
    <w:rsid w:val="004F10A4"/>
    <w:rsid w:val="004F12EC"/>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50D4"/>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42"/>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96B"/>
    <w:rsid w:val="005C2B89"/>
    <w:rsid w:val="005C2FA7"/>
    <w:rsid w:val="005C386F"/>
    <w:rsid w:val="005C42AC"/>
    <w:rsid w:val="005C4D05"/>
    <w:rsid w:val="005C506B"/>
    <w:rsid w:val="005C5B41"/>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07820"/>
    <w:rsid w:val="00610AEE"/>
    <w:rsid w:val="00615A93"/>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36B7"/>
    <w:rsid w:val="00663F7E"/>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48C6"/>
    <w:rsid w:val="0071622D"/>
    <w:rsid w:val="007168CC"/>
    <w:rsid w:val="007176BB"/>
    <w:rsid w:val="00717811"/>
    <w:rsid w:val="007208DD"/>
    <w:rsid w:val="00720A17"/>
    <w:rsid w:val="00720D4B"/>
    <w:rsid w:val="00723A0F"/>
    <w:rsid w:val="00726CB6"/>
    <w:rsid w:val="00727255"/>
    <w:rsid w:val="0072779B"/>
    <w:rsid w:val="00727CCF"/>
    <w:rsid w:val="0073446D"/>
    <w:rsid w:val="007349FF"/>
    <w:rsid w:val="00734B45"/>
    <w:rsid w:val="00736FFB"/>
    <w:rsid w:val="00737107"/>
    <w:rsid w:val="00740080"/>
    <w:rsid w:val="00741A30"/>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A8F"/>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A7EF1"/>
    <w:rsid w:val="007B00D7"/>
    <w:rsid w:val="007B03B6"/>
    <w:rsid w:val="007B1257"/>
    <w:rsid w:val="007B33CC"/>
    <w:rsid w:val="007B4133"/>
    <w:rsid w:val="007B49F4"/>
    <w:rsid w:val="007B747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3AEF"/>
    <w:rsid w:val="008F447E"/>
    <w:rsid w:val="00904BA9"/>
    <w:rsid w:val="00904E7E"/>
    <w:rsid w:val="009058AB"/>
    <w:rsid w:val="0091086B"/>
    <w:rsid w:val="00911129"/>
    <w:rsid w:val="00912EA3"/>
    <w:rsid w:val="00914B6E"/>
    <w:rsid w:val="009156A2"/>
    <w:rsid w:val="0091579A"/>
    <w:rsid w:val="0091615D"/>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2BD7"/>
    <w:rsid w:val="009848CB"/>
    <w:rsid w:val="00984D10"/>
    <w:rsid w:val="0098600B"/>
    <w:rsid w:val="009861C1"/>
    <w:rsid w:val="00987177"/>
    <w:rsid w:val="00987F11"/>
    <w:rsid w:val="0099128D"/>
    <w:rsid w:val="009917F1"/>
    <w:rsid w:val="00991E37"/>
    <w:rsid w:val="00991E74"/>
    <w:rsid w:val="009926A6"/>
    <w:rsid w:val="0099415E"/>
    <w:rsid w:val="009948BF"/>
    <w:rsid w:val="00995320"/>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1AFC"/>
    <w:rsid w:val="009F4200"/>
    <w:rsid w:val="009F4933"/>
    <w:rsid w:val="009F5FD0"/>
    <w:rsid w:val="009F6DD5"/>
    <w:rsid w:val="009F7B12"/>
    <w:rsid w:val="00A020A2"/>
    <w:rsid w:val="00A0297B"/>
    <w:rsid w:val="00A0358E"/>
    <w:rsid w:val="00A049F9"/>
    <w:rsid w:val="00A0529B"/>
    <w:rsid w:val="00A0766F"/>
    <w:rsid w:val="00A10187"/>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5BD"/>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7CC"/>
    <w:rsid w:val="00A76AEE"/>
    <w:rsid w:val="00A801B4"/>
    <w:rsid w:val="00A80C9D"/>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05B9"/>
    <w:rsid w:val="00AB2F87"/>
    <w:rsid w:val="00AB3113"/>
    <w:rsid w:val="00AB32C3"/>
    <w:rsid w:val="00AB5E2B"/>
    <w:rsid w:val="00AB6069"/>
    <w:rsid w:val="00AB6467"/>
    <w:rsid w:val="00AC0575"/>
    <w:rsid w:val="00AC0758"/>
    <w:rsid w:val="00AC0934"/>
    <w:rsid w:val="00AC17EE"/>
    <w:rsid w:val="00AC2BFD"/>
    <w:rsid w:val="00AC4DDD"/>
    <w:rsid w:val="00AC5A43"/>
    <w:rsid w:val="00AC5D2C"/>
    <w:rsid w:val="00AC6B6D"/>
    <w:rsid w:val="00AD1E62"/>
    <w:rsid w:val="00AD3559"/>
    <w:rsid w:val="00AD3B05"/>
    <w:rsid w:val="00AD3C8E"/>
    <w:rsid w:val="00AD470D"/>
    <w:rsid w:val="00AD5193"/>
    <w:rsid w:val="00AD7390"/>
    <w:rsid w:val="00AD7E6F"/>
    <w:rsid w:val="00AE1BD8"/>
    <w:rsid w:val="00AE2817"/>
    <w:rsid w:val="00AE304B"/>
    <w:rsid w:val="00AE3531"/>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081D"/>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6862"/>
    <w:rsid w:val="00B9725A"/>
    <w:rsid w:val="00BA2137"/>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1762D"/>
    <w:rsid w:val="00C214F3"/>
    <w:rsid w:val="00C22382"/>
    <w:rsid w:val="00C2355B"/>
    <w:rsid w:val="00C274A6"/>
    <w:rsid w:val="00C34201"/>
    <w:rsid w:val="00C35A38"/>
    <w:rsid w:val="00C35CBC"/>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4704"/>
    <w:rsid w:val="00C66D15"/>
    <w:rsid w:val="00C671D0"/>
    <w:rsid w:val="00C6754C"/>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5EC"/>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3CB2"/>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5051"/>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27FE6"/>
    <w:rsid w:val="00E33928"/>
    <w:rsid w:val="00E33C90"/>
    <w:rsid w:val="00E34D15"/>
    <w:rsid w:val="00E35E86"/>
    <w:rsid w:val="00E36B45"/>
    <w:rsid w:val="00E37BF1"/>
    <w:rsid w:val="00E37FD8"/>
    <w:rsid w:val="00E428B3"/>
    <w:rsid w:val="00E44D19"/>
    <w:rsid w:val="00E51372"/>
    <w:rsid w:val="00E51CAF"/>
    <w:rsid w:val="00E51E95"/>
    <w:rsid w:val="00E51F9D"/>
    <w:rsid w:val="00E5202F"/>
    <w:rsid w:val="00E5211A"/>
    <w:rsid w:val="00E53A9F"/>
    <w:rsid w:val="00E549AF"/>
    <w:rsid w:val="00E60540"/>
    <w:rsid w:val="00E61C74"/>
    <w:rsid w:val="00E63D8F"/>
    <w:rsid w:val="00E703F3"/>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547D"/>
    <w:rsid w:val="00ED6A08"/>
    <w:rsid w:val="00EE05EE"/>
    <w:rsid w:val="00EE0AE2"/>
    <w:rsid w:val="00EE35B4"/>
    <w:rsid w:val="00EE5643"/>
    <w:rsid w:val="00EE7BCD"/>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02A8"/>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C0B"/>
    <w:rsid w:val="00FC1FDF"/>
    <w:rsid w:val="00FC3360"/>
    <w:rsid w:val="00FC3E27"/>
    <w:rsid w:val="00FC493B"/>
    <w:rsid w:val="00FC5C61"/>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1077636"/>
    <w:rsid w:val="0444017A"/>
    <w:rsid w:val="070C26A4"/>
    <w:rsid w:val="074B28A4"/>
    <w:rsid w:val="076E13EB"/>
    <w:rsid w:val="09E01037"/>
    <w:rsid w:val="0AE94B37"/>
    <w:rsid w:val="0C1F7208"/>
    <w:rsid w:val="0C513E99"/>
    <w:rsid w:val="0D030185"/>
    <w:rsid w:val="0D4C7E82"/>
    <w:rsid w:val="0DA27213"/>
    <w:rsid w:val="0FB67285"/>
    <w:rsid w:val="0FBC23CB"/>
    <w:rsid w:val="10C16EB7"/>
    <w:rsid w:val="1477016C"/>
    <w:rsid w:val="149511CE"/>
    <w:rsid w:val="14CA3B15"/>
    <w:rsid w:val="14F5622F"/>
    <w:rsid w:val="17D67D47"/>
    <w:rsid w:val="1AA56983"/>
    <w:rsid w:val="1B0D17EF"/>
    <w:rsid w:val="1E0D2285"/>
    <w:rsid w:val="211645C6"/>
    <w:rsid w:val="22231F38"/>
    <w:rsid w:val="223B4FDD"/>
    <w:rsid w:val="226517C9"/>
    <w:rsid w:val="238D3DD5"/>
    <w:rsid w:val="24502A94"/>
    <w:rsid w:val="290F3DA7"/>
    <w:rsid w:val="2B2C5EF9"/>
    <w:rsid w:val="2B466BB5"/>
    <w:rsid w:val="2C3B46E3"/>
    <w:rsid w:val="32534043"/>
    <w:rsid w:val="331E04EC"/>
    <w:rsid w:val="343C0DE9"/>
    <w:rsid w:val="344F14B0"/>
    <w:rsid w:val="365420B9"/>
    <w:rsid w:val="36C23BC9"/>
    <w:rsid w:val="386763D8"/>
    <w:rsid w:val="38ED76F3"/>
    <w:rsid w:val="3CB63496"/>
    <w:rsid w:val="402A7270"/>
    <w:rsid w:val="4343077B"/>
    <w:rsid w:val="44164DAE"/>
    <w:rsid w:val="45F50632"/>
    <w:rsid w:val="47E8188E"/>
    <w:rsid w:val="4B8C7D94"/>
    <w:rsid w:val="4DB57604"/>
    <w:rsid w:val="4F030A2B"/>
    <w:rsid w:val="4F7C2C0E"/>
    <w:rsid w:val="50E33DA8"/>
    <w:rsid w:val="527A551C"/>
    <w:rsid w:val="55F708FD"/>
    <w:rsid w:val="57B35854"/>
    <w:rsid w:val="5AB66B90"/>
    <w:rsid w:val="5B4F5173"/>
    <w:rsid w:val="5BDA5FEE"/>
    <w:rsid w:val="5C7C23BF"/>
    <w:rsid w:val="5D7455FD"/>
    <w:rsid w:val="5E417F2A"/>
    <w:rsid w:val="633A681D"/>
    <w:rsid w:val="64D22607"/>
    <w:rsid w:val="65FF54A6"/>
    <w:rsid w:val="68A95260"/>
    <w:rsid w:val="69DF67AE"/>
    <w:rsid w:val="6D9F7289"/>
    <w:rsid w:val="6E570C89"/>
    <w:rsid w:val="6E90591D"/>
    <w:rsid w:val="6E945F4C"/>
    <w:rsid w:val="6F31137E"/>
    <w:rsid w:val="736633EF"/>
    <w:rsid w:val="767E2F22"/>
    <w:rsid w:val="773B25EF"/>
    <w:rsid w:val="77CA6A96"/>
    <w:rsid w:val="786965FC"/>
    <w:rsid w:val="793643F0"/>
    <w:rsid w:val="7C3912E2"/>
    <w:rsid w:val="7D271799"/>
    <w:rsid w:val="7E9B4975"/>
    <w:rsid w:val="7F6F4201"/>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link w:val="36"/>
    <w:qFormat/>
    <w:uiPriority w:val="99"/>
    <w:pPr>
      <w:keepNext/>
      <w:keepLines/>
      <w:numPr>
        <w:ilvl w:val="0"/>
        <w:numId w:val="1"/>
      </w:numPr>
      <w:spacing w:line="360" w:lineRule="auto"/>
      <w:outlineLvl w:val="0"/>
    </w:pPr>
    <w:rPr>
      <w:b/>
      <w:bCs/>
      <w:kern w:val="44"/>
      <w:sz w:val="44"/>
      <w:szCs w:val="44"/>
    </w:rPr>
  </w:style>
  <w:style w:type="paragraph" w:styleId="3">
    <w:name w:val="heading 2"/>
    <w:basedOn w:val="1"/>
    <w:next w:val="1"/>
    <w:link w:val="37"/>
    <w:qFormat/>
    <w:uiPriority w:val="99"/>
    <w:pPr>
      <w:keepNext/>
      <w:keepLines/>
      <w:spacing w:line="360" w:lineRule="auto"/>
      <w:outlineLvl w:val="1"/>
    </w:pPr>
    <w:rPr>
      <w:rFonts w:ascii="Cambria" w:hAnsi="Cambria"/>
      <w:b/>
      <w:bCs/>
      <w:sz w:val="32"/>
      <w:szCs w:val="32"/>
    </w:rPr>
  </w:style>
  <w:style w:type="paragraph" w:styleId="4">
    <w:name w:val="heading 3"/>
    <w:basedOn w:val="1"/>
    <w:next w:val="1"/>
    <w:link w:val="38"/>
    <w:qFormat/>
    <w:uiPriority w:val="99"/>
    <w:pPr>
      <w:keepNext/>
      <w:spacing w:line="360" w:lineRule="auto"/>
      <w:outlineLvl w:val="2"/>
    </w:pPr>
    <w:rPr>
      <w:b/>
      <w:bCs/>
      <w:sz w:val="32"/>
      <w:szCs w:val="32"/>
    </w:rPr>
  </w:style>
  <w:style w:type="paragraph" w:styleId="5">
    <w:name w:val="heading 4"/>
    <w:basedOn w:val="1"/>
    <w:next w:val="1"/>
    <w:link w:val="39"/>
    <w:qFormat/>
    <w:uiPriority w:val="99"/>
    <w:pPr>
      <w:keepNext/>
      <w:spacing w:before="240" w:after="60"/>
      <w:outlineLvl w:val="3"/>
    </w:pPr>
    <w:rPr>
      <w:rFonts w:ascii="Cambria" w:hAnsi="Cambria"/>
      <w:b/>
      <w:bCs/>
      <w:sz w:val="28"/>
      <w:szCs w:val="28"/>
    </w:rPr>
  </w:style>
  <w:style w:type="character" w:default="1" w:styleId="19">
    <w:name w:val="Default Paragraph Font"/>
    <w:unhideWhenUsed/>
    <w:qFormat/>
    <w:uiPriority w:val="1"/>
  </w:style>
  <w:style w:type="table" w:default="1" w:styleId="23">
    <w:name w:val="Normal Table"/>
    <w:unhideWhenUsed/>
    <w:qFormat/>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link w:val="49"/>
    <w:semiHidden/>
    <w:qFormat/>
    <w:uiPriority w:val="99"/>
    <w:rPr>
      <w:b/>
      <w:bCs/>
    </w:rPr>
  </w:style>
  <w:style w:type="paragraph" w:styleId="7">
    <w:name w:val="annotation text"/>
    <w:basedOn w:val="1"/>
    <w:link w:val="40"/>
    <w:semiHidden/>
    <w:qFormat/>
    <w:uiPriority w:val="99"/>
    <w:rPr>
      <w:sz w:val="24"/>
    </w:rPr>
  </w:style>
  <w:style w:type="paragraph" w:styleId="8">
    <w:name w:val="Body Text 3"/>
    <w:basedOn w:val="1"/>
    <w:link w:val="41"/>
    <w:qFormat/>
    <w:uiPriority w:val="99"/>
    <w:pPr>
      <w:spacing w:after="120"/>
    </w:pPr>
    <w:rPr>
      <w:sz w:val="16"/>
      <w:szCs w:val="16"/>
    </w:rPr>
  </w:style>
  <w:style w:type="paragraph" w:styleId="9">
    <w:name w:val="Body Text"/>
    <w:basedOn w:val="1"/>
    <w:link w:val="42"/>
    <w:qFormat/>
    <w:uiPriority w:val="99"/>
    <w:pPr>
      <w:ind w:right="56"/>
    </w:pPr>
    <w:rPr>
      <w:sz w:val="20"/>
    </w:rPr>
  </w:style>
  <w:style w:type="paragraph" w:styleId="10">
    <w:name w:val="Body Text Indent"/>
    <w:basedOn w:val="1"/>
    <w:link w:val="43"/>
    <w:qFormat/>
    <w:uiPriority w:val="99"/>
    <w:pPr>
      <w:spacing w:after="120"/>
      <w:ind w:left="420" w:leftChars="200"/>
    </w:pPr>
    <w:rPr>
      <w:sz w:val="20"/>
    </w:rPr>
  </w:style>
  <w:style w:type="paragraph" w:styleId="11">
    <w:name w:val="toc 3"/>
    <w:basedOn w:val="1"/>
    <w:next w:val="1"/>
    <w:qFormat/>
    <w:uiPriority w:val="99"/>
    <w:pPr>
      <w:tabs>
        <w:tab w:val="right" w:leader="dot" w:pos="8302"/>
        <w:tab w:val="right" w:leader="dot" w:pos="8835"/>
      </w:tabs>
      <w:spacing w:line="360" w:lineRule="auto"/>
      <w:ind w:left="300" w:leftChars="300"/>
    </w:pPr>
    <w:rPr>
      <w:sz w:val="20"/>
    </w:rPr>
  </w:style>
  <w:style w:type="paragraph" w:styleId="12">
    <w:name w:val="Body Text Indent 2"/>
    <w:basedOn w:val="1"/>
    <w:link w:val="44"/>
    <w:qFormat/>
    <w:uiPriority w:val="99"/>
    <w:pPr>
      <w:spacing w:after="120" w:line="480" w:lineRule="auto"/>
      <w:ind w:left="420" w:leftChars="200"/>
    </w:pPr>
    <w:rPr>
      <w:sz w:val="20"/>
    </w:rPr>
  </w:style>
  <w:style w:type="paragraph" w:styleId="13">
    <w:name w:val="Balloon Text"/>
    <w:basedOn w:val="1"/>
    <w:link w:val="45"/>
    <w:semiHidden/>
    <w:qFormat/>
    <w:uiPriority w:val="99"/>
    <w:rPr>
      <w:sz w:val="2"/>
    </w:rPr>
  </w:style>
  <w:style w:type="paragraph" w:styleId="14">
    <w:name w:val="footer"/>
    <w:basedOn w:val="1"/>
    <w:link w:val="50"/>
    <w:qFormat/>
    <w:uiPriority w:val="99"/>
    <w:pPr>
      <w:tabs>
        <w:tab w:val="center" w:pos="4320"/>
        <w:tab w:val="right" w:pos="8640"/>
      </w:tabs>
    </w:pPr>
    <w:rPr>
      <w:sz w:val="24"/>
    </w:rPr>
  </w:style>
  <w:style w:type="paragraph" w:styleId="15">
    <w:name w:val="header"/>
    <w:basedOn w:val="1"/>
    <w:link w:val="47"/>
    <w:qFormat/>
    <w:uiPriority w:val="99"/>
    <w:pPr>
      <w:tabs>
        <w:tab w:val="center" w:pos="4320"/>
        <w:tab w:val="right" w:pos="8640"/>
      </w:tabs>
    </w:pPr>
    <w:rPr>
      <w:sz w:val="24"/>
    </w:rPr>
  </w:style>
  <w:style w:type="paragraph" w:styleId="16">
    <w:name w:val="toc 1"/>
    <w:basedOn w:val="1"/>
    <w:next w:val="1"/>
    <w:qFormat/>
    <w:uiPriority w:val="9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qFormat/>
    <w:uiPriority w:val="99"/>
    <w:pPr>
      <w:widowControl w:val="0"/>
      <w:tabs>
        <w:tab w:val="right" w:leader="dot" w:pos="8302"/>
      </w:tabs>
      <w:adjustRightInd/>
      <w:spacing w:line="360" w:lineRule="auto"/>
      <w:ind w:left="200" w:leftChars="200"/>
      <w:textAlignment w:val="auto"/>
    </w:pPr>
    <w:rPr>
      <w:kern w:val="2"/>
      <w:lang w:val="en-US" w:eastAsia="zh-CN"/>
    </w:rPr>
  </w:style>
  <w:style w:type="paragraph" w:styleId="18">
    <w:name w:val="Title"/>
    <w:basedOn w:val="1"/>
    <w:next w:val="1"/>
    <w:link w:val="48"/>
    <w:qFormat/>
    <w:uiPriority w:val="99"/>
    <w:pPr>
      <w:spacing w:before="240" w:after="60"/>
      <w:jc w:val="center"/>
      <w:outlineLvl w:val="0"/>
    </w:pPr>
    <w:rPr>
      <w:rFonts w:ascii="Calibri Light" w:hAnsi="Calibri Light"/>
      <w:b/>
      <w:sz w:val="32"/>
    </w:rPr>
  </w:style>
  <w:style w:type="character" w:styleId="20">
    <w:name w:val="page number"/>
    <w:qFormat/>
    <w:uiPriority w:val="99"/>
    <w:rPr>
      <w:rFonts w:cs="Times New Roman"/>
    </w:rPr>
  </w:style>
  <w:style w:type="character" w:styleId="21">
    <w:name w:val="Hyperlink"/>
    <w:qFormat/>
    <w:uiPriority w:val="99"/>
    <w:rPr>
      <w:rFonts w:cs="Times New Roman"/>
      <w:color w:val="0000FF"/>
      <w:u w:val="single"/>
    </w:rPr>
  </w:style>
  <w:style w:type="character" w:styleId="22">
    <w:name w:val="annotation reference"/>
    <w:semiHidden/>
    <w:qFormat/>
    <w:uiPriority w:val="99"/>
    <w:rPr>
      <w:rFonts w:cs="Times New Roman"/>
      <w:sz w:val="21"/>
    </w:rPr>
  </w:style>
  <w:style w:type="table" w:styleId="24">
    <w:name w:val="Table Grid"/>
    <w:basedOn w:val="23"/>
    <w:qFormat/>
    <w:uiPriority w:val="9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qFormat/>
    <w:uiPriority w:val="99"/>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qFormat/>
    <w:uiPriority w:val="99"/>
    <w:pPr>
      <w:textAlignment w:val="auto"/>
    </w:pPr>
    <w:rPr>
      <w:rFonts w:ascii="Arial" w:hAnsi="Arial"/>
      <w:szCs w:val="24"/>
      <w:lang w:val="en-US"/>
    </w:rPr>
  </w:style>
  <w:style w:type="paragraph" w:customStyle="1" w:styleId="27">
    <w:name w:val="Style"/>
    <w:basedOn w:val="1"/>
    <w:qFormat/>
    <w:uiPriority w:val="99"/>
    <w:pPr>
      <w:textAlignment w:val="auto"/>
    </w:pPr>
    <w:rPr>
      <w:rFonts w:ascii="Arial" w:hAnsi="Arial"/>
      <w:szCs w:val="24"/>
      <w:lang w:val="en-US"/>
    </w:rPr>
  </w:style>
  <w:style w:type="paragraph" w:customStyle="1" w:styleId="28">
    <w:name w:val="正文1"/>
    <w:basedOn w:val="1"/>
    <w:qFormat/>
    <w:uiPriority w:val="99"/>
    <w:pPr>
      <w:textAlignment w:val="auto"/>
    </w:pPr>
    <w:rPr>
      <w:rFonts w:ascii="Arial" w:hAnsi="Arial"/>
      <w:sz w:val="20"/>
      <w:lang w:val="en-US"/>
    </w:rPr>
  </w:style>
  <w:style w:type="paragraph" w:customStyle="1" w:styleId="29">
    <w:name w:val="Revision1"/>
    <w:hidden/>
    <w:semiHidden/>
    <w:qFormat/>
    <w:uiPriority w:val="99"/>
    <w:rPr>
      <w:rFonts w:ascii="Times New Roman" w:hAnsi="Times New Roman" w:eastAsia="宋体" w:cs="Times New Roman"/>
      <w:sz w:val="24"/>
      <w:lang w:eastAsia="en-US" w:bidi="ar-SA"/>
    </w:rPr>
  </w:style>
  <w:style w:type="paragraph" w:customStyle="1" w:styleId="30">
    <w:name w:val="List Paragraph"/>
    <w:basedOn w:val="1"/>
    <w:qFormat/>
    <w:uiPriority w:val="99"/>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1"/>
    <w:basedOn w:val="2"/>
    <w:next w:val="1"/>
    <w:qFormat/>
    <w:uiPriority w:val="99"/>
    <w:pPr>
      <w:numPr>
        <w:ilvl w:val="0"/>
        <w:numId w:val="0"/>
      </w:numPr>
      <w:outlineLvl w:val="9"/>
    </w:pPr>
  </w:style>
  <w:style w:type="paragraph" w:customStyle="1" w:styleId="32">
    <w:name w:val="numbering blue"/>
    <w:basedOn w:val="1"/>
    <w:link w:val="53"/>
    <w:qFormat/>
    <w:uiPriority w:val="99"/>
    <w:pPr>
      <w:numPr>
        <w:ilvl w:val="0"/>
        <w:numId w:val="2"/>
      </w:numPr>
      <w:adjustRightInd/>
      <w:spacing w:after="120"/>
      <w:ind w:left="357" w:hanging="357"/>
      <w:contextualSpacing/>
      <w:textAlignment w:val="auto"/>
    </w:pPr>
    <w:rPr>
      <w:rFonts w:ascii="Arial" w:hAnsi="Arial" w:eastAsia="PMingLiUfalt"/>
      <w:color w:val="0070C0"/>
      <w:sz w:val="20"/>
      <w:lang w:val="en-US" w:eastAsia="zh-TW"/>
    </w:rPr>
  </w:style>
  <w:style w:type="paragraph" w:customStyle="1" w:styleId="33">
    <w:name w:val="Default"/>
    <w:qFormat/>
    <w:uiPriority w:val="99"/>
    <w:pPr>
      <w:widowControl w:val="0"/>
      <w:autoSpaceDE w:val="0"/>
      <w:autoSpaceDN w:val="0"/>
    </w:pPr>
    <w:rPr>
      <w:rFonts w:ascii="Arial" w:hAnsi="Arial" w:eastAsia="宋体" w:cs="Times New Roman"/>
      <w:color w:val="000000"/>
      <w:sz w:val="24"/>
      <w:lang w:val="en-US" w:eastAsia="zh-CN" w:bidi="ar-SA"/>
    </w:rPr>
  </w:style>
  <w:style w:type="paragraph" w:customStyle="1" w:styleId="34">
    <w:name w:val="Text"/>
    <w:basedOn w:val="1"/>
    <w:link w:val="54"/>
    <w:qFormat/>
    <w:uiPriority w:val="99"/>
    <w:pPr>
      <w:adjustRightInd/>
      <w:spacing w:before="120"/>
      <w:jc w:val="both"/>
      <w:textAlignment w:val="auto"/>
    </w:pPr>
    <w:rPr>
      <w:sz w:val="24"/>
      <w:lang w:val="en-US"/>
    </w:rPr>
  </w:style>
  <w:style w:type="paragraph" w:customStyle="1" w:styleId="35">
    <w:name w:val="Table text"/>
    <w:basedOn w:val="1"/>
    <w:qFormat/>
    <w:uiPriority w:val="99"/>
    <w:pPr>
      <w:adjustRightInd/>
      <w:spacing w:before="120" w:after="120"/>
      <w:jc w:val="both"/>
      <w:textAlignment w:val="auto"/>
    </w:pPr>
    <w:rPr>
      <w:lang w:val="en-US"/>
    </w:rPr>
  </w:style>
  <w:style w:type="character" w:customStyle="1" w:styleId="36">
    <w:name w:val="标题 1 字符"/>
    <w:link w:val="2"/>
    <w:qFormat/>
    <w:locked/>
    <w:uiPriority w:val="99"/>
    <w:rPr>
      <w:rFonts w:cs="Times New Roman"/>
      <w:b/>
      <w:kern w:val="44"/>
      <w:sz w:val="44"/>
      <w:lang w:eastAsia="en-US"/>
    </w:rPr>
  </w:style>
  <w:style w:type="character" w:customStyle="1" w:styleId="37">
    <w:name w:val="标题 2 字符"/>
    <w:link w:val="3"/>
    <w:semiHidden/>
    <w:qFormat/>
    <w:locked/>
    <w:uiPriority w:val="99"/>
    <w:rPr>
      <w:rFonts w:ascii="Cambria" w:hAnsi="Cambria" w:eastAsia="宋体" w:cs="Times New Roman"/>
      <w:b/>
      <w:kern w:val="0"/>
      <w:sz w:val="32"/>
      <w:lang w:eastAsia="en-US"/>
    </w:rPr>
  </w:style>
  <w:style w:type="character" w:customStyle="1" w:styleId="38">
    <w:name w:val="标题 3 字符"/>
    <w:link w:val="4"/>
    <w:semiHidden/>
    <w:qFormat/>
    <w:locked/>
    <w:uiPriority w:val="99"/>
    <w:rPr>
      <w:rFonts w:cs="Times New Roman"/>
      <w:b/>
      <w:kern w:val="0"/>
      <w:sz w:val="32"/>
      <w:lang w:eastAsia="en-US"/>
    </w:rPr>
  </w:style>
  <w:style w:type="character" w:customStyle="1" w:styleId="39">
    <w:name w:val="标题 4 字符"/>
    <w:link w:val="5"/>
    <w:semiHidden/>
    <w:qFormat/>
    <w:locked/>
    <w:uiPriority w:val="99"/>
    <w:rPr>
      <w:rFonts w:ascii="Cambria" w:hAnsi="Cambria" w:eastAsia="宋体" w:cs="Times New Roman"/>
      <w:b/>
      <w:kern w:val="0"/>
      <w:sz w:val="28"/>
      <w:lang w:eastAsia="en-US"/>
    </w:rPr>
  </w:style>
  <w:style w:type="character" w:customStyle="1" w:styleId="40">
    <w:name w:val="批注文字 字符"/>
    <w:link w:val="7"/>
    <w:semiHidden/>
    <w:qFormat/>
    <w:locked/>
    <w:uiPriority w:val="99"/>
    <w:rPr>
      <w:rFonts w:cs="Times New Roman"/>
      <w:sz w:val="24"/>
      <w:lang w:eastAsia="en-US"/>
    </w:rPr>
  </w:style>
  <w:style w:type="character" w:customStyle="1" w:styleId="41">
    <w:name w:val="正文文本 3 字符"/>
    <w:link w:val="8"/>
    <w:semiHidden/>
    <w:qFormat/>
    <w:locked/>
    <w:uiPriority w:val="99"/>
    <w:rPr>
      <w:rFonts w:cs="Times New Roman"/>
      <w:kern w:val="0"/>
      <w:sz w:val="16"/>
      <w:lang w:eastAsia="en-US"/>
    </w:rPr>
  </w:style>
  <w:style w:type="character" w:customStyle="1" w:styleId="42">
    <w:name w:val="正文文本 字符"/>
    <w:link w:val="9"/>
    <w:semiHidden/>
    <w:qFormat/>
    <w:locked/>
    <w:uiPriority w:val="99"/>
    <w:rPr>
      <w:rFonts w:cs="Times New Roman"/>
      <w:kern w:val="0"/>
      <w:sz w:val="20"/>
      <w:lang w:eastAsia="en-US"/>
    </w:rPr>
  </w:style>
  <w:style w:type="character" w:customStyle="1" w:styleId="43">
    <w:name w:val="正文文本缩进 字符"/>
    <w:link w:val="10"/>
    <w:semiHidden/>
    <w:qFormat/>
    <w:locked/>
    <w:uiPriority w:val="99"/>
    <w:rPr>
      <w:rFonts w:cs="Times New Roman"/>
      <w:kern w:val="0"/>
      <w:sz w:val="20"/>
      <w:lang w:eastAsia="en-US"/>
    </w:rPr>
  </w:style>
  <w:style w:type="character" w:customStyle="1" w:styleId="44">
    <w:name w:val="正文文本缩进 2 字符"/>
    <w:link w:val="12"/>
    <w:semiHidden/>
    <w:qFormat/>
    <w:locked/>
    <w:uiPriority w:val="99"/>
    <w:rPr>
      <w:rFonts w:cs="Times New Roman"/>
      <w:kern w:val="0"/>
      <w:sz w:val="20"/>
      <w:lang w:eastAsia="en-US"/>
    </w:rPr>
  </w:style>
  <w:style w:type="character" w:customStyle="1" w:styleId="45">
    <w:name w:val="批注框文本 字符"/>
    <w:link w:val="13"/>
    <w:semiHidden/>
    <w:qFormat/>
    <w:locked/>
    <w:uiPriority w:val="99"/>
    <w:rPr>
      <w:rFonts w:cs="Times New Roman"/>
      <w:kern w:val="0"/>
      <w:sz w:val="2"/>
      <w:lang w:eastAsia="en-US"/>
    </w:rPr>
  </w:style>
  <w:style w:type="character" w:customStyle="1" w:styleId="46">
    <w:name w:val="Footer Char"/>
    <w:semiHidden/>
    <w:qFormat/>
    <w:locked/>
    <w:uiPriority w:val="99"/>
    <w:rPr>
      <w:rFonts w:cs="Times New Roman"/>
      <w:sz w:val="18"/>
    </w:rPr>
  </w:style>
  <w:style w:type="character" w:customStyle="1" w:styleId="47">
    <w:name w:val="页眉 字符"/>
    <w:link w:val="15"/>
    <w:qFormat/>
    <w:locked/>
    <w:uiPriority w:val="99"/>
    <w:rPr>
      <w:rFonts w:eastAsia="宋体" w:cs="Times New Roman"/>
      <w:sz w:val="24"/>
      <w:lang w:eastAsia="en-US"/>
    </w:rPr>
  </w:style>
  <w:style w:type="character" w:customStyle="1" w:styleId="48">
    <w:name w:val="标题 字符"/>
    <w:link w:val="18"/>
    <w:qFormat/>
    <w:locked/>
    <w:uiPriority w:val="99"/>
    <w:rPr>
      <w:rFonts w:ascii="Calibri Light" w:hAnsi="Calibri Light" w:cs="Times New Roman"/>
      <w:b/>
      <w:sz w:val="32"/>
      <w:lang w:eastAsia="en-US"/>
    </w:rPr>
  </w:style>
  <w:style w:type="character" w:customStyle="1" w:styleId="49">
    <w:name w:val="批注主题 字符"/>
    <w:link w:val="6"/>
    <w:semiHidden/>
    <w:qFormat/>
    <w:locked/>
    <w:uiPriority w:val="99"/>
    <w:rPr>
      <w:rFonts w:cs="Times New Roman"/>
      <w:b/>
      <w:kern w:val="0"/>
      <w:sz w:val="20"/>
      <w:lang w:eastAsia="en-US"/>
    </w:rPr>
  </w:style>
  <w:style w:type="character" w:customStyle="1" w:styleId="50">
    <w:name w:val="页脚 字符"/>
    <w:link w:val="14"/>
    <w:qFormat/>
    <w:locked/>
    <w:uiPriority w:val="99"/>
    <w:rPr>
      <w:sz w:val="24"/>
      <w:lang w:eastAsia="en-US"/>
    </w:rPr>
  </w:style>
  <w:style w:type="character" w:customStyle="1" w:styleId="51">
    <w:name w:val="instruction standard blue"/>
    <w:qFormat/>
    <w:uiPriority w:val="99"/>
    <w:rPr>
      <w:i/>
      <w:color w:val="0070C0"/>
    </w:rPr>
  </w:style>
  <w:style w:type="character" w:customStyle="1" w:styleId="52">
    <w:name w:val="keyword"/>
    <w:qFormat/>
    <w:uiPriority w:val="99"/>
  </w:style>
  <w:style w:type="character" w:customStyle="1" w:styleId="53">
    <w:name w:val="numbering blue Zchn"/>
    <w:link w:val="32"/>
    <w:qFormat/>
    <w:locked/>
    <w:uiPriority w:val="99"/>
    <w:rPr>
      <w:rFonts w:ascii="Arial" w:hAnsi="Arial" w:eastAsia="PMingLiUfalt"/>
      <w:color w:val="0070C0"/>
      <w:lang w:eastAsia="zh-TW"/>
    </w:rPr>
  </w:style>
  <w:style w:type="character" w:customStyle="1" w:styleId="54">
    <w:name w:val="Text Char"/>
    <w:link w:val="34"/>
    <w:qFormat/>
    <w:locked/>
    <w:uiPriority w:val="99"/>
    <w:rPr>
      <w:sz w:val="24"/>
      <w:lang w:eastAsia="en-US"/>
    </w:rPr>
  </w:style>
  <w:style w:type="character" w:customStyle="1" w:styleId="55">
    <w:name w:val="ordinary-span-edit2"/>
    <w:qFormat/>
    <w:uiPriority w:val="99"/>
  </w:style>
  <w:style w:type="character" w:customStyle="1" w:styleId="56">
    <w:name w:val="apple-converted-space"/>
    <w:qFormat/>
    <w:uiPriority w:val="99"/>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750</Words>
  <Characters>4275</Characters>
  <Lines>35</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2021-04-13T01:29:00Z</cp:lastPrinted>
  <dcterms:modified xsi:type="dcterms:W3CDTF">2021-05-07T01:14:27Z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y fmtid="{D5CDD505-2E9C-101B-9397-08002B2CF9AE}" pid="3" name="ICV">
    <vt:lpwstr>941923AF007A47329D6F129DC54BC5EB</vt:lpwstr>
  </property>
</Properties>
</file>