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color w:val="000000"/>
          <w:sz w:val="28"/>
          <w:szCs w:val="28"/>
          <w:lang w:eastAsia="zh-CN"/>
        </w:rPr>
        <w:t>生物反应器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color w:val="000000"/>
          <w:szCs w:val="21"/>
          <w:lang w:eastAsia="zh-CN"/>
        </w:rPr>
        <w:t>病毒性</w:t>
      </w:r>
      <w:r>
        <w:rPr>
          <w:color w:val="000000"/>
          <w:szCs w:val="21"/>
          <w:lang w:eastAsia="zh-CN"/>
        </w:rPr>
        <w:t>疫苗研究二室细胞流感课题组生物反应器</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szCs w:val="21"/>
          <w:lang w:eastAsia="zh-CN"/>
        </w:rPr>
        <w:t>病毒性</w:t>
      </w:r>
      <w:r>
        <w:rPr>
          <w:color w:val="000000"/>
          <w:szCs w:val="21"/>
          <w:lang w:eastAsia="zh-CN"/>
        </w:rPr>
        <w:t>疫苗研究二室细胞流感课题组生物反应器</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w:t>
      </w:r>
      <w:r>
        <w:rPr>
          <w:rFonts w:hint="eastAsia"/>
          <w:color w:val="000000"/>
          <w:szCs w:val="21"/>
          <w:lang w:eastAsia="zh-CN"/>
        </w:rPr>
        <w:t>20</w:t>
      </w:r>
      <w:r>
        <w:rPr>
          <w:color w:val="000000"/>
          <w:szCs w:val="21"/>
        </w:rPr>
        <w:t>年版</w:t>
      </w:r>
    </w:p>
    <w:p>
      <w:pPr>
        <w:pStyle w:val="34"/>
        <w:numPr>
          <w:ilvl w:val="0"/>
          <w:numId w:val="5"/>
        </w:numPr>
        <w:spacing w:before="0" w:line="360" w:lineRule="auto"/>
        <w:ind w:left="777"/>
        <w:jc w:val="left"/>
        <w:rPr>
          <w:color w:val="000000"/>
          <w:szCs w:val="21"/>
          <w:lang w:eastAsia="zh-CN"/>
        </w:rPr>
      </w:pPr>
      <w:r>
        <w:rPr>
          <w:rFonts w:hint="eastAsia"/>
          <w:lang w:eastAsia="zh-CN"/>
        </w:rPr>
        <w:t>GAMP5</w:t>
      </w:r>
    </w:p>
    <w:p>
      <w:pPr>
        <w:pStyle w:val="34"/>
        <w:numPr>
          <w:ilvl w:val="0"/>
          <w:numId w:val="5"/>
        </w:numPr>
        <w:spacing w:before="0" w:line="360" w:lineRule="auto"/>
        <w:ind w:left="777"/>
        <w:jc w:val="left"/>
        <w:rPr>
          <w:color w:val="000000"/>
          <w:szCs w:val="21"/>
          <w:lang w:eastAsia="zh-CN"/>
        </w:rPr>
      </w:pPr>
      <w:r>
        <w:rPr>
          <w:rFonts w:hint="eastAsia"/>
          <w:lang w:eastAsia="zh-CN"/>
        </w:rPr>
        <w:t>药品生产质量管理规范（2010年修订）及其附录</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bookmarkStart w:id="48" w:name="_GoBack"/>
      <w:bookmarkEnd w:id="48"/>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8" w:edGrp="everyone"/>
      <w:r>
        <w:rPr>
          <w:color w:val="000000"/>
          <w:szCs w:val="21"/>
          <w:lang w:eastAsia="zh-CN"/>
        </w:rPr>
        <w:t>病毒性疫苗研究二室细胞流感课题组拟购置</w:t>
      </w:r>
      <w:r>
        <w:rPr>
          <w:rFonts w:hint="eastAsia"/>
          <w:color w:val="000000"/>
          <w:szCs w:val="21"/>
          <w:lang w:eastAsia="zh-CN"/>
        </w:rPr>
        <w:t>两</w:t>
      </w:r>
      <w:r>
        <w:rPr>
          <w:color w:val="000000"/>
          <w:szCs w:val="21"/>
          <w:lang w:eastAsia="zh-CN"/>
        </w:rPr>
        <w:t>台</w:t>
      </w:r>
      <w:r>
        <w:rPr>
          <w:rFonts w:hint="eastAsia"/>
          <w:color w:val="000000"/>
          <w:szCs w:val="21"/>
          <w:lang w:eastAsia="zh-CN"/>
        </w:rPr>
        <w:t>反应器，用于本课题中细胞、病毒培养等操作。</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color w:val="0070C0"/>
                <w:szCs w:val="21"/>
                <w:lang w:eastAsia="zh-CN"/>
              </w:rPr>
            </w:pPr>
            <w:r>
              <w:rPr>
                <w:color w:val="000000"/>
                <w:szCs w:val="21"/>
                <w:lang w:eastAsia="zh-CN"/>
              </w:rPr>
              <w:t>综合楼</w:t>
            </w:r>
            <w:r>
              <w:rPr>
                <w:rFonts w:hint="eastAsia"/>
                <w:color w:val="000000"/>
                <w:szCs w:val="21"/>
                <w:lang w:eastAsia="zh-CN"/>
              </w:rPr>
              <w:t>A区三楼细胞流感车间反应器间</w:t>
            </w:r>
          </w:p>
        </w:tc>
        <w:tc>
          <w:tcPr>
            <w:tcW w:w="2125" w:type="dxa"/>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eastAsia="zh-CN"/>
              </w:rPr>
            </w:pPr>
            <w:r>
              <w:rPr>
                <w:rFonts w:hint="eastAsia"/>
                <w:color w:val="000000"/>
                <w:szCs w:val="21"/>
                <w:lang w:eastAsia="zh-CN"/>
              </w:rPr>
              <w:t>符合桌面基本承重</w:t>
            </w:r>
          </w:p>
        </w:tc>
        <w:tc>
          <w:tcPr>
            <w:tcW w:w="2125" w:type="dxa"/>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lang w:eastAsia="zh-CN"/>
              </w:rPr>
              <w:t>配套接入220V电源、数据线、二氧化碳、氧气、压缩空气等。</w:t>
            </w:r>
          </w:p>
        </w:tc>
        <w:tc>
          <w:tcPr>
            <w:tcW w:w="2125" w:type="dxa"/>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color w:val="000000"/>
                <w:lang w:eastAsia="zh-CN"/>
              </w:rPr>
              <w:t>工作环境温度：能适应10</w:t>
            </w:r>
            <w:r>
              <w:rPr>
                <w:rFonts w:hint="eastAsia" w:ascii="宋体" w:hAnsi="宋体" w:cs="宋体"/>
                <w:color w:val="000000"/>
                <w:lang w:eastAsia="zh-CN"/>
              </w:rPr>
              <w:t>℃</w:t>
            </w:r>
            <w:r>
              <w:rPr>
                <w:color w:val="000000"/>
                <w:lang w:eastAsia="zh-CN"/>
              </w:rPr>
              <w:t>～32</w:t>
            </w:r>
            <w:r>
              <w:rPr>
                <w:rFonts w:hint="eastAsia" w:ascii="宋体" w:hAnsi="宋体" w:cs="宋体"/>
                <w:color w:val="000000"/>
                <w:lang w:eastAsia="zh-CN"/>
              </w:rPr>
              <w:t>℃</w:t>
            </w:r>
            <w:r>
              <w:rPr>
                <w:color w:val="000000"/>
                <w:lang w:eastAsia="zh-CN"/>
              </w:rPr>
              <w:t xml:space="preserve">环境 </w:t>
            </w:r>
          </w:p>
        </w:tc>
        <w:tc>
          <w:tcPr>
            <w:tcW w:w="2125" w:type="dxa"/>
            <w:vAlign w:val="center"/>
          </w:tcPr>
          <w:p>
            <w:pPr>
              <w:jc w:val="both"/>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工作环境湿度：至少包括45%～65%</w:t>
            </w:r>
          </w:p>
        </w:tc>
        <w:tc>
          <w:tcPr>
            <w:tcW w:w="2125" w:type="dxa"/>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 C级</w:t>
            </w:r>
          </w:p>
        </w:tc>
        <w:tc>
          <w:tcPr>
            <w:tcW w:w="2125" w:type="dxa"/>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 xml:space="preserve">交流电电源：～220±10%V，50±1Hz </w:t>
            </w:r>
          </w:p>
        </w:tc>
        <w:tc>
          <w:tcPr>
            <w:tcW w:w="2125" w:type="dxa"/>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szCs w:val="22"/>
                <w:lang w:eastAsia="zh-CN"/>
              </w:rPr>
              <w:t>控制柜外壳为SUS304不锈钢，塑料部分为ABS材质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2"/>
                <w:lang w:eastAsia="zh-CN"/>
              </w:rPr>
            </w:pPr>
            <w:r>
              <w:rPr>
                <w:szCs w:val="22"/>
                <w:lang w:eastAsia="zh-CN"/>
              </w:rPr>
              <w:t>尾部冷凝器为316L不锈钢材质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2"/>
                <w:lang w:eastAsia="zh-CN"/>
              </w:rPr>
            </w:pPr>
            <w:r>
              <w:rPr>
                <w:szCs w:val="22"/>
                <w:lang w:eastAsia="zh-CN"/>
              </w:rPr>
              <w:t>三叶象耳桨、三叶提升桨、篮式提升桨叶均为316L不锈钢材质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70C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both"/>
              <w:rPr>
                <w:szCs w:val="21"/>
                <w:lang w:eastAsia="zh-CN"/>
              </w:rPr>
            </w:pPr>
            <w:r>
              <w:rPr>
                <w:szCs w:val="21"/>
                <w:lang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ind w:left="357"/>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jc w:val="both"/>
              <w:rPr>
                <w:szCs w:val="21"/>
                <w:lang w:eastAsia="zh-CN"/>
              </w:rPr>
            </w:pPr>
            <w:r>
              <w:rPr>
                <w:rFonts w:hint="eastAsia"/>
                <w:color w:val="000000"/>
                <w:szCs w:val="21"/>
                <w:lang w:eastAsia="zh-CN"/>
              </w:rPr>
              <w:t>罐体工作体积分别为5L和15L</w:t>
            </w:r>
          </w:p>
        </w:tc>
        <w:tc>
          <w:tcPr>
            <w:tcW w:w="2125" w:type="dxa"/>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eastAsia="zh-CN"/>
              </w:rPr>
            </w:pPr>
            <w:r>
              <w:rPr>
                <w:szCs w:val="22"/>
                <w:lang w:eastAsia="zh-CN"/>
              </w:rPr>
              <w:t>温度：</w:t>
            </w:r>
            <w:r>
              <w:rPr>
                <w:rFonts w:hint="eastAsia"/>
                <w:szCs w:val="22"/>
                <w:lang w:eastAsia="zh-CN"/>
              </w:rPr>
              <w:t>电热毯</w:t>
            </w:r>
            <w:r>
              <w:rPr>
                <w:szCs w:val="22"/>
                <w:lang w:eastAsia="zh-CN"/>
              </w:rPr>
              <w:t>自动控温。显示范围0-150℃，分辨率0.1℃，控制精度±0.1℃</w:t>
            </w:r>
          </w:p>
        </w:tc>
        <w:tc>
          <w:tcPr>
            <w:tcW w:w="2125" w:type="dxa"/>
            <w:vAlign w:val="center"/>
          </w:tcPr>
          <w:p>
            <w:pPr>
              <w:jc w:val="both"/>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360" w:lineRule="auto"/>
              <w:jc w:val="both"/>
              <w:rPr>
                <w:szCs w:val="21"/>
                <w:lang w:val="en-US" w:eastAsia="zh-CN"/>
              </w:rPr>
            </w:pPr>
            <w:r>
              <w:rPr>
                <w:szCs w:val="22"/>
                <w:lang w:eastAsia="zh-CN"/>
              </w:rPr>
              <w:t>pH自动控制，可关联泵2进行酸碱控制，CO</w:t>
            </w:r>
            <w:r>
              <w:rPr>
                <w:szCs w:val="22"/>
                <w:vertAlign w:val="subscript"/>
                <w:lang w:eastAsia="zh-CN"/>
              </w:rPr>
              <w:t>2</w:t>
            </w:r>
            <w:r>
              <w:rPr>
                <w:szCs w:val="22"/>
                <w:lang w:eastAsia="zh-CN"/>
              </w:rPr>
              <w:t>根据PID控制调整进气量，精确控制pH;Inpro3253 0~12 PID控制，精度±0.01，特殊阻抗VP接口连接屏蔽干扰</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eastAsia="楷体"/>
                <w:color w:val="000000"/>
                <w:szCs w:val="28"/>
                <w:lang w:eastAsia="zh-CN"/>
              </w:rPr>
            </w:pPr>
            <w:r>
              <w:rPr>
                <w:szCs w:val="22"/>
                <w:lang w:eastAsia="zh-CN"/>
              </w:rPr>
              <w:t>DO自动控制，Air，N2根据PID调整进气量，精确控制DO。Inpro6800 0~100% PID，精度±0.1，特殊阻抗VP接口连接屏蔽干扰</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eastAsia="楷体"/>
                <w:color w:val="000000"/>
                <w:szCs w:val="28"/>
                <w:lang w:eastAsia="zh-CN"/>
              </w:rPr>
            </w:pPr>
            <w:r>
              <w:rPr>
                <w:szCs w:val="22"/>
                <w:lang w:eastAsia="zh-CN"/>
              </w:rPr>
              <w:t>转速控制：自动控制。显示范围0-400rpm，分辨率1rpm，控制精度±1rpm</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2"/>
                <w:lang w:eastAsia="zh-CN"/>
              </w:rPr>
            </w:pPr>
            <w:r>
              <w:rPr>
                <w:szCs w:val="22"/>
                <w:lang w:eastAsia="zh-CN"/>
              </w:rPr>
              <w:t xml:space="preserve">底部气体控制：空气、二氧化碳和氧气用质量流量计自动控制 </w:t>
            </w:r>
            <w:r>
              <w:rPr>
                <w:rFonts w:hint="eastAsia"/>
                <w:szCs w:val="22"/>
                <w:lang w:eastAsia="zh-CN"/>
              </w:rPr>
              <w:t>，氮气选配。</w:t>
            </w:r>
          </w:p>
          <w:p>
            <w:pPr>
              <w:spacing w:line="360" w:lineRule="auto"/>
              <w:jc w:val="both"/>
              <w:rPr>
                <w:szCs w:val="22"/>
                <w:lang w:eastAsia="zh-CN"/>
              </w:rPr>
            </w:pPr>
            <w:r>
              <w:rPr>
                <w:szCs w:val="22"/>
                <w:lang w:eastAsia="zh-CN"/>
              </w:rPr>
              <w:t>最大总流量：0.5L/min</w:t>
            </w:r>
          </w:p>
          <w:p>
            <w:pPr>
              <w:spacing w:line="360" w:lineRule="auto"/>
              <w:jc w:val="both"/>
              <w:rPr>
                <w:szCs w:val="22"/>
                <w:lang w:eastAsia="zh-CN"/>
              </w:rPr>
            </w:pPr>
            <w:r>
              <w:rPr>
                <w:szCs w:val="22"/>
                <w:lang w:eastAsia="zh-CN"/>
              </w:rPr>
              <w:t>质量流量计精密度：±0.5%FS</w:t>
            </w:r>
          </w:p>
          <w:p>
            <w:pPr>
              <w:spacing w:line="360" w:lineRule="auto"/>
              <w:jc w:val="both"/>
              <w:rPr>
                <w:rFonts w:eastAsia="楷体"/>
                <w:color w:val="000000"/>
                <w:szCs w:val="28"/>
                <w:lang w:eastAsia="zh-CN"/>
              </w:rPr>
            </w:pPr>
            <w:r>
              <w:rPr>
                <w:szCs w:val="22"/>
                <w:lang w:eastAsia="zh-CN"/>
              </w:rPr>
              <w:t>控制范围：0.5L/min:4%FS</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2"/>
                <w:lang w:eastAsia="zh-CN"/>
              </w:rPr>
            </w:pPr>
            <w:r>
              <w:rPr>
                <w:szCs w:val="22"/>
                <w:lang w:eastAsia="zh-CN"/>
              </w:rPr>
              <w:t>0.2μm滤芯表面通气，深层通气，集成单向阀防止液体倒吸</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2"/>
                <w:lang w:eastAsia="zh-CN"/>
              </w:rPr>
            </w:pPr>
            <w:r>
              <w:rPr>
                <w:szCs w:val="22"/>
                <w:lang w:eastAsia="zh-CN"/>
              </w:rPr>
              <w:t>控制柜上配备</w:t>
            </w:r>
            <w:r>
              <w:rPr>
                <w:rFonts w:hint="eastAsia"/>
                <w:szCs w:val="22"/>
                <w:lang w:eastAsia="zh-CN"/>
              </w:rPr>
              <w:t>3组</w:t>
            </w:r>
            <w:r>
              <w:rPr>
                <w:szCs w:val="22"/>
                <w:lang w:eastAsia="zh-CN"/>
              </w:rPr>
              <w:t>Watson Marlow 114</w:t>
            </w:r>
            <w:r>
              <w:rPr>
                <w:rFonts w:hint="eastAsia"/>
                <w:szCs w:val="22"/>
                <w:lang w:eastAsia="zh-CN"/>
              </w:rPr>
              <w:t>可调速</w:t>
            </w:r>
            <w:r>
              <w:rPr>
                <w:szCs w:val="22"/>
                <w:lang w:eastAsia="zh-CN"/>
              </w:rPr>
              <w:t>蠕动泵</w:t>
            </w:r>
            <w:r>
              <w:rPr>
                <w:rFonts w:hint="eastAsia"/>
                <w:szCs w:val="22"/>
                <w:lang w:eastAsia="zh-CN"/>
              </w:rPr>
              <w:t>，</w:t>
            </w:r>
            <w:r>
              <w:rPr>
                <w:szCs w:val="22"/>
                <w:lang w:eastAsia="zh-CN"/>
              </w:rPr>
              <w:t>流量累加，可设置pH关联或液位关联</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hint="eastAsia"/>
                <w:lang w:eastAsia="zh-CN"/>
              </w:rPr>
              <w:t>罐体总体积分别为</w:t>
            </w:r>
            <w:r>
              <w:rPr>
                <w:lang w:eastAsia="zh-CN"/>
              </w:rPr>
              <w:t>7.5L和18L</w:t>
            </w:r>
            <w:r>
              <w:rPr>
                <w:rFonts w:hint="eastAsia"/>
                <w:lang w:eastAsia="zh-CN"/>
              </w:rPr>
              <w:t>，工作体积分别为</w:t>
            </w:r>
            <w:r>
              <w:rPr>
                <w:lang w:eastAsia="zh-CN"/>
              </w:rPr>
              <w:t>5L</w:t>
            </w:r>
            <w:r>
              <w:rPr>
                <w:rFonts w:hint="eastAsia"/>
                <w:lang w:eastAsia="zh-CN"/>
              </w:rPr>
              <w:t>和</w:t>
            </w:r>
            <w:r>
              <w:rPr>
                <w:lang w:eastAsia="zh-CN"/>
              </w:rPr>
              <w:t>15L</w:t>
            </w:r>
          </w:p>
        </w:tc>
        <w:tc>
          <w:tcPr>
            <w:tcW w:w="2125" w:type="dxa"/>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4" w:edGrp="everyone"/>
          </w:p>
        </w:tc>
        <w:tc>
          <w:tcPr>
            <w:tcW w:w="9253" w:type="dxa"/>
            <w:gridSpan w:val="2"/>
            <w:vAlign w:val="center"/>
          </w:tcPr>
          <w:p>
            <w:pPr>
              <w:jc w:val="both"/>
              <w:rPr>
                <w:szCs w:val="21"/>
                <w:lang w:eastAsia="zh-CN"/>
              </w:rPr>
            </w:pPr>
            <w:r>
              <w:rPr>
                <w:rFonts w:hint="eastAsia"/>
                <w:szCs w:val="21"/>
                <w:lang w:eastAsia="zh-CN"/>
              </w:rPr>
              <w:t>N/A</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ind w:left="425"/>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szCs w:val="22"/>
                <w:lang w:eastAsia="zh-CN"/>
              </w:rPr>
              <w:t>pH、DO、转速及MFC实时显示生成当前曲线</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触摸屏可显示并查看历史曲线，并可USB导出生产PDF文件</w:t>
            </w:r>
          </w:p>
        </w:tc>
        <w:tc>
          <w:tcPr>
            <w:tcW w:w="2125" w:type="dxa"/>
            <w:vAlign w:val="center"/>
          </w:tcPr>
          <w:p>
            <w:pPr>
              <w:jc w:val="both"/>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color w:val="000000"/>
                <w:szCs w:val="21"/>
                <w:lang w:eastAsia="zh-CN"/>
              </w:rPr>
            </w:pPr>
            <w:r>
              <w:rPr>
                <w:color w:val="000000"/>
                <w:szCs w:val="21"/>
                <w:lang w:eastAsia="zh-CN"/>
              </w:rPr>
              <w:t>仪器软件具有至少4级用户分层权限管理及密码管理的功能</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color w:val="000000"/>
                <w:szCs w:val="21"/>
                <w:lang w:eastAsia="zh-CN"/>
              </w:rPr>
              <w:t>可支持以太网远程控制及手机端远程查看控制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系统应可以为每个用户创建唯一的用户名和密码</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系统应不允许两个或多个用户拥有相同的用户名</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应有权限功能防止系统时间被更改</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审计追踪记录应不可被删除或更改</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报告应为只读的格式</w:t>
            </w:r>
          </w:p>
        </w:tc>
        <w:tc>
          <w:tcPr>
            <w:tcW w:w="2125" w:type="dxa"/>
            <w:vAlign w:val="center"/>
          </w:tcPr>
          <w:p>
            <w:pPr>
              <w:jc w:val="both"/>
              <w:rPr>
                <w:szCs w:val="21"/>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eastAsia="zh-CN"/>
              </w:rPr>
              <w:t>使用者应不能修改测试结果</w:t>
            </w:r>
          </w:p>
        </w:tc>
        <w:tc>
          <w:tcPr>
            <w:tcW w:w="2125" w:type="dxa"/>
            <w:vAlign w:val="center"/>
          </w:tcPr>
          <w:p>
            <w:pPr>
              <w:jc w:val="both"/>
              <w:rPr>
                <w:szCs w:val="21"/>
                <w:lang w:eastAsia="zh-CN"/>
              </w:rPr>
            </w:pPr>
            <w:r>
              <w:rPr>
                <w:szCs w:val="21"/>
                <w:lang w:eastAsia="zh-CN"/>
              </w:rPr>
              <w:t>关键</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8"/>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eastAsia="zh-CN"/>
              </w:rPr>
            </w:pPr>
            <w:r>
              <w:rPr>
                <w:lang w:eastAsia="zh-CN"/>
              </w:rPr>
              <w:t>所有与产</w:t>
            </w:r>
            <w:r>
              <w:rPr>
                <w:rFonts w:hint="eastAsia"/>
                <w:lang w:eastAsia="zh-CN"/>
              </w:rPr>
              <w:t>品</w:t>
            </w:r>
            <w:r>
              <w:rPr>
                <w:lang w:eastAsia="zh-CN"/>
              </w:rPr>
              <w:t>接触的材料符合中国GMP要求</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lang w:eastAsia="zh-CN"/>
              </w:rPr>
              <w:t>所有的管道焊接应经过酸洗钝化</w:t>
            </w:r>
            <w:r>
              <w:rPr>
                <w:rFonts w:hint="eastAsia"/>
                <w:lang w:eastAsia="zh-CN"/>
              </w:rPr>
              <w:t>。</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搅拌电机具有过载保护功能。</w:t>
            </w:r>
          </w:p>
        </w:tc>
        <w:tc>
          <w:tcPr>
            <w:tcW w:w="2125" w:type="dxa"/>
            <w:vAlign w:val="center"/>
          </w:tcPr>
          <w:p>
            <w:pPr>
              <w:jc w:val="both"/>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jc w:val="both"/>
              <w:rPr>
                <w:lang w:eastAsia="zh-CN"/>
              </w:rPr>
            </w:pPr>
            <w:r>
              <w:rPr>
                <w:lang w:eastAsia="zh-CN"/>
              </w:rPr>
              <w:t>设备应有接地保护</w:t>
            </w:r>
            <w:r>
              <w:rPr>
                <w:rFonts w:hint="eastAsia"/>
                <w:lang w:eastAsia="zh-CN"/>
              </w:rPr>
              <w:t>。</w:t>
            </w:r>
          </w:p>
        </w:tc>
        <w:tc>
          <w:tcPr>
            <w:tcW w:w="2125" w:type="dxa"/>
            <w:vAlign w:val="center"/>
          </w:tcPr>
          <w:p>
            <w:pPr>
              <w:jc w:val="both"/>
              <w:rPr>
                <w:szCs w:val="21"/>
                <w:lang w:eastAsia="zh-CN"/>
              </w:rPr>
            </w:pPr>
            <w:r>
              <w:rPr>
                <w:szCs w:val="21"/>
                <w:lang w:eastAsia="zh-CN"/>
              </w:rPr>
              <w:t>关键</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1"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1"/>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lang w:eastAsia="zh-CN"/>
              </w:rPr>
              <w:t>设</w:t>
            </w:r>
            <w:r>
              <w:rPr>
                <w:rFonts w:hint="eastAsia"/>
                <w:lang w:eastAsia="zh-CN"/>
              </w:rPr>
              <w:t>备</w:t>
            </w:r>
            <w:r>
              <w:rPr>
                <w:lang w:eastAsia="zh-CN"/>
              </w:rPr>
              <w:t>操作、维护保养和服务手册。</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工厂测试文件、 出厂测试报告及安装测试全套文件</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配置部件材质清单及材质证明文件，系统阀门证书，备件清单</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计量仪表具有检验合格证和报告</w:t>
            </w:r>
            <w:r>
              <w:rPr>
                <w:rFonts w:hint="eastAsia"/>
                <w:lang w:eastAsia="zh-CN"/>
              </w:rPr>
              <w: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lang w:eastAsia="zh-CN"/>
              </w:rPr>
              <w:t>供应商应提供所有的测量仪器仪表的列表，所有这些仪表或传感器必</w:t>
            </w:r>
            <w:r>
              <w:rPr>
                <w:rFonts w:hint="eastAsia"/>
                <w:lang w:eastAsia="zh-CN"/>
              </w:rPr>
              <w:t>需</w:t>
            </w:r>
            <w:r>
              <w:rPr>
                <w:lang w:eastAsia="zh-CN"/>
              </w:rPr>
              <w:t>校准。校准效期自交付之日起不低于9个月。</w:t>
            </w:r>
          </w:p>
        </w:tc>
        <w:tc>
          <w:tcPr>
            <w:tcW w:w="2125" w:type="dxa"/>
            <w:vAlign w:val="center"/>
          </w:tcPr>
          <w:p>
            <w:pPr>
              <w:jc w:val="both"/>
              <w:rPr>
                <w:szCs w:val="21"/>
                <w:lang w:eastAsia="zh-CN"/>
              </w:rPr>
            </w:pPr>
            <w:r>
              <w:rPr>
                <w:szCs w:val="21"/>
                <w:lang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color w:val="000000"/>
                <w:szCs w:val="21"/>
                <w:lang w:eastAsia="zh-CN"/>
              </w:rPr>
            </w:pPr>
            <w:r>
              <w:rPr>
                <w:color w:val="000000"/>
                <w:lang w:eastAsia="zh-CN"/>
              </w:rPr>
              <w:t>设备厂家或供应商应免费对设备使用方人员进行全面培训，包括对生产操作人员及设备维护、维修人员，并填写培训记录。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9" w:edGrp="everyone"/>
          </w:p>
        </w:tc>
        <w:tc>
          <w:tcPr>
            <w:tcW w:w="9253" w:type="dxa"/>
            <w:gridSpan w:val="2"/>
            <w:vAlign w:val="center"/>
          </w:tcPr>
          <w:p>
            <w:pPr>
              <w:jc w:val="both"/>
              <w:rPr>
                <w:szCs w:val="21"/>
                <w:lang w:eastAsia="zh-CN"/>
              </w:rPr>
            </w:pPr>
            <w:r>
              <w:rPr>
                <w:rFonts w:hint="eastAsia"/>
                <w:szCs w:val="21"/>
                <w:lang w:eastAsia="zh-CN"/>
              </w:rPr>
              <w:t>N/A</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szCs w:val="21"/>
                <w:lang w:eastAsia="zh-CN"/>
              </w:rPr>
              <w:t>自验收合格之日起三年内为质保期，对设备进行免费维护（耗材、玻璃罐体、传感器不包含），包含零配件更换。质保期后，对设备进行有偿维护。</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工程师应对用户进行不定期拜访，指导设备的保养和使用。</w:t>
            </w:r>
          </w:p>
        </w:tc>
        <w:tc>
          <w:tcPr>
            <w:tcW w:w="2125" w:type="dxa"/>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szCs w:val="21"/>
                <w:lang w:eastAsia="zh-CN"/>
              </w:rPr>
              <w:t>提供悬浮细胞、片状载体、微载体三种培养模式对应的三套搅拌桨。</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提供专业的技术服务及技术支持，技术支持包括试运行后定期电话咨询，工程师应及时通知用户预防性维护系统的有效改进措施。</w:t>
            </w:r>
          </w:p>
        </w:tc>
        <w:tc>
          <w:tcPr>
            <w:tcW w:w="2125" w:type="dxa"/>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ascii="宋体" w:hAnsi="宋体"/>
                <w:szCs w:val="21"/>
                <w:lang w:eastAsia="zh-CN"/>
              </w:rPr>
              <w:t>供应商进厂安装需遵守安全和安装规定。</w:t>
            </w:r>
          </w:p>
        </w:tc>
        <w:tc>
          <w:tcPr>
            <w:tcW w:w="2125" w:type="dxa"/>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确认并验证合格后，买卖双方签订验收报告。</w:t>
            </w:r>
          </w:p>
        </w:tc>
        <w:tc>
          <w:tcPr>
            <w:tcW w:w="2125" w:type="dxa"/>
            <w:vAlign w:val="center"/>
          </w:tcPr>
          <w:p>
            <w:pPr>
              <w:jc w:val="both"/>
              <w:rPr>
                <w:szCs w:val="21"/>
                <w:lang w:eastAsia="zh-CN"/>
              </w:rPr>
            </w:pPr>
            <w:r>
              <w:rPr>
                <w:szCs w:val="21"/>
                <w:lang w:eastAsia="zh-CN"/>
              </w:rPr>
              <w:t>关键</w:t>
            </w:r>
            <w:r>
              <w:rPr>
                <w:rFonts w:hint="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vAlign w:val="center"/>
          </w:tcPr>
          <w:p>
            <w:pPr>
              <w:jc w:val="both"/>
              <w:rPr>
                <w:szCs w:val="21"/>
                <w:lang w:eastAsia="zh-CN"/>
              </w:rPr>
            </w:pPr>
            <w:r>
              <w:rPr>
                <w:szCs w:val="21"/>
                <w:lang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color w:val="000000"/>
          <w:szCs w:val="21"/>
          <w:lang w:eastAsia="zh-CN"/>
        </w:rPr>
      </w:pPr>
      <w:permStart w:id="43" w:edGrp="everyone"/>
      <w:r>
        <w:rPr>
          <w:rFonts w:hint="eastAsia"/>
          <w:color w:val="000000"/>
          <w:szCs w:val="21"/>
          <w:lang w:eastAsia="zh-CN"/>
        </w:rPr>
        <w:t>不适用</w:t>
      </w:r>
      <w:permEnd w:id="43"/>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1C05"/>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3C2F"/>
    <w:rsid w:val="0007673E"/>
    <w:rsid w:val="00077AE1"/>
    <w:rsid w:val="000818AC"/>
    <w:rsid w:val="00082C13"/>
    <w:rsid w:val="00083D58"/>
    <w:rsid w:val="00084387"/>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695"/>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C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7F5"/>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FDB"/>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D3F"/>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5F2A"/>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6995"/>
    <w:rsid w:val="00253242"/>
    <w:rsid w:val="002547BF"/>
    <w:rsid w:val="002548CA"/>
    <w:rsid w:val="0025531B"/>
    <w:rsid w:val="002556AB"/>
    <w:rsid w:val="002560F9"/>
    <w:rsid w:val="00257517"/>
    <w:rsid w:val="00257FA9"/>
    <w:rsid w:val="00261CD0"/>
    <w:rsid w:val="00261F30"/>
    <w:rsid w:val="002637FB"/>
    <w:rsid w:val="00263CB5"/>
    <w:rsid w:val="0026571F"/>
    <w:rsid w:val="0027137F"/>
    <w:rsid w:val="002723D2"/>
    <w:rsid w:val="00272507"/>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B6A"/>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1F5"/>
    <w:rsid w:val="00302AF8"/>
    <w:rsid w:val="00304F96"/>
    <w:rsid w:val="00306131"/>
    <w:rsid w:val="00310516"/>
    <w:rsid w:val="00311B2C"/>
    <w:rsid w:val="00311EE4"/>
    <w:rsid w:val="0031318B"/>
    <w:rsid w:val="003137B7"/>
    <w:rsid w:val="00313816"/>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355"/>
    <w:rsid w:val="0037455F"/>
    <w:rsid w:val="00376C31"/>
    <w:rsid w:val="00380EB7"/>
    <w:rsid w:val="003810F5"/>
    <w:rsid w:val="00381C39"/>
    <w:rsid w:val="00381CF6"/>
    <w:rsid w:val="0038326A"/>
    <w:rsid w:val="0038367F"/>
    <w:rsid w:val="0038371B"/>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3B8A"/>
    <w:rsid w:val="003E49F8"/>
    <w:rsid w:val="003E5109"/>
    <w:rsid w:val="003E60EE"/>
    <w:rsid w:val="003E6B48"/>
    <w:rsid w:val="003E748F"/>
    <w:rsid w:val="003F3F47"/>
    <w:rsid w:val="003F6E0C"/>
    <w:rsid w:val="004003A8"/>
    <w:rsid w:val="0040240E"/>
    <w:rsid w:val="00402756"/>
    <w:rsid w:val="00402A42"/>
    <w:rsid w:val="00405B3A"/>
    <w:rsid w:val="004074DC"/>
    <w:rsid w:val="004111CC"/>
    <w:rsid w:val="004122A3"/>
    <w:rsid w:val="00416E8B"/>
    <w:rsid w:val="00420273"/>
    <w:rsid w:val="00420AA0"/>
    <w:rsid w:val="0042116C"/>
    <w:rsid w:val="00422AE9"/>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1F9"/>
    <w:rsid w:val="00467AE6"/>
    <w:rsid w:val="00467EC9"/>
    <w:rsid w:val="00477791"/>
    <w:rsid w:val="00480286"/>
    <w:rsid w:val="00480C3B"/>
    <w:rsid w:val="00480FE3"/>
    <w:rsid w:val="00481C94"/>
    <w:rsid w:val="004847F3"/>
    <w:rsid w:val="00484A8D"/>
    <w:rsid w:val="00486A4E"/>
    <w:rsid w:val="00486B09"/>
    <w:rsid w:val="0049139F"/>
    <w:rsid w:val="00494F07"/>
    <w:rsid w:val="00496116"/>
    <w:rsid w:val="004965A0"/>
    <w:rsid w:val="00497335"/>
    <w:rsid w:val="004A05A7"/>
    <w:rsid w:val="004A2D9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E60"/>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A62"/>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E36"/>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D4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760C"/>
    <w:rsid w:val="00680BE8"/>
    <w:rsid w:val="00685404"/>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806"/>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3B2"/>
    <w:rsid w:val="00705090"/>
    <w:rsid w:val="00705102"/>
    <w:rsid w:val="00705DDB"/>
    <w:rsid w:val="0070675E"/>
    <w:rsid w:val="00706A0E"/>
    <w:rsid w:val="00707703"/>
    <w:rsid w:val="00710573"/>
    <w:rsid w:val="00710808"/>
    <w:rsid w:val="007116CB"/>
    <w:rsid w:val="0071211E"/>
    <w:rsid w:val="00712B1B"/>
    <w:rsid w:val="0071311A"/>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87D"/>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34E7"/>
    <w:rsid w:val="00834968"/>
    <w:rsid w:val="00834B53"/>
    <w:rsid w:val="00840298"/>
    <w:rsid w:val="00840D23"/>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D44"/>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9CE"/>
    <w:rsid w:val="009B5BF6"/>
    <w:rsid w:val="009C1C79"/>
    <w:rsid w:val="009C339C"/>
    <w:rsid w:val="009C33B8"/>
    <w:rsid w:val="009C6CD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0E09"/>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5AE"/>
    <w:rsid w:val="00AE2817"/>
    <w:rsid w:val="00AE304B"/>
    <w:rsid w:val="00AE3C69"/>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3E2"/>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537"/>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54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177"/>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3C84"/>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7C04"/>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3B52"/>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FF1"/>
    <w:rsid w:val="00D90293"/>
    <w:rsid w:val="00D90496"/>
    <w:rsid w:val="00D917BC"/>
    <w:rsid w:val="00D942DE"/>
    <w:rsid w:val="00D9491E"/>
    <w:rsid w:val="00DA070D"/>
    <w:rsid w:val="00DA296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075A"/>
    <w:rsid w:val="00E33928"/>
    <w:rsid w:val="00E33C90"/>
    <w:rsid w:val="00E34D15"/>
    <w:rsid w:val="00E35214"/>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AD9"/>
    <w:rsid w:val="00E76FF1"/>
    <w:rsid w:val="00E774FE"/>
    <w:rsid w:val="00E809A0"/>
    <w:rsid w:val="00E80AF7"/>
    <w:rsid w:val="00E82BE4"/>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6834"/>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26AF8"/>
    <w:rsid w:val="00F3178C"/>
    <w:rsid w:val="00F33DE5"/>
    <w:rsid w:val="00F34B8F"/>
    <w:rsid w:val="00F36D7F"/>
    <w:rsid w:val="00F37186"/>
    <w:rsid w:val="00F42FCF"/>
    <w:rsid w:val="00F44A83"/>
    <w:rsid w:val="00F51743"/>
    <w:rsid w:val="00F5176A"/>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3655B7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qFormat/>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15"/>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Char"/>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631</Words>
  <Characters>3602</Characters>
  <Lines>30</Lines>
  <Paragraphs>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2021-01-20T07:13:00Z</dcterms:created>
  <dc:creator>Lilly</dc:creator>
  <cp:lastModifiedBy>汪洋</cp:lastModifiedBy>
  <cp:lastPrinted>2021-03-09T07:50:00Z</cp:lastPrinted>
  <dcterms:modified xsi:type="dcterms:W3CDTF">2021-05-24T07:20:51Z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