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2717189"/>
      <w:bookmarkStart w:id="1" w:name="_Toc483227223"/>
      <w:bookmarkStart w:id="2" w:name="_Toc483666358"/>
      <w:bookmarkStart w:id="3" w:name="_Toc484532399"/>
      <w:bookmarkStart w:id="4" w:name="_Toc483400307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 w:ascii="宋体" w:hAnsi="宋体"/>
          <w:b/>
          <w:sz w:val="28"/>
          <w:szCs w:val="28"/>
          <w:lang w:eastAsia="zh-CN"/>
        </w:rPr>
        <w:t>细菌类疫苗研究室细胞计数仪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bookmarkStart w:id="48" w:name="_GoBack"/>
      <w:bookmarkEnd w:id="48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141"/>
      <w:bookmarkStart w:id="9" w:name="_Toc482625279"/>
      <w:bookmarkStart w:id="10" w:name="_Toc482370349"/>
      <w:bookmarkStart w:id="11" w:name="_Toc482360281"/>
      <w:bookmarkStart w:id="12" w:name="_Toc482359936"/>
      <w:bookmarkStart w:id="13" w:name="_Toc482370061"/>
      <w:bookmarkStart w:id="14" w:name="_Toc481702475"/>
      <w:bookmarkStart w:id="15" w:name="_Toc482370757"/>
      <w:bookmarkStart w:id="16" w:name="_Toc48236980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细菌类</w:t>
      </w:r>
      <w:r>
        <w:rPr>
          <w:szCs w:val="21"/>
          <w:lang w:eastAsia="zh-CN"/>
        </w:rPr>
        <w:t>疫苗研究室</w:t>
      </w:r>
      <w:r>
        <w:rPr>
          <w:rFonts w:hint="eastAsia" w:ascii="宋体" w:hAnsi="宋体"/>
          <w:szCs w:val="21"/>
          <w:lang w:eastAsia="zh-CN"/>
        </w:rPr>
        <w:t>细胞计数仪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细菌类</w:t>
      </w:r>
      <w:r>
        <w:rPr>
          <w:szCs w:val="21"/>
          <w:lang w:eastAsia="zh-CN"/>
        </w:rPr>
        <w:t>疫苗</w:t>
      </w:r>
      <w:r>
        <w:rPr>
          <w:rFonts w:hint="eastAsia"/>
          <w:szCs w:val="21"/>
          <w:lang w:eastAsia="zh-CN"/>
        </w:rPr>
        <w:t>研究室</w:t>
      </w:r>
      <w:r>
        <w:rPr>
          <w:rFonts w:hint="eastAsia" w:ascii="宋体" w:hAnsi="宋体"/>
          <w:szCs w:val="21"/>
          <w:lang w:eastAsia="zh-CN"/>
        </w:rPr>
        <w:t>细胞计数仪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5" w:edGrp="everyone"/>
      <w:r>
        <w:rPr>
          <w:rFonts w:hint="eastAsia"/>
          <w:color w:val="000000"/>
          <w:szCs w:val="21"/>
          <w:lang w:eastAsia="zh-CN"/>
        </w:rPr>
        <w:t>《药品生产质量管理规范》（2010年修订）及附录</w:t>
      </w:r>
    </w:p>
    <w:p>
      <w:pPr>
        <w:pStyle w:val="34"/>
        <w:numPr>
          <w:ilvl w:val="0"/>
          <w:numId w:val="5"/>
        </w:numPr>
        <w:overflowPunct w:val="0"/>
        <w:autoSpaceDE w:val="0"/>
        <w:autoSpaceDN w:val="0"/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中国药品生产验证指南（2003）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6" w:edGrp="everyone"/>
      <w:r>
        <w:rPr>
          <w:rFonts w:hint="eastAsia"/>
          <w:color w:val="000000"/>
          <w:szCs w:val="21"/>
          <w:lang w:eastAsia="zh-CN"/>
        </w:rPr>
        <w:t>电气安全应符合GB4793.1和GB4793.4的要求</w:t>
      </w:r>
    </w:p>
    <w:permEnd w:id="6"/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107739"/>
      <w:bookmarkStart w:id="22" w:name="_Toc522716119"/>
      <w:permStart w:id="7" w:edGrp="everyone"/>
      <w:permEnd w:id="7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/>
          <w:color w:val="333333"/>
          <w:shd w:val="clear" w:color="auto" w:fill="FFFFFF"/>
          <w:lang w:eastAsia="zh-CN"/>
        </w:rPr>
        <w:t>细菌类疫苗研究室</w:t>
      </w:r>
      <w:r>
        <w:rPr>
          <w:color w:val="333333"/>
          <w:shd w:val="clear" w:color="auto" w:fill="FFFFFF"/>
          <w:lang w:eastAsia="zh-CN"/>
        </w:rPr>
        <w:t>需</w:t>
      </w:r>
      <w:r>
        <w:rPr>
          <w:rFonts w:hint="eastAsia"/>
          <w:color w:val="333333"/>
          <w:shd w:val="clear" w:color="auto" w:fill="FFFFFF"/>
          <w:lang w:eastAsia="zh-CN"/>
        </w:rPr>
        <w:t>购买1台细胞计数仪，用于实验中的细胞计数，包括白喉效价检测(</w:t>
      </w:r>
      <w:r>
        <w:rPr>
          <w:color w:val="333333"/>
          <w:shd w:val="clear" w:color="auto" w:fill="FFFFFF"/>
          <w:lang w:eastAsia="zh-CN"/>
        </w:rPr>
        <w:t>Vero</w:t>
      </w:r>
      <w:r>
        <w:rPr>
          <w:rFonts w:hint="eastAsia"/>
          <w:color w:val="333333"/>
          <w:shd w:val="clear" w:color="auto" w:fill="FFFFFF"/>
          <w:lang w:eastAsia="zh-CN"/>
        </w:rPr>
        <w:t>细胞</w:t>
      </w:r>
      <w:r>
        <w:rPr>
          <w:color w:val="333333"/>
          <w:shd w:val="clear" w:color="auto" w:fill="FFFFFF"/>
          <w:lang w:eastAsia="zh-CN"/>
        </w:rPr>
        <w:t>)</w:t>
      </w:r>
      <w:r>
        <w:rPr>
          <w:rFonts w:hint="eastAsia"/>
          <w:color w:val="333333"/>
          <w:shd w:val="clear" w:color="auto" w:fill="FFFFFF"/>
          <w:lang w:eastAsia="zh-CN"/>
        </w:rPr>
        <w:t>、I</w:t>
      </w:r>
      <w:r>
        <w:rPr>
          <w:color w:val="333333"/>
          <w:shd w:val="clear" w:color="auto" w:fill="FFFFFF"/>
          <w:lang w:eastAsia="zh-CN"/>
        </w:rPr>
        <w:t>PV</w:t>
      </w:r>
      <w:r>
        <w:rPr>
          <w:rFonts w:hint="eastAsia"/>
          <w:color w:val="333333"/>
          <w:shd w:val="clear" w:color="auto" w:fill="FFFFFF"/>
          <w:lang w:eastAsia="zh-CN"/>
        </w:rPr>
        <w:t>效价检测(</w:t>
      </w:r>
      <w:r>
        <w:rPr>
          <w:color w:val="333333"/>
          <w:shd w:val="clear" w:color="auto" w:fill="FFFFFF"/>
          <w:lang w:eastAsia="zh-CN"/>
        </w:rPr>
        <w:t>H</w:t>
      </w:r>
      <w:r>
        <w:rPr>
          <w:rFonts w:hint="eastAsia"/>
          <w:color w:val="333333"/>
          <w:shd w:val="clear" w:color="auto" w:fill="FFFFFF"/>
          <w:lang w:eastAsia="zh-CN"/>
        </w:rPr>
        <w:t>ep</w:t>
      </w:r>
      <w:r>
        <w:rPr>
          <w:color w:val="333333"/>
          <w:shd w:val="clear" w:color="auto" w:fill="FFFFFF"/>
          <w:lang w:eastAsia="zh-CN"/>
        </w:rPr>
        <w:t>2</w:t>
      </w:r>
      <w:r>
        <w:rPr>
          <w:rFonts w:hint="eastAsia"/>
          <w:color w:val="333333"/>
          <w:shd w:val="clear" w:color="auto" w:fill="FFFFFF"/>
          <w:lang w:eastAsia="zh-CN"/>
        </w:rPr>
        <w:t>细胞</w:t>
      </w:r>
      <w:r>
        <w:rPr>
          <w:color w:val="333333"/>
          <w:shd w:val="clear" w:color="auto" w:fill="FFFFFF"/>
          <w:lang w:eastAsia="zh-CN"/>
        </w:rPr>
        <w:t>)</w:t>
      </w:r>
      <w:r>
        <w:rPr>
          <w:rFonts w:hint="eastAsia"/>
          <w:color w:val="333333"/>
          <w:shd w:val="clear" w:color="auto" w:fill="FFFFFF"/>
          <w:lang w:eastAsia="zh-CN"/>
        </w:rPr>
        <w:t>、P</w:t>
      </w:r>
      <w:r>
        <w:rPr>
          <w:color w:val="333333"/>
          <w:shd w:val="clear" w:color="auto" w:fill="FFFFFF"/>
          <w:lang w:eastAsia="zh-CN"/>
        </w:rPr>
        <w:t>T</w:t>
      </w:r>
      <w:r>
        <w:rPr>
          <w:rFonts w:hint="eastAsia"/>
          <w:color w:val="333333"/>
          <w:shd w:val="clear" w:color="auto" w:fill="FFFFFF"/>
          <w:lang w:eastAsia="zh-CN"/>
        </w:rPr>
        <w:t>毒性检测（C</w:t>
      </w:r>
      <w:r>
        <w:rPr>
          <w:color w:val="333333"/>
          <w:shd w:val="clear" w:color="auto" w:fill="FFFFFF"/>
          <w:lang w:eastAsia="zh-CN"/>
        </w:rPr>
        <w:t>HO</w:t>
      </w:r>
      <w:r>
        <w:rPr>
          <w:rFonts w:hint="eastAsia"/>
          <w:color w:val="333333"/>
          <w:shd w:val="clear" w:color="auto" w:fill="FFFFFF"/>
          <w:lang w:eastAsia="zh-CN"/>
        </w:rPr>
        <w:t>细胞）等</w:t>
      </w:r>
      <w:r>
        <w:rPr>
          <w:szCs w:val="21"/>
          <w:lang w:eastAsia="zh-CN"/>
        </w:rPr>
        <w:t>。</w:t>
      </w:r>
      <w:permEnd w:id="8"/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本设备安装于细菌类</w:t>
            </w:r>
            <w:r>
              <w:rPr>
                <w:szCs w:val="21"/>
                <w:lang w:val="en-US" w:eastAsia="zh-CN"/>
              </w:rPr>
              <w:t>疫苗研究室</w:t>
            </w:r>
            <w:r>
              <w:rPr>
                <w:rFonts w:hint="eastAsia"/>
                <w:szCs w:val="21"/>
                <w:lang w:val="en-US" w:eastAsia="zh-CN"/>
              </w:rPr>
              <w:t>检定实验室内。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外形</w:t>
            </w:r>
            <w:r>
              <w:rPr>
                <w:iCs/>
                <w:szCs w:val="21"/>
                <w:lang w:eastAsia="zh-CN"/>
              </w:rPr>
              <w:t>尺寸要求：长*宽</w:t>
            </w:r>
            <w:r>
              <w:rPr>
                <w:rFonts w:hint="eastAsia"/>
                <w:iCs/>
                <w:szCs w:val="21"/>
                <w:lang w:eastAsia="zh-CN"/>
              </w:rPr>
              <w:t>不大于实验室使用桌面尺寸</w:t>
            </w:r>
            <w:r>
              <w:rPr>
                <w:iCs/>
                <w:szCs w:val="21"/>
                <w:lang w:eastAsia="zh-CN"/>
              </w:rPr>
              <w:t>800*700</w:t>
            </w:r>
            <w:r>
              <w:rPr>
                <w:rFonts w:hint="eastAsia"/>
                <w:iCs/>
                <w:szCs w:val="21"/>
                <w:lang w:eastAsia="zh-CN"/>
              </w:rPr>
              <w:t>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val="en-US" w:eastAsia="zh-CN"/>
              </w:rPr>
            </w:pPr>
            <w:r>
              <w:rPr>
                <w:iCs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其重量不超出房间桌面承重要求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ind w:left="426"/>
              <w:rPr>
                <w:szCs w:val="21"/>
              </w:rPr>
            </w:pPr>
            <w:permStart w:id="14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适用于我公司的</w:t>
            </w:r>
            <w:r>
              <w:rPr>
                <w:rFonts w:hint="eastAsia"/>
                <w:color w:val="000000"/>
                <w:lang w:eastAsia="zh-CN"/>
              </w:rPr>
              <w:t>工作环境温度：</w:t>
            </w:r>
            <w:r>
              <w:rPr>
                <w:lang w:eastAsia="zh-CN"/>
              </w:rPr>
              <w:t xml:space="preserve"> 10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rFonts w:hint="eastAsia"/>
                <w:lang w:eastAsia="zh-CN"/>
              </w:rPr>
              <w:t>～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rFonts w:hint="eastAsia"/>
                <w:lang w:eastAsia="zh-CN"/>
              </w:rPr>
              <w:t>环境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适用于我公司的工作环境湿度：相对湿度≤80%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工作环境洁净级别：无洁净级别要求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适用于我公司交流电电源：</w:t>
            </w:r>
            <w:r>
              <w:rPr>
                <w:lang w:eastAsia="zh-CN"/>
              </w:rPr>
              <w:t>220</w:t>
            </w:r>
            <w:r>
              <w:rPr>
                <w:rFonts w:hint="eastAsia"/>
                <w:lang w:eastAsia="zh-CN"/>
              </w:rPr>
              <w:t>V，50Hz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外观应端正、整齐，不得有明显的偏歪、毛刺和锈蚀等缺陷，不影响洁净室内的空气质量。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2"/>
                <w:lang w:eastAsia="zh-CN"/>
              </w:rPr>
            </w:pPr>
            <w:r>
              <w:rPr>
                <w:rFonts w:hint="eastAsia"/>
                <w:color w:val="000000"/>
                <w:szCs w:val="22"/>
                <w:lang w:eastAsia="zh-CN"/>
              </w:rPr>
              <w:t>设备表面不得有凹陷、毛刺和锈蚀等缺陷。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有保护涂层，可耐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75%酒精、0</w:t>
            </w:r>
            <w:r>
              <w:rPr>
                <w:rFonts w:ascii="宋体" w:hAnsi="宋体" w:cs="宋体"/>
                <w:bCs/>
                <w:szCs w:val="21"/>
                <w:lang w:eastAsia="zh-CN"/>
              </w:rPr>
              <w:t>.1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%新洁尔灭、1%</w:t>
            </w:r>
            <w:r>
              <w:rPr>
                <w:rFonts w:ascii="宋体" w:hAnsi="宋体" w:cs="宋体"/>
                <w:bCs/>
                <w:szCs w:val="21"/>
                <w:lang w:eastAsia="zh-CN"/>
              </w:rPr>
              <w:t>84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消毒液</w:t>
            </w:r>
            <w:r>
              <w:rPr>
                <w:rFonts w:hint="eastAsia"/>
                <w:szCs w:val="21"/>
                <w:lang w:val="en-US" w:eastAsia="zh-CN"/>
              </w:rPr>
              <w:t>腐蚀，便于清洁。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）安全标识。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9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p>
      <w:pPr>
        <w:pStyle w:val="34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0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ind w:left="426"/>
              <w:rPr>
                <w:szCs w:val="21"/>
                <w:lang w:eastAsia="zh-CN"/>
              </w:rPr>
            </w:pPr>
            <w:permStart w:id="21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ind w:left="426"/>
              <w:rPr>
                <w:szCs w:val="21"/>
              </w:rPr>
            </w:pPr>
            <w:permStart w:id="22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30 秒内生成细胞计数结果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计数</w:t>
            </w:r>
            <w:r>
              <w:rPr>
                <w:szCs w:val="21"/>
                <w:lang w:val="en-US" w:eastAsia="zh-CN"/>
              </w:rPr>
              <w:t>细胞浓度范围</w:t>
            </w:r>
            <w:r>
              <w:rPr>
                <w:rFonts w:hint="eastAsia"/>
                <w:szCs w:val="21"/>
                <w:lang w:val="en-US" w:eastAsia="zh-CN"/>
              </w:rPr>
              <w:t>满足</w:t>
            </w:r>
            <w:r>
              <w:rPr>
                <w:szCs w:val="21"/>
                <w:lang w:val="en-US" w:eastAsia="zh-CN"/>
              </w:rPr>
              <w:t>5 x 10</w:t>
            </w:r>
            <w:r>
              <w:rPr>
                <w:szCs w:val="21"/>
                <w:vertAlign w:val="superscript"/>
                <w:lang w:val="en-US" w:eastAsia="zh-CN"/>
              </w:rPr>
              <w:t>4</w:t>
            </w:r>
            <w:r>
              <w:rPr>
                <w:szCs w:val="21"/>
                <w:lang w:val="en-US" w:eastAsia="zh-CN"/>
              </w:rPr>
              <w:t>–1 x 10</w:t>
            </w:r>
            <w:r>
              <w:rPr>
                <w:szCs w:val="21"/>
                <w:vertAlign w:val="superscript"/>
                <w:lang w:val="en-US" w:eastAsia="zh-CN"/>
              </w:rPr>
              <w:t>7 </w:t>
            </w:r>
            <w:r>
              <w:rPr>
                <w:szCs w:val="21"/>
                <w:lang w:val="en-US" w:eastAsia="zh-CN"/>
              </w:rPr>
              <w:t>cells/ml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计数</w:t>
            </w:r>
            <w:r>
              <w:rPr>
                <w:szCs w:val="21"/>
                <w:lang w:val="en-US" w:eastAsia="zh-CN"/>
              </w:rPr>
              <w:t>细胞直径范围 6–50 μm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一次计数所需样品体积</w:t>
            </w:r>
            <w:r>
              <w:rPr>
                <w:szCs w:val="21"/>
                <w:lang w:val="en-US" w:eastAsia="zh-CN"/>
              </w:rPr>
              <w:t>10 μl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wordWrap w:val="0"/>
              <w:adjustRightInd/>
              <w:spacing w:line="270" w:lineRule="atLeast"/>
              <w:textAlignment w:val="auto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支持</w:t>
            </w:r>
            <w:r>
              <w:rPr>
                <w:szCs w:val="21"/>
                <w:lang w:val="en-US" w:eastAsia="zh-CN"/>
              </w:rPr>
              <w:t>细胞 6–50 μm尺寸筛选 </w:t>
            </w:r>
            <w:r>
              <w:rPr>
                <w:rFonts w:hint="eastAsia"/>
                <w:szCs w:val="21"/>
                <w:lang w:val="en-US" w:eastAsia="zh-CN"/>
              </w:rPr>
              <w:t>，可从</w:t>
            </w:r>
            <w:r>
              <w:rPr>
                <w:szCs w:val="21"/>
                <w:lang w:val="en-US" w:eastAsia="zh-CN"/>
              </w:rPr>
              <w:t>复杂样品中</w:t>
            </w:r>
            <w:r>
              <w:rPr>
                <w:rFonts w:hint="eastAsia"/>
                <w:szCs w:val="21"/>
                <w:lang w:val="en-US" w:eastAsia="zh-CN"/>
              </w:rPr>
              <w:t>指定</w:t>
            </w:r>
            <w:r>
              <w:rPr>
                <w:szCs w:val="21"/>
                <w:lang w:val="en-US" w:eastAsia="zh-CN"/>
              </w:rPr>
              <w:t>特定大小的目标细胞</w:t>
            </w:r>
            <w:r>
              <w:rPr>
                <w:rFonts w:hint="eastAsia"/>
                <w:szCs w:val="21"/>
                <w:lang w:val="en-US" w:eastAsia="zh-CN"/>
              </w:rPr>
              <w:t>计数。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wordWrap w:val="0"/>
              <w:adjustRightInd/>
              <w:spacing w:line="270" w:lineRule="atLeast"/>
              <w:textAlignment w:val="auto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 </w:t>
            </w:r>
            <w:r>
              <w:rPr>
                <w:rFonts w:hint="eastAsia"/>
                <w:szCs w:val="21"/>
                <w:lang w:val="en-US" w:eastAsia="zh-CN"/>
              </w:rPr>
              <w:t>支持</w:t>
            </w:r>
            <w:r>
              <w:rPr>
                <w:szCs w:val="21"/>
                <w:lang w:val="en-US" w:eastAsia="zh-CN"/>
              </w:rPr>
              <w:t>内置存储</w:t>
            </w:r>
            <w:r>
              <w:rPr>
                <w:rFonts w:hint="eastAsia"/>
                <w:szCs w:val="21"/>
                <w:lang w:val="en-US" w:eastAsia="zh-CN"/>
              </w:rPr>
              <w:t>至少1</w:t>
            </w:r>
            <w:r>
              <w:rPr>
                <w:szCs w:val="21"/>
                <w:lang w:val="en-US" w:eastAsia="zh-CN"/>
              </w:rPr>
              <w:t>00</w:t>
            </w:r>
            <w:r>
              <w:rPr>
                <w:rFonts w:hint="eastAsia"/>
                <w:szCs w:val="21"/>
                <w:lang w:val="en-US" w:eastAsia="zh-CN"/>
              </w:rPr>
              <w:t>个</w:t>
            </w:r>
            <w:r>
              <w:rPr>
                <w:szCs w:val="21"/>
                <w:lang w:val="en-US" w:eastAsia="zh-CN"/>
              </w:rPr>
              <w:t>计数结果</w:t>
            </w:r>
            <w:r>
              <w:rPr>
                <w:rFonts w:hint="eastAsia"/>
                <w:szCs w:val="21"/>
                <w:lang w:val="en-US" w:eastAsia="zh-CN"/>
              </w:rPr>
              <w:t>及图像。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支持</w:t>
            </w:r>
            <w:r>
              <w:rPr>
                <w:szCs w:val="21"/>
                <w:lang w:val="en-US" w:eastAsia="zh-CN"/>
              </w:rPr>
              <w:t>细胞存活率</w:t>
            </w:r>
            <w:r>
              <w:rPr>
                <w:rFonts w:hint="eastAsia"/>
                <w:szCs w:val="21"/>
                <w:lang w:val="en-US" w:eastAsia="zh-CN"/>
              </w:rPr>
              <w:t>计算。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允许用户实时查看细胞，可通过目测证实细胞计数器已正确识别细胞。 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支持U</w:t>
            </w:r>
            <w:r>
              <w:rPr>
                <w:szCs w:val="21"/>
                <w:lang w:val="en-US" w:eastAsia="zh-CN"/>
              </w:rPr>
              <w:t>SP</w:t>
            </w:r>
            <w:r>
              <w:rPr>
                <w:rFonts w:hint="eastAsia"/>
                <w:szCs w:val="21"/>
                <w:lang w:val="en-US" w:eastAsia="zh-CN"/>
              </w:rPr>
              <w:t>数据导出。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25"/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360291"/>
      <w:bookmarkStart w:id="31" w:name="_Toc482717202"/>
      <w:bookmarkStart w:id="32" w:name="_Toc483400317"/>
      <w:bookmarkStart w:id="33" w:name="_Toc481702480"/>
      <w:bookmarkStart w:id="34" w:name="_Toc482370151"/>
      <w:bookmarkStart w:id="35" w:name="_Toc482369815"/>
      <w:bookmarkStart w:id="36" w:name="_Toc482370359"/>
      <w:bookmarkStart w:id="37" w:name="_Toc483227237"/>
      <w:bookmarkStart w:id="38" w:name="_Toc482625289"/>
      <w:bookmarkStart w:id="39" w:name="_Toc482370071"/>
      <w:bookmarkStart w:id="40" w:name="_Toc482370767"/>
      <w:bookmarkStart w:id="41" w:name="_Toc482359946"/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34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6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6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细胞密度图、细胞计数结果等为屏显，按钮为按键式或触屏式，便于清洁。</w:t>
            </w:r>
          </w:p>
        </w:tc>
        <w:tc>
          <w:tcPr>
            <w:tcW w:w="2082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支持按键或触屏自定义输入。</w:t>
            </w:r>
          </w:p>
        </w:tc>
        <w:tc>
          <w:tcPr>
            <w:tcW w:w="2082" w:type="dxa"/>
            <w:vAlign w:val="top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28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9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9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 w:eastAsia="宋体"/>
                <w:szCs w:val="21"/>
              </w:rPr>
            </w:pPr>
            <w:permStart w:id="3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仪器应有良好的接地。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szCs w:val="21"/>
              </w:rPr>
            </w:pPr>
            <w:permStart w:id="31" w:edGrp="everyone"/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Arial" w:hAnsi="Arial" w:cs="Arial"/>
                <w:color w:val="333333"/>
                <w:szCs w:val="21"/>
                <w:lang w:val="en-US" w:eastAsia="zh-CN"/>
              </w:rPr>
              <w:t>电源应为应用三芯</w:t>
            </w:r>
            <w:r>
              <w:rPr>
                <w:rFonts w:ascii="Arial" w:hAnsi="Arial" w:cs="Arial"/>
                <w:color w:val="000000"/>
                <w:szCs w:val="21"/>
                <w:lang w:val="en-US" w:eastAsia="zh-CN"/>
              </w:rPr>
              <w:t>安全</w:t>
            </w:r>
            <w:r>
              <w:rPr>
                <w:rFonts w:ascii="Arial" w:hAnsi="Arial" w:cs="Arial"/>
                <w:color w:val="333333"/>
                <w:szCs w:val="21"/>
                <w:lang w:val="en-US" w:eastAsia="zh-CN"/>
              </w:rPr>
              <w:t>电源插座引出</w:t>
            </w:r>
            <w:r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  <w:t>，其接地端必须可靠接地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1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4"/>
      <w:bookmarkStart w:id="44" w:name="_Toc522107743"/>
      <w:r>
        <w:rPr>
          <w:rFonts w:ascii="Times New Roman" w:hAnsi="Times New Roman"/>
          <w:b/>
        </w:rPr>
        <w:t>文件要求</w:t>
      </w:r>
      <w:bookmarkEnd w:id="43"/>
      <w:bookmarkEnd w:id="44"/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2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2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投标文件、合同、订单及</w:t>
            </w:r>
            <w:r>
              <w:rPr>
                <w:rFonts w:hint="eastAsia" w:ascii="宋体" w:hAnsi="宋体" w:cs="宋体"/>
                <w:szCs w:val="21"/>
                <w:u w:val="none" w:color="333333"/>
                <w:lang w:val="zh-TW" w:eastAsia="zh-TW"/>
              </w:rPr>
              <w:t>设备交付计划表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整机运行及维护手册应为中文，纸质文件至少一式三份，</w:t>
            </w:r>
            <w:r>
              <w:rPr>
                <w:rFonts w:hint="eastAsia" w:hAnsi="宋体"/>
                <w:szCs w:val="21"/>
                <w:u w:val="none" w:color="333333"/>
                <w:lang w:eastAsia="zh-CN"/>
              </w:rPr>
              <w:t>电子版</w:t>
            </w:r>
            <w:r>
              <w:rPr>
                <w:rFonts w:hint="eastAsia"/>
                <w:szCs w:val="21"/>
                <w:lang w:eastAsia="zh-CN"/>
              </w:rPr>
              <w:t>至少一份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生产商发运清单及所有单元配件及其组合的检验报告和证书标识等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设计选型文件：</w:t>
            </w:r>
            <w:r>
              <w:rPr>
                <w:rFonts w:hint="eastAsia" w:hAnsi="宋体"/>
                <w:szCs w:val="21"/>
                <w:u w:val="none" w:color="333333"/>
                <w:lang w:val="zh-TW" w:eastAsia="zh-CN"/>
              </w:rPr>
              <w:t>功能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说明</w:t>
            </w:r>
            <w:r>
              <w:rPr>
                <w:rFonts w:hint="eastAsia" w:hAnsi="宋体"/>
                <w:szCs w:val="21"/>
                <w:u w:val="none" w:color="333333"/>
                <w:lang w:val="zh-TW" w:eastAsia="zh-CN"/>
              </w:rPr>
              <w:t>、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软硬件设计说明</w:t>
            </w:r>
            <w:r>
              <w:rPr>
                <w:rFonts w:hint="eastAsia" w:hAnsi="宋体"/>
                <w:szCs w:val="21"/>
                <w:u w:val="none" w:color="333333"/>
                <w:lang w:val="zh-TW" w:eastAsia="zh-CN"/>
              </w:rPr>
              <w:t>、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配置清单与说明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配件清单、易损件清单、备件、消耗品清单：包括名称、编号、对应厂家名称、生产地、规格及必要说明。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设备厂家文件：出厂测试合格证、相关检测报告、各种标示。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设备操作手册（</w:t>
            </w:r>
            <w:r>
              <w:rPr>
                <w:rFonts w:ascii="宋体" w:hAnsi="宋体"/>
                <w:szCs w:val="21"/>
                <w:lang w:eastAsia="zh-CN"/>
              </w:rPr>
              <w:t>SOP</w:t>
            </w:r>
            <w:r>
              <w:rPr>
                <w:rFonts w:hint="eastAsia" w:ascii="宋体" w:hAnsi="宋体"/>
                <w:szCs w:val="21"/>
                <w:lang w:eastAsia="zh-CN"/>
              </w:rPr>
              <w:t>）：语言为中文，</w:t>
            </w:r>
            <w:r>
              <w:rPr>
                <w:rFonts w:hint="eastAsia"/>
                <w:lang w:eastAsia="zh-CN"/>
              </w:rPr>
              <w:t>使用说明书中应注明当转子达到使用寿命时，如仍要继续使用，应采取哪些安全防护措施。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3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4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4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</w:t>
            </w:r>
            <w:r>
              <w:rPr>
                <w:rFonts w:hint="eastAsia"/>
                <w:lang w:eastAsia="zh-CN"/>
              </w:rPr>
              <w:t>，培训还应有安全使用和应急处置措施相关的内容</w:t>
            </w:r>
            <w:r>
              <w:rPr>
                <w:lang w:eastAsia="zh-CN"/>
              </w:rPr>
              <w:t>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</w:t>
            </w:r>
            <w:r>
              <w:rPr>
                <w:rFonts w:hint="eastAsia"/>
                <w:lang w:eastAsia="zh-CN"/>
              </w:rPr>
              <w:t>仪器</w:t>
            </w:r>
            <w:r>
              <w:rPr>
                <w:lang w:eastAsia="zh-CN"/>
              </w:rPr>
              <w:t>部分进行基本维修，能够了解设备日常保养内容，能对造成常见故障的易损部件有明确认识。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仪器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保修期从确认验收的阶段就开始计算</w:t>
            </w:r>
            <w:r>
              <w:rPr>
                <w:rFonts w:hint="eastAsia" w:hAnsi="宋体"/>
                <w:szCs w:val="21"/>
                <w:u w:val="none" w:color="333333"/>
                <w:lang w:eastAsia="zh-TW"/>
              </w:rPr>
              <w:t>，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提供不少于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 年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保修期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保修期内免费保修，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如因设备故障导致停止生产时，需要延长保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修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期限，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保修期后应提供良好的售后服务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u w:val="none" w:color="333333"/>
                <w:lang w:eastAsia="zh-CN"/>
              </w:rPr>
              <w:t>质保期内维修或更换关键部件，该关键部件的质保自维修确认后顺延一年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u w:val="none" w:color="333333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u w:val="none" w:color="333333"/>
                <w:lang w:val="zh-TW" w:eastAsia="zh-TW"/>
              </w:rPr>
              <w:t>售后服务必须响应及时，要求设备出现须厂家维修的故障后，应在</w:t>
            </w:r>
            <w:r>
              <w:rPr>
                <w:rFonts w:ascii="宋体" w:hAnsi="宋体" w:cs="宋体"/>
                <w:szCs w:val="21"/>
                <w:u w:val="none" w:color="333333"/>
                <w:lang w:eastAsia="zh-CN"/>
              </w:rPr>
              <w:t>4</w:t>
            </w:r>
            <w:r>
              <w:rPr>
                <w:rFonts w:hint="eastAsia" w:ascii="宋体" w:hAnsi="宋体" w:cs="宋体"/>
                <w:szCs w:val="21"/>
                <w:u w:val="none" w:color="333333"/>
                <w:lang w:val="zh-TW" w:eastAsia="zh-TW"/>
              </w:rPr>
              <w:t>小时内明确答复，当电话沟通无法解决时，须</w:t>
            </w:r>
            <w:r>
              <w:rPr>
                <w:rFonts w:ascii="宋体" w:hAnsi="宋体" w:cs="宋体"/>
                <w:szCs w:val="21"/>
                <w:u w:val="none" w:color="333333"/>
                <w:lang w:eastAsia="zh-CN"/>
              </w:rPr>
              <w:t>24</w:t>
            </w:r>
            <w:r>
              <w:rPr>
                <w:rFonts w:hint="eastAsia" w:ascii="宋体" w:hAnsi="宋体" w:cs="宋体"/>
                <w:szCs w:val="21"/>
                <w:u w:val="none" w:color="333333"/>
                <w:lang w:val="zh-TW" w:eastAsia="zh-TW"/>
              </w:rPr>
              <w:t>小时内派人至现场解决。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szCs w:val="21"/>
                <w:u w:val="none" w:color="333333"/>
                <w:lang w:val="zh-TW" w:eastAsia="zh-TW"/>
              </w:rPr>
            </w:pP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一年免费保修期后，</w:t>
            </w:r>
            <w:r>
              <w:rPr>
                <w:rFonts w:hint="eastAsia" w:hAnsi="宋体"/>
                <w:szCs w:val="21"/>
                <w:u w:val="none" w:color="333333"/>
                <w:lang w:eastAsia="zh-TW"/>
              </w:rPr>
              <w:t>供应商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应终生提供及时的维修、维护，</w:t>
            </w:r>
            <w:r>
              <w:rPr>
                <w:rFonts w:hint="eastAsia" w:hAnsi="宋体"/>
                <w:szCs w:val="21"/>
                <w:u w:val="none" w:color="333333"/>
                <w:lang w:eastAsia="zh-TW"/>
              </w:rPr>
              <w:t>供应商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应定期回访，解决设备运行当中可能出现的疑问，排除潜在故障，使设备保持良好工作状态。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u w:val="none" w:color="333333"/>
                <w:lang w:eastAsia="zh-CN"/>
              </w:rPr>
            </w:pPr>
            <w:r>
              <w:rPr>
                <w:rFonts w:hint="eastAsia" w:hAnsi="宋体"/>
                <w:szCs w:val="21"/>
                <w:u w:val="none" w:color="333333"/>
                <w:lang w:eastAsia="zh-TW"/>
              </w:rPr>
              <w:t>供应商</w:t>
            </w: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应提供合格的备件，用于设备相应部件的维修、更换。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货物到达买方使用现场后，由买卖双方共同验收，卖方工程师免费为买方提供调试。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u w:val="none" w:color="333333"/>
                <w:lang w:val="zh-TW" w:eastAsia="zh-TW"/>
              </w:rPr>
              <w:t>供应商进厂施工需遵守安全和施工规定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hAnsi="宋体"/>
                <w:szCs w:val="21"/>
                <w:u w:val="none" w:color="333333"/>
                <w:lang w:val="zh-TW" w:eastAsia="zh-TW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/>
                <w:szCs w:val="21"/>
                <w:lang w:eastAsia="zh-CN"/>
              </w:rPr>
              <w:t>验收合格后，买卖双方签订验收报告。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3"/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52271612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4"/>
        <w:spacing w:before="0" w:line="360" w:lineRule="auto"/>
        <w:ind w:left="420"/>
        <w:jc w:val="left"/>
        <w:rPr>
          <w:rFonts w:ascii="宋体" w:hAnsi="宋体"/>
          <w:szCs w:val="21"/>
          <w:lang w:eastAsia="zh-CN"/>
        </w:rPr>
      </w:pPr>
      <w:permStart w:id="44" w:edGrp="everyone"/>
      <w:r>
        <w:rPr>
          <w:rFonts w:hint="eastAsia"/>
          <w:szCs w:val="21"/>
          <w:lang w:eastAsia="zh-CN"/>
        </w:rPr>
        <w:t>不适用</w:t>
      </w:r>
      <w:permEnd w:id="44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jc w:val="center"/>
      <w:rPr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pict>
        <v:line id="Line 1" o:spid="_x0000_s1025" style="position:absolute;left:0;margin-left:0pt;margin-top:0.05pt;height:0.05pt;width:510.25pt;rotation:0f;z-index:251658240;" o:ole="f" fillcolor="#FFFFFF" filled="f" o:preferrelative="t" stroked="t" coordsize="21600,21600">
          <v:fill on="f" color2="#FFFFFF" focus="0%"/>
          <v:stroke color="#000000" color2="#FFFFFF" joinstyle="round"/>
          <v:imagedata gain="65536f" blacklevel="0f" gamma="0"/>
          <o:lock v:ext="edit" position="f" selection="f" grouping="f" rotation="f" cropping="f" text="f" aspectratio="f"/>
        </v:line>
      </w:pict>
    </w:r>
  </w:p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default" w:ascii="Times New Roman" w:hAnsi="Times New Roman" w:cs="Times New Roman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278E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E5BC5"/>
    <w:rsid w:val="000F0D08"/>
    <w:rsid w:val="000F24DC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45F4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5D9E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2F78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2D52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7CC"/>
    <w:rsid w:val="001F4BFD"/>
    <w:rsid w:val="001F7405"/>
    <w:rsid w:val="001F7E95"/>
    <w:rsid w:val="00201487"/>
    <w:rsid w:val="0020162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54E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385B"/>
    <w:rsid w:val="0027449E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068A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1EFA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2BD"/>
    <w:rsid w:val="003B04A0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585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BDA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39"/>
    <w:rsid w:val="00481C94"/>
    <w:rsid w:val="00484A8D"/>
    <w:rsid w:val="00485D1F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4406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279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0BAA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94F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2134"/>
    <w:rsid w:val="00565C7A"/>
    <w:rsid w:val="00567E14"/>
    <w:rsid w:val="005705A7"/>
    <w:rsid w:val="005726EA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04BD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402A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32E3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7470D"/>
    <w:rsid w:val="00680BE8"/>
    <w:rsid w:val="0068366F"/>
    <w:rsid w:val="00686409"/>
    <w:rsid w:val="00686D19"/>
    <w:rsid w:val="0068777F"/>
    <w:rsid w:val="0069030A"/>
    <w:rsid w:val="00693018"/>
    <w:rsid w:val="006A0059"/>
    <w:rsid w:val="006A1C44"/>
    <w:rsid w:val="006A7425"/>
    <w:rsid w:val="006B058A"/>
    <w:rsid w:val="006B1299"/>
    <w:rsid w:val="006B26D9"/>
    <w:rsid w:val="006B2E6E"/>
    <w:rsid w:val="006B310C"/>
    <w:rsid w:val="006B664C"/>
    <w:rsid w:val="006C1125"/>
    <w:rsid w:val="006C1C83"/>
    <w:rsid w:val="006C3E78"/>
    <w:rsid w:val="006C4F81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5566"/>
    <w:rsid w:val="006E622E"/>
    <w:rsid w:val="006E7938"/>
    <w:rsid w:val="006E79FB"/>
    <w:rsid w:val="006F1A64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4D77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576DF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81B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4B0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11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862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3AAC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1B0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425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0F83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52D1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1C7C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0933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858"/>
    <w:rsid w:val="00AC2BFD"/>
    <w:rsid w:val="00AC4DDD"/>
    <w:rsid w:val="00AC5A43"/>
    <w:rsid w:val="00AC5D2C"/>
    <w:rsid w:val="00AC6B6D"/>
    <w:rsid w:val="00AC7E4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2CC"/>
    <w:rsid w:val="00AE6BEB"/>
    <w:rsid w:val="00AE7789"/>
    <w:rsid w:val="00AF1E14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23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2D72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48C6"/>
    <w:rsid w:val="00B87F62"/>
    <w:rsid w:val="00B914A4"/>
    <w:rsid w:val="00B92497"/>
    <w:rsid w:val="00B92D41"/>
    <w:rsid w:val="00B93679"/>
    <w:rsid w:val="00B9422D"/>
    <w:rsid w:val="00B95A1D"/>
    <w:rsid w:val="00B9634B"/>
    <w:rsid w:val="00B97612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BF6CAD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25C5"/>
    <w:rsid w:val="00C2355B"/>
    <w:rsid w:val="00C23584"/>
    <w:rsid w:val="00C274A6"/>
    <w:rsid w:val="00C34201"/>
    <w:rsid w:val="00C35A38"/>
    <w:rsid w:val="00C35EC9"/>
    <w:rsid w:val="00C36807"/>
    <w:rsid w:val="00C3708E"/>
    <w:rsid w:val="00C37392"/>
    <w:rsid w:val="00C41545"/>
    <w:rsid w:val="00C4209D"/>
    <w:rsid w:val="00C432B3"/>
    <w:rsid w:val="00C46872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0C9F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1613"/>
    <w:rsid w:val="00CA55BD"/>
    <w:rsid w:val="00CB0837"/>
    <w:rsid w:val="00CB1E6D"/>
    <w:rsid w:val="00CB2BFA"/>
    <w:rsid w:val="00CB3888"/>
    <w:rsid w:val="00CB400E"/>
    <w:rsid w:val="00CB48F6"/>
    <w:rsid w:val="00CB4D0F"/>
    <w:rsid w:val="00CB5F04"/>
    <w:rsid w:val="00CB67F1"/>
    <w:rsid w:val="00CB74E6"/>
    <w:rsid w:val="00CB7DC8"/>
    <w:rsid w:val="00CC0EC0"/>
    <w:rsid w:val="00CC34DB"/>
    <w:rsid w:val="00CC51AC"/>
    <w:rsid w:val="00CC609D"/>
    <w:rsid w:val="00CC7044"/>
    <w:rsid w:val="00CD11FF"/>
    <w:rsid w:val="00CD15E7"/>
    <w:rsid w:val="00CD36F5"/>
    <w:rsid w:val="00CE07A9"/>
    <w:rsid w:val="00CE1012"/>
    <w:rsid w:val="00CE1F1D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2D2D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4E17"/>
    <w:rsid w:val="00D6549E"/>
    <w:rsid w:val="00D66D42"/>
    <w:rsid w:val="00D67838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67F2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0FBD"/>
    <w:rsid w:val="00E1142B"/>
    <w:rsid w:val="00E11F10"/>
    <w:rsid w:val="00E157E4"/>
    <w:rsid w:val="00E15950"/>
    <w:rsid w:val="00E16522"/>
    <w:rsid w:val="00E167E3"/>
    <w:rsid w:val="00E1750C"/>
    <w:rsid w:val="00E178A6"/>
    <w:rsid w:val="00E17F20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38E2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28BE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5E2C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52C7"/>
    <w:rsid w:val="00F863B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B7BDF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6E66"/>
    <w:rsid w:val="00FE7611"/>
    <w:rsid w:val="00FF0769"/>
    <w:rsid w:val="00FF0DB8"/>
    <w:rsid w:val="00FF1A76"/>
    <w:rsid w:val="00FF1C1D"/>
    <w:rsid w:val="00FF3330"/>
    <w:rsid w:val="00FF4080"/>
    <w:rsid w:val="00FF40A5"/>
    <w:rsid w:val="00FF473A"/>
    <w:rsid w:val="00FF48DA"/>
    <w:rsid w:val="00FF5E19"/>
    <w:rsid w:val="00FF61AD"/>
    <w:rsid w:val="00FF76BD"/>
    <w:rsid w:val="2C4C6550"/>
    <w:rsid w:val="32DE46A1"/>
    <w:rsid w:val="3DF25634"/>
    <w:rsid w:val="43FB617E"/>
    <w:rsid w:val="48F411E3"/>
    <w:rsid w:val="49893384"/>
    <w:rsid w:val="5E0B34A7"/>
    <w:rsid w:val="70A73E1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99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6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99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Char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Char"/>
    <w:link w:val="7"/>
    <w:semiHidden/>
    <w:qFormat/>
    <w:uiPriority w:val="99"/>
    <w:rPr>
      <w:sz w:val="24"/>
      <w:lang w:eastAsia="en-US"/>
    </w:rPr>
  </w:style>
  <w:style w:type="character" w:customStyle="1" w:styleId="38">
    <w:name w:val="页脚 Char"/>
    <w:link w:val="14"/>
    <w:qFormat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qFormat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595</Words>
  <Characters>3396</Characters>
  <Lines>28</Lines>
  <Paragraphs>7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2021-03-04T15:32:00Z</dcterms:created>
  <dc:creator>Lilly</dc:creator>
  <cp:lastModifiedBy>汪洋</cp:lastModifiedBy>
  <cp:lastPrinted>2021-05-06T02:07:00Z</cp:lastPrinted>
  <dcterms:modified xsi:type="dcterms:W3CDTF">2021-06-03T00:38:28Z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1057376D58E14EBEB76A722ECA3D2D6F</vt:lpwstr>
  </property>
</Properties>
</file>