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乙型脑炎减毒活疫苗车间摇瓶机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spacing w:line="360" w:lineRule="auto"/>
        <w:ind w:firstLine="420" w:firstLineChars="200"/>
        <w:rPr>
          <w:szCs w:val="21"/>
          <w:lang w:val="en-US"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val="en-US" w:eastAsia="zh-CN"/>
        </w:rPr>
        <w:t>欣宁楼乙型脑炎减毒活疫苗车间摇瓶机</w:t>
      </w:r>
    </w:p>
    <w:permEnd w:id="3"/>
    <w:p>
      <w:pPr>
        <w:pStyle w:val="34"/>
        <w:spacing w:before="0" w:line="360" w:lineRule="auto"/>
        <w:ind w:left="357"/>
        <w:jc w:val="left"/>
        <w:rPr>
          <w:szCs w:val="21"/>
          <w:lang w:eastAsia="zh-CN"/>
        </w:rPr>
      </w:pPr>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spacing w:line="360" w:lineRule="auto"/>
        <w:ind w:firstLine="420" w:firstLineChars="200"/>
        <w:rPr>
          <w:szCs w:val="21"/>
          <w:lang w:val="en-US" w:eastAsia="zh-CN"/>
        </w:rPr>
      </w:pPr>
      <w:r>
        <w:rPr>
          <w:szCs w:val="21"/>
          <w:lang w:eastAsia="zh-CN"/>
        </w:rPr>
        <w:t>本URS适用于武汉生物制品研究所有限责任公司</w:t>
      </w:r>
      <w:permStart w:id="4" w:edGrp="everyone"/>
      <w:r>
        <w:rPr>
          <w:rFonts w:hint="eastAsia"/>
          <w:szCs w:val="21"/>
          <w:lang w:val="en-US" w:eastAsia="zh-CN"/>
        </w:rPr>
        <w:t>欣宁楼乙型脑炎减毒活疫苗车间摇瓶机，</w:t>
      </w:r>
      <w:r>
        <w:rPr>
          <w:rFonts w:hint="eastAsia"/>
          <w:iCs/>
          <w:szCs w:val="21"/>
          <w:lang w:eastAsia="zh-CN"/>
        </w:rPr>
        <w:t>用于细胞分散</w:t>
      </w:r>
    </w:p>
    <w:permEnd w:id="4"/>
    <w:p>
      <w:pPr>
        <w:pStyle w:val="34"/>
        <w:spacing w:before="0" w:line="360" w:lineRule="auto"/>
        <w:ind w:left="357"/>
        <w:jc w:val="left"/>
        <w:rPr>
          <w:szCs w:val="21"/>
          <w:lang w:eastAsia="zh-CN"/>
        </w:rPr>
      </w:pPr>
      <w:r>
        <w:rPr>
          <w:szCs w:val="21"/>
          <w:lang w:eastAsia="zh-CN"/>
        </w:rPr>
        <w:t>。</w:t>
      </w:r>
      <w:bookmarkEnd w:id="8"/>
      <w:bookmarkEnd w:id="9"/>
      <w:bookmarkEnd w:id="10"/>
      <w:bookmarkEnd w:id="11"/>
      <w:bookmarkEnd w:id="12"/>
      <w:bookmarkEnd w:id="13"/>
      <w:bookmarkEnd w:id="14"/>
      <w:bookmarkEnd w:id="15"/>
      <w:bookmarkEnd w:id="16"/>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0"/>
        <w:numPr>
          <w:ilvl w:val="0"/>
          <w:numId w:val="5"/>
        </w:numPr>
        <w:spacing w:line="360" w:lineRule="auto"/>
        <w:ind w:firstLineChars="0"/>
        <w:rPr>
          <w:rFonts w:ascii="Times New Roman" w:hAnsi="Times New Roman"/>
          <w:color w:val="000000"/>
          <w:kern w:val="0"/>
          <w:szCs w:val="21"/>
        </w:rPr>
      </w:pPr>
      <w:permStart w:id="5" w:edGrp="everyone"/>
      <w:r>
        <w:rPr>
          <w:rFonts w:hint="eastAsia" w:ascii="Arial" w:hAnsi="宋体" w:cs="Arial"/>
          <w:color w:val="000000"/>
          <w:sz w:val="24"/>
        </w:rPr>
        <w:t>《</w:t>
      </w:r>
      <w:r>
        <w:rPr>
          <w:rFonts w:hint="eastAsia" w:ascii="Times New Roman" w:hAnsi="Times New Roman"/>
          <w:color w:val="000000"/>
          <w:kern w:val="0"/>
          <w:szCs w:val="21"/>
        </w:rPr>
        <w:t>药品生产质量管理规范》（现行版）及其附录</w:t>
      </w:r>
    </w:p>
    <w:p>
      <w:pPr>
        <w:pStyle w:val="30"/>
        <w:numPr>
          <w:ilvl w:val="0"/>
          <w:numId w:val="5"/>
        </w:numPr>
        <w:spacing w:line="360" w:lineRule="auto"/>
        <w:ind w:firstLineChars="0"/>
        <w:rPr>
          <w:rFonts w:ascii="Times New Roman" w:hAnsi="Times New Roman"/>
          <w:color w:val="000000"/>
          <w:kern w:val="0"/>
          <w:szCs w:val="21"/>
        </w:rPr>
      </w:pPr>
      <w:r>
        <w:rPr>
          <w:rFonts w:hint="eastAsia" w:ascii="Times New Roman" w:hAnsi="Times New Roman"/>
          <w:color w:val="000000"/>
          <w:kern w:val="0"/>
          <w:szCs w:val="21"/>
        </w:rPr>
        <w:t>《药品GMP指南》无菌药品（现行版）</w:t>
      </w:r>
    </w:p>
    <w:p>
      <w:pPr>
        <w:pStyle w:val="30"/>
        <w:numPr>
          <w:ilvl w:val="0"/>
          <w:numId w:val="5"/>
        </w:numPr>
        <w:spacing w:line="360" w:lineRule="auto"/>
        <w:ind w:firstLineChars="0"/>
        <w:rPr>
          <w:rFonts w:ascii="Times New Roman" w:hAnsi="Times New Roman"/>
          <w:color w:val="000000"/>
          <w:kern w:val="0"/>
          <w:szCs w:val="21"/>
        </w:rPr>
      </w:pPr>
      <w:r>
        <w:rPr>
          <w:rFonts w:hint="eastAsia" w:ascii="Times New Roman" w:hAnsi="Times New Roman"/>
          <w:color w:val="000000"/>
          <w:kern w:val="0"/>
          <w:szCs w:val="21"/>
        </w:rPr>
        <w:t>《中国药典》（现行版）</w:t>
      </w:r>
    </w:p>
    <w:p>
      <w:pPr>
        <w:pStyle w:val="30"/>
        <w:spacing w:line="360" w:lineRule="auto"/>
        <w:ind w:left="988" w:firstLine="210" w:firstLineChars="100"/>
        <w:rPr>
          <w:rFonts w:ascii="Times New Roman" w:hAnsi="Times New Roman"/>
          <w:color w:val="000000"/>
          <w:kern w:val="0"/>
          <w:szCs w:val="21"/>
        </w:rPr>
      </w:pPr>
      <w:r>
        <w:rPr>
          <w:rFonts w:hint="eastAsia" w:ascii="Times New Roman" w:hAnsi="Times New Roman"/>
          <w:color w:val="000000"/>
          <w:kern w:val="0"/>
          <w:szCs w:val="21"/>
        </w:rPr>
        <w:t>国家相关标准</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spacing w:before="0" w:line="360" w:lineRule="auto"/>
        <w:ind w:left="357"/>
        <w:jc w:val="left"/>
        <w:rPr>
          <w:iCs/>
          <w:szCs w:val="21"/>
          <w:lang w:eastAsia="zh-CN"/>
        </w:rPr>
      </w:pPr>
      <w:permStart w:id="6" w:edGrp="everyone"/>
      <w:r>
        <w:rPr>
          <w:rFonts w:hint="eastAsia"/>
          <w:iCs/>
          <w:szCs w:val="21"/>
          <w:lang w:eastAsia="zh-CN"/>
        </w:rPr>
        <w:t>满足IEC标准。</w:t>
      </w:r>
    </w:p>
    <w:permEnd w:id="6"/>
    <w:p>
      <w:pPr>
        <w:pStyle w:val="34"/>
        <w:spacing w:before="0" w:line="360" w:lineRule="auto"/>
        <w:jc w:val="left"/>
        <w:rPr>
          <w:szCs w:val="21"/>
          <w:lang w:eastAsia="zh-CN"/>
        </w:rPr>
      </w:pPr>
      <w:permStart w:id="7" w:edGrp="everyone"/>
      <w:bookmarkStart w:id="48" w:name="_GoBack"/>
      <w:bookmarkEnd w:id="48"/>
    </w:p>
    <w:permEnd w:id="7"/>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iCs/>
          <w:szCs w:val="21"/>
          <w:lang w:eastAsia="zh-CN"/>
        </w:rPr>
        <w:t>乙型脑炎减毒活疫苗车间需要购买2台摇瓶机，用于原代地鼠肾细胞分散。</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ascii="宋体" w:hAnsi="宋体"/>
                <w:szCs w:val="21"/>
                <w:lang w:eastAsia="zh-CN"/>
              </w:rPr>
              <w:t>乙型脑炎减毒活疫苗车间细胞制备间1、细胞制备间2的</w:t>
            </w:r>
            <w:r>
              <w:rPr>
                <w:rFonts w:ascii="宋体" w:hAnsi="宋体"/>
                <w:szCs w:val="21"/>
                <w:lang w:eastAsia="zh-CN"/>
              </w:rPr>
              <w:t>A</w:t>
            </w:r>
            <w:r>
              <w:rPr>
                <w:rFonts w:hint="eastAsia" w:ascii="宋体" w:hAnsi="宋体"/>
                <w:szCs w:val="21"/>
                <w:lang w:eastAsia="zh-CN"/>
              </w:rPr>
              <w:t>级层流罩下</w:t>
            </w:r>
          </w:p>
        </w:tc>
        <w:tc>
          <w:tcPr>
            <w:tcW w:w="2125" w:type="dxa"/>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ascii="宋体" w:hAnsi="宋体"/>
                <w:lang w:eastAsia="zh-CN"/>
              </w:rPr>
              <w:t>尺寸要求：需固定放置6个1000m</w:t>
            </w:r>
            <w:r>
              <w:rPr>
                <w:rFonts w:ascii="宋体" w:hAnsi="宋体"/>
                <w:lang w:eastAsia="zh-CN"/>
              </w:rPr>
              <w:t>L</w:t>
            </w:r>
            <w:r>
              <w:rPr>
                <w:rFonts w:hint="eastAsia" w:ascii="宋体" w:hAnsi="宋体"/>
                <w:lang w:eastAsia="zh-CN"/>
              </w:rPr>
              <w:t>三角瓶的大小，</w:t>
            </w:r>
            <w:r>
              <w:rPr>
                <w:lang w:eastAsia="zh-CN"/>
              </w:rPr>
              <w:t>需配</w:t>
            </w:r>
            <w:r>
              <w:rPr>
                <w:rFonts w:hint="eastAsia"/>
                <w:lang w:eastAsia="zh-CN"/>
              </w:rPr>
              <w:t>车，且车与设备最长边长度应小于层流最短边长度</w:t>
            </w:r>
            <w:r>
              <w:rPr>
                <w:rFonts w:hint="eastAsia" w:ascii="宋体" w:hAnsi="宋体"/>
                <w:lang w:eastAsia="zh-CN"/>
              </w:rPr>
              <w:t>。</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pStyle w:val="7"/>
              <w:rPr>
                <w:lang w:eastAsia="zh-CN"/>
              </w:rPr>
            </w:pPr>
            <w:r>
              <w:rPr>
                <w:lang w:eastAsia="zh-CN"/>
              </w:rPr>
              <w:t>需配</w:t>
            </w:r>
            <w:r>
              <w:rPr>
                <w:rFonts w:hint="eastAsia"/>
                <w:lang w:eastAsia="zh-CN"/>
              </w:rPr>
              <w:t>车</w:t>
            </w:r>
            <w:r>
              <w:rPr>
                <w:lang w:eastAsia="zh-CN"/>
              </w:rPr>
              <w:t>，可推行</w:t>
            </w:r>
            <w:r>
              <w:rPr>
                <w:rFonts w:hint="eastAsia"/>
                <w:lang w:eastAsia="zh-CN"/>
              </w:rPr>
              <w:t>，轮子可固定</w:t>
            </w:r>
            <w:r>
              <w:rPr>
                <w:lang w:eastAsia="zh-CN"/>
              </w:rPr>
              <w:t>且能承受最大</w:t>
            </w:r>
            <w:r>
              <w:rPr>
                <w:rFonts w:hint="eastAsia"/>
                <w:lang w:eastAsia="zh-CN"/>
              </w:rPr>
              <w:t>装载</w:t>
            </w:r>
            <w:r>
              <w:rPr>
                <w:lang w:eastAsia="zh-CN"/>
              </w:rPr>
              <w:t>量</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i/>
                <w:szCs w:val="21"/>
                <w:lang w:eastAsia="zh-CN"/>
              </w:rPr>
            </w:pPr>
            <w:r>
              <w:rPr>
                <w:rFonts w:hint="eastAsia" w:ascii="宋体" w:hAnsi="宋体"/>
                <w:sz w:val="24"/>
              </w:rPr>
              <w:t>N/A</w:t>
            </w:r>
          </w:p>
        </w:tc>
        <w:tc>
          <w:tcPr>
            <w:tcW w:w="2125" w:type="dxa"/>
            <w:vAlign w:val="center"/>
          </w:tcPr>
          <w:p>
            <w:pPr>
              <w:jc w:val="both"/>
              <w:rPr>
                <w:szCs w:val="21"/>
                <w:lang w:eastAsia="zh-CN"/>
              </w:rPr>
            </w:pP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ascii="宋体" w:hAnsi="宋体"/>
                <w:lang w:eastAsia="zh-CN"/>
              </w:rPr>
              <w:t>工作环境温度：</w:t>
            </w:r>
            <w:r>
              <w:rPr>
                <w:rFonts w:hint="eastAsia" w:ascii="宋体"/>
                <w:lang w:eastAsia="zh-CN"/>
              </w:rPr>
              <w:t>18</w:t>
            </w:r>
            <w:r>
              <w:rPr>
                <w:rFonts w:hint="eastAsia" w:ascii="宋体" w:hAnsi="宋体"/>
                <w:lang w:eastAsia="zh-CN"/>
              </w:rPr>
              <w:t>℃～26℃。</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工作环境湿度：至少包括</w:t>
            </w:r>
            <w:r>
              <w:rPr>
                <w:lang w:eastAsia="zh-CN"/>
              </w:rPr>
              <w:t>45%～65</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i/>
                <w:color w:val="0070C0"/>
                <w:lang w:eastAsia="zh-CN"/>
              </w:rPr>
              <w:t xml:space="preserve"> </w:t>
            </w:r>
            <w:r>
              <w:rPr>
                <w:iCs/>
                <w:lang w:eastAsia="zh-CN"/>
              </w:rPr>
              <w:t>A级</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w:t>
            </w:r>
            <w:r>
              <w:rPr>
                <w:iCs/>
                <w:lang w:eastAsia="zh-CN"/>
              </w:rPr>
              <w:t>～220±10%V，50±1Hz</w:t>
            </w:r>
            <w:r>
              <w:rPr>
                <w:i/>
                <w:color w:val="0070C0"/>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rFonts w:hint="eastAsia" w:ascii="宋体" w:hAnsi="宋体"/>
                <w:color w:val="000000"/>
                <w:lang w:eastAsia="zh-CN"/>
              </w:rPr>
              <w:t>设备及推车外观应端正、整齐，不得有明显的偏歪、毛刺和锈蚀等缺陷</w:t>
            </w:r>
            <w:r>
              <w:rPr>
                <w:rFonts w:hint="eastAsia"/>
                <w:lang w:eastAsia="zh-CN"/>
              </w:rPr>
              <w:t>。设备表面要光滑、平整，易于清洁。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lang w:eastAsia="zh-CN"/>
              </w:rPr>
              <w:t>整体使用材质应为304不锈钢，表面光滑、平整，易于清洁且</w:t>
            </w:r>
            <w:r>
              <w:rPr>
                <w:rFonts w:hint="eastAsia"/>
                <w:lang w:eastAsia="zh-CN"/>
              </w:rPr>
              <w:t>需耐受酒精、新洁尔灭、84消毒液、甲醛、过氧化氢等的腐蚀</w:t>
            </w:r>
            <w:r>
              <w:rPr>
                <w:rFonts w:hint="eastAsia" w:ascii="宋体" w:hAnsi="宋体"/>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pStyle w:val="8"/>
              <w:spacing w:line="360" w:lineRule="auto"/>
              <w:rPr>
                <w:rFonts w:ascii="宋体"/>
                <w:b/>
                <w:sz w:val="21"/>
                <w:szCs w:val="21"/>
                <w:lang w:val="en-US" w:eastAsia="zh-CN"/>
              </w:rPr>
            </w:pPr>
            <w:r>
              <w:rPr>
                <w:rFonts w:hint="eastAsia"/>
                <w:color w:val="000000"/>
                <w:sz w:val="21"/>
                <w:szCs w:val="21"/>
              </w:rPr>
              <w:t>N/A</w:t>
            </w:r>
          </w:p>
        </w:tc>
        <w:tc>
          <w:tcPr>
            <w:tcW w:w="2125" w:type="dxa"/>
            <w:vAlign w:val="center"/>
          </w:tcPr>
          <w:p>
            <w:pPr>
              <w:jc w:val="both"/>
              <w:rPr>
                <w:szCs w:val="21"/>
                <w:lang w:eastAsia="zh-CN"/>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szCs w:val="21"/>
                <w:lang w:eastAsia="zh-CN"/>
              </w:rPr>
            </w:pPr>
            <w:r>
              <w:rPr>
                <w:rFonts w:hint="eastAsia"/>
                <w:color w:val="000000"/>
                <w:szCs w:val="21"/>
              </w:rPr>
              <w:t>N/A</w:t>
            </w:r>
          </w:p>
        </w:tc>
        <w:tc>
          <w:tcPr>
            <w:tcW w:w="2125" w:type="dxa"/>
            <w:vAlign w:val="center"/>
          </w:tcPr>
          <w:p>
            <w:pPr>
              <w:jc w:val="both"/>
              <w:rPr>
                <w:szCs w:val="21"/>
                <w:lang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eastAsia="zh-CN"/>
              </w:rPr>
            </w:pPr>
            <w:r>
              <w:rPr>
                <w:rFonts w:hint="eastAsia" w:ascii="宋体"/>
                <w:szCs w:val="21"/>
                <w:lang w:eastAsia="zh-CN"/>
              </w:rPr>
              <w:t>振荡方式：回旋振荡式</w:t>
            </w:r>
            <w:r>
              <w:rPr>
                <w:rFonts w:hint="eastAsia" w:ascii="宋体"/>
                <w:sz w:val="24"/>
                <w:lang w:eastAsia="zh-CN"/>
              </w:rPr>
              <w:t>。</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宋体"/>
                <w:szCs w:val="21"/>
                <w:lang w:eastAsia="zh-CN"/>
              </w:rPr>
            </w:pPr>
            <w:r>
              <w:rPr>
                <w:rFonts w:hint="eastAsia" w:ascii="宋体"/>
                <w:szCs w:val="21"/>
                <w:lang w:eastAsia="zh-CN"/>
              </w:rPr>
              <w:t>驱动方式：偏心式驱动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振荡频率：范围</w:t>
            </w:r>
            <w:r>
              <w:rPr>
                <w:rFonts w:hint="eastAsia"/>
                <w:szCs w:val="28"/>
                <w:lang w:eastAsia="zh-CN"/>
              </w:rPr>
              <w:t>15-500rpm，精度要求±1rpm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振荡幅度：0-50mm，范围可调</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定时范围：0-99min，精度要求±1min</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工作时应最大限度减少噪声，</w:t>
            </w:r>
            <w:r>
              <w:rPr>
                <w:rFonts w:hint="eastAsia" w:eastAsia="宋体"/>
                <w:sz w:val="24"/>
                <w:szCs w:val="24"/>
              </w:rPr>
              <w:t>噪声</w:t>
            </w:r>
            <w:r>
              <w:rPr>
                <w:rFonts w:hint="eastAsia" w:ascii="宋体" w:hAnsi="宋体"/>
                <w:szCs w:val="21"/>
              </w:rPr>
              <w:t>≤62dB</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摇板需要温控模块，温度可调范围：室温</w:t>
            </w:r>
            <w:r>
              <w:rPr>
                <w:rFonts w:ascii="宋体"/>
                <w:szCs w:val="21"/>
                <w:lang w:eastAsia="zh-CN"/>
              </w:rPr>
              <w:t>-40</w:t>
            </w:r>
            <w:r>
              <w:rPr>
                <w:rFonts w:hint="eastAsia" w:ascii="宋体"/>
                <w:szCs w:val="21"/>
                <w:lang w:eastAsia="zh-CN"/>
              </w:rPr>
              <w:t>℃，精度要求±1℃</w:t>
            </w:r>
          </w:p>
        </w:tc>
        <w:tc>
          <w:tcPr>
            <w:tcW w:w="2125"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iCs/>
                <w:szCs w:val="21"/>
                <w:lang w:eastAsia="zh-CN"/>
              </w:rPr>
            </w:pPr>
            <w:r>
              <w:rPr>
                <w:iCs/>
                <w:szCs w:val="21"/>
                <w:lang w:eastAsia="zh-CN"/>
              </w:rPr>
              <w:t>N/A</w:t>
            </w:r>
          </w:p>
        </w:tc>
        <w:tc>
          <w:tcPr>
            <w:tcW w:w="2125" w:type="dxa"/>
            <w:vAlign w:val="center"/>
          </w:tcPr>
          <w:p>
            <w:pPr>
              <w:jc w:val="both"/>
              <w:rPr>
                <w:szCs w:val="21"/>
                <w:lang w:eastAsia="zh-CN"/>
              </w:rPr>
            </w:pPr>
          </w:p>
        </w:tc>
      </w:tr>
      <w:permEnd w:id="25"/>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i/>
                <w:szCs w:val="21"/>
                <w:lang w:eastAsia="zh-CN"/>
              </w:rPr>
            </w:pPr>
            <w:r>
              <w:rPr>
                <w:rFonts w:hint="eastAsia" w:ascii="Arial" w:hAnsi="宋体" w:cs="Arial"/>
                <w:color w:val="000000"/>
                <w:szCs w:val="21"/>
                <w:lang w:eastAsia="zh-CN"/>
              </w:rPr>
              <w:t>有频率调节，时间调节和温度调节旋钮</w:t>
            </w:r>
            <w:r>
              <w:rPr>
                <w:rFonts w:hint="eastAsia"/>
                <w:lang w:eastAsia="zh-CN"/>
              </w:rPr>
              <w:t>或调节按钮，还需要有设定参数的显示</w:t>
            </w:r>
            <w:r>
              <w:rPr>
                <w:i/>
                <w:color w:val="0070C0"/>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szCs w:val="21"/>
                <w:lang w:eastAsia="zh-CN"/>
              </w:rPr>
            </w:pPr>
            <w:r>
              <w:rPr>
                <w:rFonts w:hint="eastAsia" w:ascii="宋体" w:hAnsi="宋体"/>
                <w:sz w:val="24"/>
              </w:rPr>
              <w:t>N/A</w:t>
            </w:r>
          </w:p>
        </w:tc>
        <w:tc>
          <w:tcPr>
            <w:tcW w:w="2125" w:type="dxa"/>
            <w:vAlign w:val="center"/>
          </w:tcPr>
          <w:p>
            <w:pPr>
              <w:jc w:val="both"/>
              <w:rPr>
                <w:szCs w:val="21"/>
                <w:lang w:eastAsia="zh-CN"/>
              </w:rPr>
            </w:pPr>
          </w:p>
        </w:tc>
      </w:tr>
      <w:permEnd w:id="28"/>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ind w:left="357"/>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szCs w:val="21"/>
                <w:lang w:eastAsia="zh-CN"/>
              </w:rPr>
            </w:pPr>
            <w:r>
              <w:rPr>
                <w:rFonts w:hint="eastAsia" w:ascii="宋体" w:hAnsi="宋体"/>
                <w:sz w:val="24"/>
              </w:rPr>
              <w:t>N/A</w:t>
            </w:r>
          </w:p>
        </w:tc>
        <w:tc>
          <w:tcPr>
            <w:tcW w:w="2125" w:type="dxa"/>
            <w:vAlign w:val="center"/>
          </w:tcPr>
          <w:p>
            <w:pPr>
              <w:jc w:val="both"/>
              <w:rPr>
                <w:szCs w:val="21"/>
                <w:lang w:eastAsia="zh-CN"/>
              </w:rPr>
            </w:pP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rFonts w:hint="eastAsia" w:ascii="宋体" w:hAnsi="宋体"/>
                <w:szCs w:val="21"/>
                <w:lang w:eastAsia="zh-CN"/>
              </w:rPr>
              <w:t>电气安全应符合GB4793.1和GB4793.4的要求</w:t>
            </w:r>
          </w:p>
        </w:tc>
        <w:tc>
          <w:tcPr>
            <w:tcW w:w="2125"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ascii="宋体" w:hAnsi="宋体"/>
                <w:szCs w:val="21"/>
                <w:lang w:eastAsia="zh-CN"/>
              </w:rPr>
              <w:t>仪器要有漏电保护功能</w:t>
            </w:r>
          </w:p>
        </w:tc>
        <w:tc>
          <w:tcPr>
            <w:tcW w:w="2125" w:type="dxa"/>
            <w:vAlign w:val="center"/>
          </w:tcPr>
          <w:p>
            <w:pPr>
              <w:jc w:val="both"/>
              <w:rPr>
                <w:szCs w:val="21"/>
                <w:lang w:eastAsia="zh-CN"/>
              </w:rPr>
            </w:pPr>
            <w:r>
              <w:rPr>
                <w:rFonts w:hint="eastAsia"/>
                <w:szCs w:val="21"/>
                <w:lang w:eastAsia="zh-CN"/>
              </w:rPr>
              <w:t>关键</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ascii="宋体" w:hAnsi="宋体"/>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ascii="宋体" w:hAnsi="宋体"/>
                <w:lang w:eastAsia="zh-CN"/>
              </w:rPr>
              <w:t>卖方发运清单及相关检验报告</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系统功能配置清单&amp;说明，包含</w:t>
            </w:r>
            <w:r>
              <w:rPr>
                <w:rFonts w:hint="eastAsia" w:ascii="宋体" w:hAnsi="宋体" w:cs="宋体"/>
                <w:lang w:eastAsia="zh-CN"/>
              </w:rPr>
              <w:t>各组件名称、编号、型号、规格、品牌、材质等</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rPr>
              <w:t>设备标准技术文件</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图纸：实物图；各种确认、维修等活动所需的电子版及打印版图纸、P&amp;ID图（至少是控制原理图）、图纸说明及清单</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lang w:eastAsia="zh-CN"/>
              </w:rPr>
              <w:t>组件清单、易损件清单、备用零件、消耗品清单</w:t>
            </w:r>
            <w:r>
              <w:rPr>
                <w:rFonts w:hint="eastAsia" w:ascii="宋体" w:hAnsi="宋体"/>
                <w:lang w:eastAsia="zh-CN"/>
              </w:rPr>
              <w:t>：包括名称、编号、对应厂家名称、生产地、规格及必要说明</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vAlign w:val="center"/>
          </w:tcPr>
          <w:p>
            <w:pPr>
              <w:jc w:val="both"/>
              <w:rPr>
                <w:szCs w:val="21"/>
                <w:lang w:eastAsia="zh-CN"/>
              </w:rPr>
            </w:pPr>
            <w:r>
              <w:rPr>
                <w:rFonts w:hint="eastAsia" w:ascii="宋体" w:hAnsi="宋体"/>
                <w:lang w:eastAsia="zh-CN"/>
              </w:rPr>
              <w:t>设备厂家文件：工厂相关检测报告、材质清单材质证书（写明材料有效期）、各种标示、出厂合格证、各组件相关报告及合格证</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lang w:eastAsia="zh-CN"/>
              </w:rPr>
              <w:t>设备操作手册（SOP）</w:t>
            </w:r>
            <w:r>
              <w:rPr>
                <w:rFonts w:hint="eastAsia"/>
                <w:lang w:eastAsia="zh-CN"/>
              </w:rPr>
              <w:t>：</w:t>
            </w:r>
            <w:r>
              <w:rPr>
                <w:rFonts w:hint="eastAsia" w:ascii="宋体" w:hAnsi="宋体" w:cs="宋体"/>
                <w:lang w:eastAsia="zh-CN"/>
              </w:rPr>
              <w:t>语言为中文，</w:t>
            </w:r>
            <w:r>
              <w:rPr>
                <w:rFonts w:hint="eastAsia"/>
                <w:lang w:eastAsia="zh-CN"/>
              </w:rPr>
              <w:t>应说明校准周期，并能提供校准服务（此项服务可付费）</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仪器仪表清单和相关校验报告及计量证书（提供所有在该设备上安装的仪表、传感器的校验证书，且证书有效期自设备到货之日起不少于8个月）</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rPr>
            </w:pPr>
            <w:r>
              <w:rPr>
                <w:rFonts w:hint="eastAsia" w:ascii="宋体" w:hAnsi="宋体"/>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工厂验收测试报告和现场验收测试（SAT）报告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vAlign w:val="center"/>
          </w:tcPr>
          <w:p>
            <w:pPr>
              <w:jc w:val="both"/>
              <w:rPr>
                <w:rFonts w:ascii="宋体" w:hAnsi="宋体"/>
                <w:lang w:eastAsia="zh-CN"/>
              </w:rPr>
            </w:pPr>
            <w:r>
              <w:rPr>
                <w:rFonts w:hint="eastAsia" w:ascii="宋体" w:hAnsi="宋体"/>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sz w:val="21"/>
                <w:szCs w:val="21"/>
                <w:lang w:eastAsia="zh-CN"/>
              </w:rPr>
            </w:pPr>
            <w:r>
              <w:rPr>
                <w:rFonts w:hint="eastAsia" w:ascii="宋体" w:hAnsi="宋体"/>
                <w:sz w:val="21"/>
                <w:szCs w:val="21"/>
                <w:lang w:eastAsia="zh-CN"/>
              </w:rPr>
              <w:t>供应商提供全套首次验证相关验证服务和文件，必须满足GMP相关法规要求</w:t>
            </w:r>
            <w:r>
              <w:rPr>
                <w:rFonts w:hint="eastAsia" w:ascii="宋体" w:hAnsi="宋体" w:cs="宋体"/>
                <w:sz w:val="21"/>
                <w:szCs w:val="21"/>
                <w:lang w:eastAsia="zh-CN"/>
              </w:rPr>
              <w:t>（1）</w:t>
            </w:r>
            <w:r>
              <w:rPr>
                <w:rFonts w:hint="eastAsia" w:ascii="宋体" w:hAnsi="宋体"/>
                <w:sz w:val="21"/>
                <w:szCs w:val="21"/>
                <w:lang w:eastAsia="zh-CN"/>
              </w:rPr>
              <w:t>设计确认及文件（DQ）</w:t>
            </w:r>
            <w:r>
              <w:rPr>
                <w:rFonts w:hint="eastAsia" w:ascii="宋体" w:hAnsi="宋体" w:cs="宋体"/>
                <w:sz w:val="21"/>
                <w:szCs w:val="21"/>
                <w:lang w:eastAsia="zh-CN"/>
              </w:rPr>
              <w:t>，包括风险评估</w:t>
            </w:r>
            <w:r>
              <w:rPr>
                <w:rFonts w:hint="eastAsia" w:ascii="宋体" w:hAnsi="宋体"/>
                <w:sz w:val="21"/>
                <w:szCs w:val="21"/>
                <w:lang w:eastAsia="zh-CN"/>
              </w:rPr>
              <w:t>；</w:t>
            </w:r>
          </w:p>
          <w:p>
            <w:pPr>
              <w:pStyle w:val="8"/>
              <w:rPr>
                <w:rFonts w:ascii="宋体"/>
                <w:sz w:val="21"/>
                <w:szCs w:val="21"/>
                <w:lang w:val="en-US" w:eastAsia="zh-CN"/>
              </w:rPr>
            </w:pPr>
            <w:r>
              <w:rPr>
                <w:rFonts w:hint="eastAsia" w:ascii="宋体" w:hAnsi="宋体" w:cs="宋体"/>
                <w:sz w:val="21"/>
                <w:szCs w:val="21"/>
                <w:lang w:eastAsia="zh-CN"/>
              </w:rPr>
              <w:t>（2）</w:t>
            </w:r>
            <w:r>
              <w:rPr>
                <w:rFonts w:hint="eastAsia" w:ascii="宋体" w:hAnsi="宋体"/>
                <w:sz w:val="21"/>
                <w:szCs w:val="21"/>
                <w:lang w:eastAsia="zh-CN"/>
              </w:rPr>
              <w:t>安装确认及文件（IQ）；</w:t>
            </w:r>
          </w:p>
          <w:p>
            <w:pPr>
              <w:pStyle w:val="8"/>
              <w:rPr>
                <w:rFonts w:ascii="宋体"/>
                <w:sz w:val="21"/>
                <w:szCs w:val="21"/>
                <w:lang w:eastAsia="zh-CN"/>
              </w:rPr>
            </w:pPr>
            <w:r>
              <w:rPr>
                <w:rFonts w:hint="eastAsia" w:ascii="宋体" w:hAnsi="宋体" w:cs="宋体"/>
                <w:sz w:val="21"/>
                <w:szCs w:val="21"/>
                <w:lang w:eastAsia="zh-CN"/>
              </w:rPr>
              <w:t>（3）</w:t>
            </w:r>
            <w:r>
              <w:rPr>
                <w:rFonts w:hint="eastAsia" w:ascii="宋体" w:hAnsi="宋体"/>
                <w:sz w:val="21"/>
                <w:szCs w:val="21"/>
                <w:lang w:eastAsia="zh-CN"/>
              </w:rPr>
              <w:t>运行确认及文件（OQ）；</w:t>
            </w:r>
          </w:p>
          <w:p>
            <w:pPr>
              <w:jc w:val="both"/>
              <w:rPr>
                <w:rFonts w:ascii="宋体" w:hAnsi="宋体"/>
                <w:szCs w:val="21"/>
                <w:lang w:eastAsia="zh-CN"/>
              </w:rPr>
            </w:pPr>
            <w:r>
              <w:rPr>
                <w:rFonts w:hint="eastAsia" w:ascii="宋体" w:hAnsi="宋体"/>
                <w:szCs w:val="21"/>
                <w:lang w:eastAsia="zh-CN"/>
              </w:rPr>
              <w:t>（4）设备生产商负责制定设备DQ/IQ/OQ验证方案并负责DQ/IQ/OQ验证方案的实施，该验证方案作为设备必备文件。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使用操作说明书及维护保养说明（即运行及维护手册）3份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val="en-US" w:eastAsia="zh-CN"/>
              </w:rPr>
            </w:pPr>
            <w:r>
              <w:rPr>
                <w:rFonts w:hint="eastAsia" w:ascii="宋体" w:hAnsi="宋体"/>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rPr>
                <w:rFonts w:ascii="宋体"/>
                <w:sz w:val="21"/>
                <w:szCs w:val="21"/>
                <w:lang w:val="en-US" w:eastAsia="zh-CN"/>
              </w:rPr>
            </w:pPr>
            <w:r>
              <w:rPr>
                <w:rFonts w:hint="eastAsia" w:ascii="宋体"/>
                <w:sz w:val="21"/>
                <w:szCs w:val="21"/>
                <w:lang w:eastAsia="zh-CN"/>
              </w:rPr>
              <w:t>文件具体要求：</w:t>
            </w:r>
          </w:p>
          <w:p>
            <w:pPr>
              <w:pStyle w:val="8"/>
              <w:rPr>
                <w:rFonts w:ascii="宋体" w:cs="宋体"/>
                <w:sz w:val="21"/>
                <w:szCs w:val="21"/>
                <w:lang w:eastAsia="zh-CN"/>
              </w:rPr>
            </w:pPr>
            <w:r>
              <w:rPr>
                <w:rFonts w:hint="eastAsia" w:ascii="宋体" w:hAnsi="宋体" w:cs="宋体"/>
                <w:sz w:val="21"/>
                <w:szCs w:val="21"/>
                <w:lang w:eastAsia="zh-CN"/>
              </w:rPr>
              <w:t>（1）</w:t>
            </w:r>
            <w:r>
              <w:rPr>
                <w:rFonts w:hint="eastAsia" w:ascii="宋体" w:hAnsi="宋体"/>
                <w:sz w:val="21"/>
                <w:szCs w:val="21"/>
                <w:lang w:eastAsia="zh-CN"/>
              </w:rPr>
              <w:t>仪器</w:t>
            </w:r>
            <w:r>
              <w:rPr>
                <w:rFonts w:hint="eastAsia" w:ascii="宋体" w:hAnsi="宋体" w:cs="宋体"/>
                <w:sz w:val="21"/>
                <w:szCs w:val="21"/>
                <w:lang w:eastAsia="zh-CN"/>
              </w:rPr>
              <w:t>相关方案中，应明确本</w:t>
            </w:r>
            <w:r>
              <w:rPr>
                <w:rFonts w:hint="eastAsia" w:ascii="宋体" w:hAnsi="宋体"/>
                <w:sz w:val="21"/>
                <w:szCs w:val="21"/>
                <w:lang w:eastAsia="zh-CN"/>
              </w:rPr>
              <w:t>仪器</w:t>
            </w:r>
            <w:r>
              <w:rPr>
                <w:rFonts w:hint="eastAsia" w:ascii="宋体" w:hAnsi="宋体" w:cs="宋体"/>
                <w:sz w:val="21"/>
                <w:szCs w:val="21"/>
                <w:lang w:eastAsia="zh-CN"/>
              </w:rPr>
              <w:t>的配置、规格，并且通过分析阐述每一个</w:t>
            </w:r>
            <w:r>
              <w:rPr>
                <w:rFonts w:hint="eastAsia" w:ascii="宋体" w:hAnsi="宋体"/>
                <w:sz w:val="21"/>
                <w:szCs w:val="21"/>
                <w:lang w:eastAsia="zh-CN"/>
              </w:rPr>
              <w:t>仪器</w:t>
            </w:r>
            <w:r>
              <w:rPr>
                <w:rFonts w:hint="eastAsia" w:ascii="宋体" w:hAnsi="宋体" w:cs="宋体"/>
                <w:sz w:val="21"/>
                <w:szCs w:val="21"/>
                <w:lang w:eastAsia="zh-CN"/>
              </w:rPr>
              <w:t>环节的必要性；</w:t>
            </w:r>
          </w:p>
          <w:p>
            <w:pPr>
              <w:rPr>
                <w:rFonts w:ascii="Arial" w:hAnsi="宋体" w:cs="Arial"/>
                <w:color w:val="000000"/>
                <w:szCs w:val="21"/>
                <w:lang w:eastAsia="zh-CN"/>
              </w:rPr>
            </w:pPr>
            <w:r>
              <w:rPr>
                <w:rFonts w:hint="eastAsia" w:ascii="宋体" w:hAnsi="宋体" w:cs="宋体"/>
                <w:szCs w:val="21"/>
                <w:lang w:eastAsia="zh-CN"/>
              </w:rPr>
              <w:t>（2）标书中明确</w:t>
            </w:r>
            <w:r>
              <w:rPr>
                <w:rFonts w:hint="eastAsia" w:ascii="宋体" w:hAnsi="宋体"/>
                <w:szCs w:val="21"/>
                <w:lang w:eastAsia="zh-CN"/>
              </w:rPr>
              <w:t>仪器</w:t>
            </w:r>
            <w:r>
              <w:rPr>
                <w:rFonts w:hint="eastAsia" w:ascii="宋体" w:hAnsi="宋体" w:cs="宋体"/>
                <w:szCs w:val="21"/>
                <w:lang w:eastAsia="zh-CN"/>
              </w:rPr>
              <w:t>所有组件的品牌、材质、型号，并且注明每一个组件的保修期。</w:t>
            </w:r>
          </w:p>
          <w:p>
            <w:pPr>
              <w:jc w:val="both"/>
              <w:rPr>
                <w:rFonts w:ascii="宋体" w:hAnsi="宋体"/>
                <w:szCs w:val="21"/>
                <w:lang w:eastAsia="zh-CN"/>
              </w:rPr>
            </w:pPr>
            <w:r>
              <w:rPr>
                <w:rFonts w:hint="eastAsia" w:ascii="宋体" w:hAnsi="宋体"/>
                <w:szCs w:val="21"/>
                <w:lang w:eastAsia="zh-CN"/>
              </w:rPr>
              <w:t>（3）仪器供应商应提供一份工作计划，以便于我公司做好相关准备工作。</w:t>
            </w:r>
          </w:p>
        </w:tc>
        <w:tc>
          <w:tcPr>
            <w:tcW w:w="2125" w:type="dxa"/>
            <w:vAlign w:val="center"/>
          </w:tcPr>
          <w:p>
            <w:pPr>
              <w:jc w:val="both"/>
              <w:rPr>
                <w:szCs w:val="21"/>
                <w:lang w:eastAsia="zh-CN"/>
              </w:rPr>
            </w:pPr>
            <w:r>
              <w:rPr>
                <w:rFonts w:hint="eastAsia"/>
                <w:szCs w:val="21"/>
                <w:lang w:eastAsia="zh-CN"/>
              </w:rPr>
              <w:t>关键</w:t>
            </w:r>
          </w:p>
        </w:tc>
      </w:tr>
      <w:permEnd w:id="35"/>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iCs/>
                <w:szCs w:val="21"/>
                <w:lang w:eastAsia="zh-CN"/>
              </w:rPr>
            </w:pPr>
            <w:r>
              <w:rPr>
                <w:rFonts w:hint="eastAsia" w:ascii="宋体" w:hAnsi="宋体"/>
                <w:lang w:eastAsia="zh-CN"/>
              </w:rPr>
              <w:t>验证包括DQ、IQ、OQ</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ascii="宋体" w:hAnsi="宋体"/>
                <w:lang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设备及易损备件保质期从设备验收合格之日起计算</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售后服务必须响应及时，要求设备出现须厂家维修的故障后，应在4小时内明确答复，当电话沟通无法解决时，须48小时内及时派人至现场解决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要求设备在签订合同后1个月内到货</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ascii="宋体" w:hAnsi="宋体"/>
                <w:szCs w:val="21"/>
                <w:lang w:eastAsia="zh-CN"/>
              </w:rPr>
              <w:t>供应商进厂安装需遵守安全和安装规定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最后验收前必须保证所有的验证工作已完成和达到要求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 w:val="24"/>
                <w:lang w:eastAsia="zh-CN"/>
              </w:rPr>
            </w:pPr>
            <w:r>
              <w:rPr>
                <w:rFonts w:hint="eastAsia" w:ascii="宋体" w:hAnsi="宋体"/>
                <w:szCs w:val="21"/>
                <w:lang w:eastAsia="zh-CN"/>
              </w:rPr>
              <w:t>确认验收合格后，买卖双方签订验收报告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vAlign w:val="center"/>
          </w:tcPr>
          <w:p>
            <w:pPr>
              <w:jc w:val="both"/>
              <w:rPr>
                <w:szCs w:val="21"/>
                <w:lang w:eastAsia="zh-CN"/>
              </w:rPr>
            </w:pPr>
            <w:r>
              <w:rPr>
                <w:rFonts w:hint="eastAsia"/>
                <w:szCs w:val="21"/>
                <w:lang w:eastAsia="zh-CN"/>
              </w:rPr>
              <w:t>关键</w:t>
            </w:r>
          </w:p>
        </w:tc>
      </w:tr>
      <w:permEnd w:id="46"/>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47" w:edGrp="everyone"/>
      <w:r>
        <w:rPr>
          <w:rFonts w:hint="eastAsia"/>
          <w:szCs w:val="21"/>
          <w:lang w:eastAsia="zh-CN"/>
        </w:rPr>
        <w:t>不适用</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67C"/>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1AD9"/>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1FEA"/>
    <w:rsid w:val="00122051"/>
    <w:rsid w:val="00124244"/>
    <w:rsid w:val="00124E69"/>
    <w:rsid w:val="00125CC1"/>
    <w:rsid w:val="001273B0"/>
    <w:rsid w:val="00127CB8"/>
    <w:rsid w:val="001313C3"/>
    <w:rsid w:val="00132F4C"/>
    <w:rsid w:val="00134C68"/>
    <w:rsid w:val="00135FD6"/>
    <w:rsid w:val="001374CF"/>
    <w:rsid w:val="00141E05"/>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2F72"/>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45C"/>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464F"/>
    <w:rsid w:val="00225DD2"/>
    <w:rsid w:val="002279A2"/>
    <w:rsid w:val="00227A0D"/>
    <w:rsid w:val="002320D9"/>
    <w:rsid w:val="00234C07"/>
    <w:rsid w:val="002355FF"/>
    <w:rsid w:val="002367A6"/>
    <w:rsid w:val="00236BE9"/>
    <w:rsid w:val="00237E6C"/>
    <w:rsid w:val="00240A09"/>
    <w:rsid w:val="00240B1E"/>
    <w:rsid w:val="00241437"/>
    <w:rsid w:val="00242F4E"/>
    <w:rsid w:val="00245088"/>
    <w:rsid w:val="00253242"/>
    <w:rsid w:val="002547BF"/>
    <w:rsid w:val="002548CA"/>
    <w:rsid w:val="0025531B"/>
    <w:rsid w:val="002560F9"/>
    <w:rsid w:val="00257517"/>
    <w:rsid w:val="00257FA9"/>
    <w:rsid w:val="00261CD0"/>
    <w:rsid w:val="00261F30"/>
    <w:rsid w:val="002637FB"/>
    <w:rsid w:val="00263CB5"/>
    <w:rsid w:val="0026571F"/>
    <w:rsid w:val="00267AF8"/>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036D"/>
    <w:rsid w:val="002C1817"/>
    <w:rsid w:val="002C1DAB"/>
    <w:rsid w:val="002C4FCF"/>
    <w:rsid w:val="002C527C"/>
    <w:rsid w:val="002D0253"/>
    <w:rsid w:val="002D03CD"/>
    <w:rsid w:val="002D0875"/>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2A77"/>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68B8"/>
    <w:rsid w:val="00366D0A"/>
    <w:rsid w:val="00370514"/>
    <w:rsid w:val="0037056A"/>
    <w:rsid w:val="003726DF"/>
    <w:rsid w:val="0037345A"/>
    <w:rsid w:val="00373FFA"/>
    <w:rsid w:val="0037455F"/>
    <w:rsid w:val="00376C31"/>
    <w:rsid w:val="00377A87"/>
    <w:rsid w:val="00380EB7"/>
    <w:rsid w:val="003810F5"/>
    <w:rsid w:val="00381C39"/>
    <w:rsid w:val="00381CF6"/>
    <w:rsid w:val="003827BF"/>
    <w:rsid w:val="0038326A"/>
    <w:rsid w:val="0038367F"/>
    <w:rsid w:val="00387B81"/>
    <w:rsid w:val="00390AF8"/>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1C06"/>
    <w:rsid w:val="003D2243"/>
    <w:rsid w:val="003D3C09"/>
    <w:rsid w:val="003D464A"/>
    <w:rsid w:val="003D4EFF"/>
    <w:rsid w:val="003D5F4A"/>
    <w:rsid w:val="003D662C"/>
    <w:rsid w:val="003D77E5"/>
    <w:rsid w:val="003E49F8"/>
    <w:rsid w:val="003E5109"/>
    <w:rsid w:val="003E60EE"/>
    <w:rsid w:val="003E6B48"/>
    <w:rsid w:val="003E748F"/>
    <w:rsid w:val="003F2410"/>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3E4F"/>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97C30"/>
    <w:rsid w:val="004A05A7"/>
    <w:rsid w:val="004A2343"/>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3ADF"/>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4FF"/>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6DA"/>
    <w:rsid w:val="005D3394"/>
    <w:rsid w:val="005D3989"/>
    <w:rsid w:val="005D42FF"/>
    <w:rsid w:val="005E2725"/>
    <w:rsid w:val="005E65FA"/>
    <w:rsid w:val="005E7958"/>
    <w:rsid w:val="005F19CE"/>
    <w:rsid w:val="005F28F4"/>
    <w:rsid w:val="005F43BB"/>
    <w:rsid w:val="005F503E"/>
    <w:rsid w:val="005F6CB3"/>
    <w:rsid w:val="005F7612"/>
    <w:rsid w:val="005F7663"/>
    <w:rsid w:val="005F7D63"/>
    <w:rsid w:val="00605579"/>
    <w:rsid w:val="00607170"/>
    <w:rsid w:val="00607408"/>
    <w:rsid w:val="00610AEE"/>
    <w:rsid w:val="00616BAC"/>
    <w:rsid w:val="00620598"/>
    <w:rsid w:val="00620FEC"/>
    <w:rsid w:val="006214DC"/>
    <w:rsid w:val="006215E2"/>
    <w:rsid w:val="0062168F"/>
    <w:rsid w:val="006221A2"/>
    <w:rsid w:val="00627113"/>
    <w:rsid w:val="00627159"/>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ADC"/>
    <w:rsid w:val="00670C23"/>
    <w:rsid w:val="00671DC9"/>
    <w:rsid w:val="00672B86"/>
    <w:rsid w:val="00673031"/>
    <w:rsid w:val="00673EB3"/>
    <w:rsid w:val="00674F06"/>
    <w:rsid w:val="00680BE8"/>
    <w:rsid w:val="006828BD"/>
    <w:rsid w:val="00686409"/>
    <w:rsid w:val="00686D19"/>
    <w:rsid w:val="0068777F"/>
    <w:rsid w:val="00693018"/>
    <w:rsid w:val="00695734"/>
    <w:rsid w:val="006A0059"/>
    <w:rsid w:val="006A7425"/>
    <w:rsid w:val="006B058A"/>
    <w:rsid w:val="006B1299"/>
    <w:rsid w:val="006B26D9"/>
    <w:rsid w:val="006B310C"/>
    <w:rsid w:val="006B664C"/>
    <w:rsid w:val="006C1125"/>
    <w:rsid w:val="006C1C83"/>
    <w:rsid w:val="006C2D7E"/>
    <w:rsid w:val="006C3E78"/>
    <w:rsid w:val="006C54E6"/>
    <w:rsid w:val="006C5762"/>
    <w:rsid w:val="006C690D"/>
    <w:rsid w:val="006D149F"/>
    <w:rsid w:val="006D31EB"/>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2BC"/>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1F6"/>
    <w:rsid w:val="00806EAB"/>
    <w:rsid w:val="0081001E"/>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43AD"/>
    <w:rsid w:val="00845A53"/>
    <w:rsid w:val="00847E8C"/>
    <w:rsid w:val="008505E1"/>
    <w:rsid w:val="00850B19"/>
    <w:rsid w:val="00852488"/>
    <w:rsid w:val="0085405E"/>
    <w:rsid w:val="008571DD"/>
    <w:rsid w:val="0085772E"/>
    <w:rsid w:val="00860344"/>
    <w:rsid w:val="00860E2C"/>
    <w:rsid w:val="00864BC6"/>
    <w:rsid w:val="00865EE6"/>
    <w:rsid w:val="00870133"/>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C7B"/>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39D"/>
    <w:rsid w:val="00934991"/>
    <w:rsid w:val="009351A7"/>
    <w:rsid w:val="009426B9"/>
    <w:rsid w:val="00944E85"/>
    <w:rsid w:val="00945E0F"/>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B6F63"/>
    <w:rsid w:val="009B7CB9"/>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A48"/>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38D3"/>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5473"/>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637"/>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3485"/>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CB4"/>
    <w:rsid w:val="00D25F28"/>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452"/>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221"/>
    <w:rsid w:val="00E039F3"/>
    <w:rsid w:val="00E03C30"/>
    <w:rsid w:val="00E054B1"/>
    <w:rsid w:val="00E078BD"/>
    <w:rsid w:val="00E078F8"/>
    <w:rsid w:val="00E1142B"/>
    <w:rsid w:val="00E11F10"/>
    <w:rsid w:val="00E157E4"/>
    <w:rsid w:val="00E15950"/>
    <w:rsid w:val="00E16522"/>
    <w:rsid w:val="00E1750C"/>
    <w:rsid w:val="00E178A6"/>
    <w:rsid w:val="00E20545"/>
    <w:rsid w:val="00E223C6"/>
    <w:rsid w:val="00E2399C"/>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1392"/>
    <w:rsid w:val="00EB3C66"/>
    <w:rsid w:val="00EB4B03"/>
    <w:rsid w:val="00EB5DEE"/>
    <w:rsid w:val="00EB64CB"/>
    <w:rsid w:val="00EB6D46"/>
    <w:rsid w:val="00EC07F3"/>
    <w:rsid w:val="00EC3194"/>
    <w:rsid w:val="00EC346B"/>
    <w:rsid w:val="00EC518D"/>
    <w:rsid w:val="00EC5529"/>
    <w:rsid w:val="00EC71D3"/>
    <w:rsid w:val="00ED02FE"/>
    <w:rsid w:val="00ED1EC9"/>
    <w:rsid w:val="00ED3737"/>
    <w:rsid w:val="00ED3856"/>
    <w:rsid w:val="00ED3E2E"/>
    <w:rsid w:val="00ED4CC8"/>
    <w:rsid w:val="00ED6A08"/>
    <w:rsid w:val="00EE0370"/>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6EF5"/>
    <w:rsid w:val="00F176A0"/>
    <w:rsid w:val="00F20174"/>
    <w:rsid w:val="00F22098"/>
    <w:rsid w:val="00F223BC"/>
    <w:rsid w:val="00F23780"/>
    <w:rsid w:val="00F26185"/>
    <w:rsid w:val="00F3178C"/>
    <w:rsid w:val="00F33DE5"/>
    <w:rsid w:val="00F34B8F"/>
    <w:rsid w:val="00F36D7F"/>
    <w:rsid w:val="00F37186"/>
    <w:rsid w:val="00F42FCF"/>
    <w:rsid w:val="00F44A83"/>
    <w:rsid w:val="00F50AE0"/>
    <w:rsid w:val="00F51743"/>
    <w:rsid w:val="00F529D4"/>
    <w:rsid w:val="00F54F27"/>
    <w:rsid w:val="00F55FC8"/>
    <w:rsid w:val="00F604E3"/>
    <w:rsid w:val="00F610E6"/>
    <w:rsid w:val="00F616AB"/>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875"/>
    <w:rsid w:val="00FE4A65"/>
    <w:rsid w:val="00FE51E8"/>
    <w:rsid w:val="00FE602F"/>
    <w:rsid w:val="00FE7186"/>
    <w:rsid w:val="00FE7611"/>
    <w:rsid w:val="00FF0769"/>
    <w:rsid w:val="00FF0DB8"/>
    <w:rsid w:val="00FF1A76"/>
    <w:rsid w:val="00FF1C1D"/>
    <w:rsid w:val="00FF3330"/>
    <w:rsid w:val="00FF4080"/>
    <w:rsid w:val="00FF40A5"/>
    <w:rsid w:val="00FF48DA"/>
    <w:rsid w:val="00FF5E19"/>
    <w:rsid w:val="00FF61AD"/>
    <w:rsid w:val="00FF76BD"/>
    <w:rsid w:val="5D31522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7">
    <w:name w:val="批注文字 Char"/>
    <w:link w:val="7"/>
    <w:semiHidden/>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685</Words>
  <Characters>3911</Characters>
  <Lines>32</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2021-06-15T00:22:43Z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