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400307"/>
      <w:bookmarkStart w:id="2" w:name="_Toc483666358"/>
      <w:bookmarkStart w:id="3" w:name="_Toc483227223"/>
      <w:bookmarkStart w:id="4" w:name="_Toc484532399"/>
    </w:p>
    <w:p>
      <w:pPr>
        <w:spacing w:after="158" w:afterLines="50"/>
        <w:jc w:val="center"/>
        <w:rPr>
          <w:b/>
          <w:szCs w:val="21"/>
          <w:lang w:eastAsia="zh-CN"/>
        </w:rPr>
      </w:pPr>
      <w:permStart w:id="0" w:edGrp="everyone"/>
      <w:r>
        <w:rPr>
          <w:rFonts w:hint="eastAsia"/>
          <w:b/>
          <w:sz w:val="28"/>
          <w:szCs w:val="28"/>
          <w:lang w:val="en-US" w:eastAsia="zh-CN"/>
        </w:rPr>
        <w:t>抗体研究室150L超滤罐</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60281"/>
      <w:bookmarkStart w:id="8" w:name="_Toc482625279"/>
      <w:bookmarkStart w:id="9" w:name="_Toc482359936"/>
      <w:bookmarkStart w:id="10" w:name="_Toc482369805"/>
      <w:bookmarkStart w:id="11" w:name="_Toc482370349"/>
      <w:bookmarkStart w:id="12" w:name="_Toc482370141"/>
      <w:bookmarkStart w:id="13" w:name="_Toc482370757"/>
      <w:bookmarkStart w:id="14" w:name="_Toc482370061"/>
      <w:bookmarkStart w:id="15" w:name="_Toc481702475"/>
      <w:r>
        <w:rPr>
          <w:szCs w:val="21"/>
          <w:lang w:eastAsia="zh-CN"/>
        </w:rPr>
        <w:t>本文件的目的是描述武汉生物制品研究所有限责任公司</w:t>
      </w:r>
      <w:permStart w:id="3" w:edGrp="everyone"/>
      <w:r>
        <w:rPr>
          <w:rFonts w:hint="eastAsia"/>
          <w:iCs/>
          <w:szCs w:val="21"/>
          <w:lang w:eastAsia="zh-CN"/>
        </w:rPr>
        <w:t>抗体研究室150L超滤罐</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eastAsia="zh-CN"/>
        </w:rPr>
        <w:t>抗体研究室150L超滤罐</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rFonts w:hint="eastAsia"/>
          <w:lang w:eastAsia="zh-CN"/>
        </w:rPr>
        <w:t>《药品生产质量管理规范》（2</w:t>
      </w:r>
      <w:r>
        <w:rPr>
          <w:lang w:eastAsia="zh-CN"/>
        </w:rPr>
        <w:t>010</w:t>
      </w:r>
      <w:r>
        <w:rPr>
          <w:rFonts w:hint="eastAsia"/>
          <w:lang w:eastAsia="zh-CN"/>
        </w:rPr>
        <w:t>修订版）</w:t>
      </w:r>
    </w:p>
    <w:p>
      <w:pPr>
        <w:pStyle w:val="34"/>
        <w:numPr>
          <w:ilvl w:val="0"/>
          <w:numId w:val="5"/>
        </w:numPr>
        <w:spacing w:line="360" w:lineRule="auto"/>
        <w:rPr>
          <w:iCs/>
          <w:szCs w:val="21"/>
          <w:lang w:eastAsia="zh-CN"/>
        </w:rPr>
      </w:pPr>
      <w:r>
        <w:rPr>
          <w:iCs/>
          <w:szCs w:val="21"/>
          <w:lang w:eastAsia="zh-CN"/>
        </w:rPr>
        <w:t>GAMP5</w:t>
      </w:r>
    </w:p>
    <w:p>
      <w:pPr>
        <w:pStyle w:val="34"/>
        <w:numPr>
          <w:ilvl w:val="0"/>
          <w:numId w:val="5"/>
        </w:numPr>
        <w:spacing w:line="360" w:lineRule="auto"/>
        <w:rPr>
          <w:iCs/>
          <w:szCs w:val="21"/>
          <w:lang w:eastAsia="zh-CN"/>
        </w:rPr>
      </w:pPr>
      <w:r>
        <w:rPr>
          <w:iCs/>
          <w:szCs w:val="21"/>
          <w:lang w:eastAsia="zh-CN"/>
        </w:rPr>
        <w:t>CFR Part 11</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
          <w:color w:val="0070C0"/>
          <w:szCs w:val="21"/>
          <w:lang w:eastAsia="zh-CN"/>
        </w:rPr>
      </w:pPr>
      <w:permStart w:id="6" w:edGrp="everyone"/>
      <w:r>
        <w:rPr>
          <w:iCs/>
          <w:szCs w:val="21"/>
          <w:lang w:eastAsia="zh-CN"/>
        </w:rPr>
        <w:t>电气安全应符合GB4793.1和GB4793.4的要求</w:t>
      </w:r>
      <w:r>
        <w:rPr>
          <w:i/>
          <w:color w:val="0070C0"/>
          <w:szCs w:val="21"/>
          <w:lang w:eastAsia="zh-CN"/>
        </w:rPr>
        <w:t>。</w:t>
      </w:r>
    </w:p>
    <w:p>
      <w:pPr>
        <w:pStyle w:val="30"/>
        <w:numPr>
          <w:ilvl w:val="0"/>
          <w:numId w:val="5"/>
        </w:numPr>
        <w:ind w:firstLineChars="0"/>
        <w:rPr>
          <w:rFonts w:ascii="Times New Roman" w:hAnsi="Times New Roman"/>
          <w:iCs/>
          <w:kern w:val="0"/>
          <w:szCs w:val="21"/>
        </w:rPr>
      </w:pPr>
      <w:r>
        <w:rPr>
          <w:rFonts w:hint="eastAsia" w:ascii="Times New Roman" w:hAnsi="Times New Roman"/>
          <w:iCs/>
          <w:kern w:val="0"/>
          <w:szCs w:val="21"/>
        </w:rPr>
        <w:t>所有的电气设备和电缆必须根据IEC标准。</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permStart w:id="7" w:edGrp="everyone"/>
      <w:permEnd w:id="7"/>
      <w:r>
        <w:rPr>
          <w:rFonts w:ascii="Times New Roman" w:hAnsi="Times New Roman"/>
          <w:b/>
        </w:rPr>
        <w:t>系统描述</w:t>
      </w:r>
      <w:bookmarkEnd w:id="20"/>
      <w:bookmarkEnd w:id="21"/>
    </w:p>
    <w:p>
      <w:pPr>
        <w:rPr>
          <w:rFonts w:ascii="宋体" w:hAnsi="宋体" w:cs="宋体"/>
          <w:szCs w:val="21"/>
          <w:lang w:eastAsia="zh-CN"/>
        </w:rPr>
      </w:pPr>
      <w:permStart w:id="8" w:edGrp="everyone"/>
      <w:r>
        <w:rPr>
          <w:rFonts w:hint="eastAsia" w:ascii="宋体" w:hAnsi="宋体" w:cs="宋体"/>
          <w:color w:val="595757"/>
          <w:szCs w:val="21"/>
          <w:lang w:val="en-US" w:eastAsia="zh-CN"/>
        </w:rPr>
        <w:t>抗体研究室需购买一台超滤设备以满足1000L抗体生产需求。</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9" w:edGrp="everyone"/>
      <w:permEnd w:id="9"/>
      <w:bookmarkStart w:id="47" w:name="_GoBack"/>
      <w:bookmarkEnd w:id="4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2"/>
        <w:gridCol w:w="712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2" w:type="dxa"/>
            <w:shd w:val="clear" w:color="auto" w:fill="D9D9D9"/>
            <w:vAlign w:val="center"/>
          </w:tcPr>
          <w:p>
            <w:pPr>
              <w:jc w:val="center"/>
              <w:rPr>
                <w:b/>
                <w:szCs w:val="21"/>
              </w:rPr>
            </w:pPr>
            <w:bookmarkStart w:id="23" w:name="OLE_LINK1"/>
            <w:bookmarkStart w:id="24" w:name="OLE_LINK2"/>
            <w:r>
              <w:rPr>
                <w:b/>
                <w:szCs w:val="21"/>
              </w:rPr>
              <w:t>编号</w:t>
            </w:r>
          </w:p>
        </w:tc>
        <w:tc>
          <w:tcPr>
            <w:tcW w:w="7124"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highlight w:val="yellow"/>
              </w:rPr>
            </w:pPr>
            <w:permStart w:id="10" w:edGrp="everyone"/>
          </w:p>
        </w:tc>
        <w:tc>
          <w:tcPr>
            <w:tcW w:w="7124" w:type="dxa"/>
            <w:vAlign w:val="center"/>
          </w:tcPr>
          <w:p>
            <w:pPr>
              <w:spacing w:line="276" w:lineRule="auto"/>
              <w:jc w:val="both"/>
              <w:rPr>
                <w:iCs/>
                <w:szCs w:val="21"/>
                <w:highlight w:val="yellow"/>
                <w:lang w:eastAsia="zh-CN"/>
              </w:rPr>
            </w:pPr>
            <w:r>
              <w:rPr>
                <w:iCs/>
                <w:szCs w:val="21"/>
                <w:highlight w:val="yellow"/>
                <w:lang w:eastAsia="zh-CN"/>
              </w:rPr>
              <w:t>抗体研究室</w:t>
            </w:r>
            <w:r>
              <w:rPr>
                <w:rFonts w:hint="eastAsia"/>
                <w:iCs/>
                <w:szCs w:val="21"/>
                <w:highlight w:val="yellow"/>
                <w:lang w:eastAsia="zh-CN"/>
              </w:rPr>
              <w:t>生产车间</w:t>
            </w:r>
          </w:p>
        </w:tc>
        <w:tc>
          <w:tcPr>
            <w:tcW w:w="2127" w:type="dxa"/>
            <w:vAlign w:val="center"/>
          </w:tcPr>
          <w:p>
            <w:pPr>
              <w:jc w:val="both"/>
              <w:rPr>
                <w:iCs/>
                <w:szCs w:val="21"/>
                <w:lang w:eastAsia="zh-CN"/>
              </w:rPr>
            </w:pPr>
            <w:r>
              <w:rPr>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1" w:edGrp="everyone"/>
          </w:p>
        </w:tc>
        <w:tc>
          <w:tcPr>
            <w:tcW w:w="7124"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7"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7" w:type="dxa"/>
            <w:vAlign w:val="center"/>
          </w:tcPr>
          <w:p>
            <w:pPr>
              <w:jc w:val="both"/>
              <w:rPr>
                <w:szCs w:val="21"/>
                <w:lang w:eastAsia="zh-CN"/>
              </w:rPr>
            </w:pPr>
            <w:r>
              <w:rPr>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2" w:edGrp="everyone"/>
          </w:p>
        </w:tc>
        <w:tc>
          <w:tcPr>
            <w:tcW w:w="7124" w:type="dxa"/>
            <w:vAlign w:val="center"/>
          </w:tcPr>
          <w:p>
            <w:pPr>
              <w:spacing w:line="276" w:lineRule="auto"/>
              <w:jc w:val="both"/>
              <w:rPr>
                <w:iCs/>
                <w:szCs w:val="21"/>
                <w:lang w:val="en-US" w:eastAsia="zh-CN"/>
              </w:rPr>
            </w:pPr>
            <w:r>
              <w:rPr>
                <w:rFonts w:hint="eastAsia"/>
                <w:iCs/>
                <w:szCs w:val="21"/>
                <w:lang w:val="en-US" w:eastAsia="zh-CN"/>
              </w:rPr>
              <w:t>不超过房间地面承重</w:t>
            </w:r>
          </w:p>
        </w:tc>
        <w:tc>
          <w:tcPr>
            <w:tcW w:w="2127" w:type="dxa"/>
            <w:vAlign w:val="center"/>
          </w:tcPr>
          <w:p>
            <w:pPr>
              <w:jc w:val="both"/>
              <w:rPr>
                <w:szCs w:val="21"/>
                <w:lang w:eastAsia="zh-CN"/>
              </w:rPr>
            </w:pPr>
            <w:r>
              <w:rPr>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3" w:edGrp="everyone"/>
          </w:p>
        </w:tc>
        <w:tc>
          <w:tcPr>
            <w:tcW w:w="7124" w:type="dxa"/>
            <w:vAlign w:val="center"/>
          </w:tcPr>
          <w:p>
            <w:pPr>
              <w:rPr>
                <w:iCs/>
                <w:szCs w:val="21"/>
                <w:lang w:val="en-US" w:eastAsia="zh-CN"/>
              </w:rPr>
            </w:pPr>
            <w:r>
              <w:rPr>
                <w:iCs/>
                <w:szCs w:val="21"/>
                <w:lang w:val="en-US" w:eastAsia="zh-CN"/>
              </w:rPr>
              <w:t>生产商应在投标时注明设备所需要的公用工程介质的种类和参数</w:t>
            </w:r>
          </w:p>
        </w:tc>
        <w:tc>
          <w:tcPr>
            <w:tcW w:w="2127"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rPr>
                <w:iCs/>
                <w:szCs w:val="21"/>
                <w:lang w:val="en-US" w:eastAsia="zh-CN"/>
              </w:rPr>
            </w:pPr>
            <w:r>
              <w:rPr>
                <w:iCs/>
                <w:szCs w:val="21"/>
                <w:lang w:val="en-US" w:eastAsia="zh-CN"/>
              </w:rPr>
              <w:t>要求设备接口及工艺连线设备按照ASME BPE 标准设计制作</w:t>
            </w:r>
            <w:r>
              <w:rPr>
                <w:rFonts w:hint="eastAsia"/>
                <w:iCs/>
                <w:szCs w:val="21"/>
                <w:lang w:val="en-US" w:eastAsia="zh-CN"/>
              </w:rPr>
              <w:t>，洁净压缩空气、注射用水、纯化水、冷冻水、公用系统外接管道与设备管道接口必须精确对接。</w:t>
            </w:r>
          </w:p>
        </w:tc>
        <w:tc>
          <w:tcPr>
            <w:tcW w:w="2127" w:type="dxa"/>
            <w:vAlign w:val="center"/>
          </w:tcPr>
          <w:p>
            <w:pPr>
              <w:jc w:val="both"/>
              <w:rPr>
                <w:iCs/>
                <w:szCs w:val="21"/>
                <w:lang w:eastAsia="zh-CN"/>
              </w:rPr>
            </w:pPr>
            <w:r>
              <w:rPr>
                <w:iCs/>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ermStart w:id="14" w:edGrp="everyone"/>
            <w:permEnd w:id="14"/>
          </w:p>
        </w:tc>
        <w:tc>
          <w:tcPr>
            <w:tcW w:w="9251"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5" w:edGrp="everyone"/>
          </w:p>
        </w:tc>
        <w:tc>
          <w:tcPr>
            <w:tcW w:w="7124" w:type="dxa"/>
            <w:vAlign w:val="center"/>
          </w:tcPr>
          <w:p>
            <w:pPr>
              <w:spacing w:line="276" w:lineRule="auto"/>
              <w:jc w:val="both"/>
              <w:rPr>
                <w:szCs w:val="21"/>
                <w:lang w:eastAsia="zh-CN"/>
              </w:rPr>
            </w:pPr>
            <w:r>
              <w:rPr>
                <w:rFonts w:hint="eastAsia"/>
                <w:iCs/>
                <w:lang w:eastAsia="zh-CN"/>
              </w:rPr>
              <w:t>适应于我公司</w:t>
            </w:r>
            <w:r>
              <w:rPr>
                <w:iCs/>
                <w:lang w:eastAsia="zh-CN"/>
              </w:rPr>
              <w:t>工作环境</w:t>
            </w:r>
            <w:r>
              <w:rPr>
                <w:color w:val="000000"/>
                <w:lang w:eastAsia="zh-CN"/>
              </w:rPr>
              <w:t>温度：能适应</w:t>
            </w:r>
            <w:r>
              <w:rPr>
                <w:lang w:eastAsia="zh-CN"/>
              </w:rPr>
              <w:t>1</w:t>
            </w:r>
            <w:r>
              <w:rPr>
                <w:rFonts w:hint="eastAsia"/>
                <w:lang w:eastAsia="zh-CN"/>
              </w:rPr>
              <w:t>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环境</w:t>
            </w:r>
          </w:p>
        </w:tc>
        <w:tc>
          <w:tcPr>
            <w:tcW w:w="2127" w:type="dxa"/>
            <w:vAlign w:val="center"/>
          </w:tcPr>
          <w:p>
            <w:pPr>
              <w:jc w:val="both"/>
              <w:rPr>
                <w:szCs w:val="21"/>
                <w:lang w:eastAsia="zh-CN"/>
              </w:rPr>
            </w:pPr>
            <w:r>
              <w:rPr>
                <w:iCs/>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6" w:edGrp="everyone"/>
          </w:p>
        </w:tc>
        <w:tc>
          <w:tcPr>
            <w:tcW w:w="7124" w:type="dxa"/>
            <w:vAlign w:val="center"/>
          </w:tcPr>
          <w:p>
            <w:pPr>
              <w:spacing w:line="276" w:lineRule="auto"/>
              <w:jc w:val="both"/>
              <w:rPr>
                <w:szCs w:val="21"/>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7" w:type="dxa"/>
            <w:vAlign w:val="center"/>
          </w:tcPr>
          <w:p>
            <w:pPr>
              <w:jc w:val="both"/>
              <w:rPr>
                <w:szCs w:val="21"/>
                <w:lang w:eastAsia="zh-CN"/>
              </w:rPr>
            </w:pPr>
            <w:r>
              <w:rPr>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7" w:edGrp="everyone"/>
          </w:p>
        </w:tc>
        <w:tc>
          <w:tcPr>
            <w:tcW w:w="7124" w:type="dxa"/>
            <w:vAlign w:val="center"/>
          </w:tcPr>
          <w:p>
            <w:pPr>
              <w:spacing w:line="276" w:lineRule="auto"/>
              <w:jc w:val="both"/>
              <w:rPr>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7" w:type="dxa"/>
            <w:vAlign w:val="center"/>
          </w:tcPr>
          <w:p>
            <w:pPr>
              <w:jc w:val="both"/>
              <w:rPr>
                <w:szCs w:val="21"/>
                <w:lang w:eastAsia="zh-CN"/>
              </w:rPr>
            </w:pPr>
            <w:r>
              <w:rPr>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8" w:edGrp="everyone"/>
          </w:p>
        </w:tc>
        <w:tc>
          <w:tcPr>
            <w:tcW w:w="7124" w:type="dxa"/>
            <w:vAlign w:val="center"/>
          </w:tcPr>
          <w:p>
            <w:pPr>
              <w:spacing w:line="276" w:lineRule="auto"/>
              <w:jc w:val="both"/>
              <w:rPr>
                <w:color w:val="000000"/>
                <w:lang w:eastAsia="zh-CN"/>
              </w:rPr>
            </w:pPr>
            <w:r>
              <w:rPr>
                <w:rFonts w:hint="eastAsia"/>
                <w:color w:val="000000"/>
                <w:lang w:eastAsia="zh-CN"/>
              </w:rPr>
              <w:t>交流电电源：220/380V，3 相5 线制，50Hz</w:t>
            </w:r>
          </w:p>
        </w:tc>
        <w:tc>
          <w:tcPr>
            <w:tcW w:w="2127" w:type="dxa"/>
            <w:vAlign w:val="center"/>
          </w:tcPr>
          <w:p>
            <w:pPr>
              <w:jc w:val="both"/>
              <w:rPr>
                <w:szCs w:val="21"/>
                <w:lang w:eastAsia="zh-CN"/>
              </w:rPr>
            </w:pPr>
            <w:r>
              <w:rPr>
                <w:iCs/>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9" w:edGrp="everyone"/>
          </w:p>
        </w:tc>
        <w:tc>
          <w:tcPr>
            <w:tcW w:w="7124" w:type="dxa"/>
            <w:vAlign w:val="center"/>
          </w:tcPr>
          <w:p>
            <w:pPr>
              <w:spacing w:line="276" w:lineRule="auto"/>
              <w:jc w:val="both"/>
              <w:rPr>
                <w:iCs/>
                <w:color w:val="000000"/>
                <w:lang w:val="en-US" w:eastAsia="zh-CN"/>
              </w:rPr>
            </w:pPr>
            <w:r>
              <w:rPr>
                <w:rFonts w:hint="eastAsia"/>
                <w:iCs/>
                <w:color w:val="000000"/>
                <w:lang w:val="en-US" w:eastAsia="zh-CN"/>
              </w:rPr>
              <w:t>设备应外观端正、整齐，不得有明显的偏歪、毛刺和锈蚀等缺陷</w:t>
            </w:r>
          </w:p>
        </w:tc>
        <w:tc>
          <w:tcPr>
            <w:tcW w:w="2127"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超滤罐：</w:t>
            </w:r>
          </w:p>
          <w:p>
            <w:pPr>
              <w:spacing w:line="276" w:lineRule="auto"/>
              <w:jc w:val="both"/>
              <w:rPr>
                <w:iCs/>
                <w:color w:val="000000"/>
                <w:lang w:val="en-US" w:eastAsia="zh-CN"/>
              </w:rPr>
            </w:pPr>
            <w:r>
              <w:rPr>
                <w:rFonts w:hint="eastAsia"/>
                <w:iCs/>
                <w:color w:val="000000"/>
                <w:lang w:val="en-US" w:eastAsia="zh-CN"/>
              </w:rPr>
              <w:t>（1）不锈钢超滤罐严格遵循新版GMP的要求，并按《钢制压力容器》(GB150-1998)、《钢制焊接常压容器》(JB/T44735-1997)要求进行设计、制造及验收。</w:t>
            </w:r>
          </w:p>
          <w:p>
            <w:pPr>
              <w:spacing w:line="276" w:lineRule="auto"/>
              <w:jc w:val="both"/>
              <w:rPr>
                <w:iCs/>
                <w:color w:val="000000"/>
                <w:lang w:val="en-US" w:eastAsia="zh-CN"/>
              </w:rPr>
            </w:pPr>
            <w:r>
              <w:rPr>
                <w:rFonts w:hint="eastAsia"/>
                <w:iCs/>
                <w:color w:val="000000"/>
                <w:lang w:val="en-US" w:eastAsia="zh-CN"/>
              </w:rPr>
              <w:t>（2）不锈钢超滤罐放置在车间的C级洁净区，要求外观设计必须易于清洁，尽量避免卫生死角，所有材料及管道必须为316L不锈钢。</w:t>
            </w:r>
          </w:p>
          <w:p>
            <w:pPr>
              <w:spacing w:line="276" w:lineRule="auto"/>
              <w:jc w:val="both"/>
              <w:rPr>
                <w:iCs/>
                <w:color w:val="000000"/>
                <w:lang w:val="en-US" w:eastAsia="zh-CN"/>
              </w:rPr>
            </w:pPr>
            <w:r>
              <w:rPr>
                <w:rFonts w:hint="eastAsia"/>
                <w:iCs/>
                <w:color w:val="000000"/>
                <w:lang w:val="en-US" w:eastAsia="zh-CN"/>
              </w:rPr>
              <w:t>（3）超滤罐最小工作体积150L，含喷淋球、2根內衬管、呼吸器、温度探头等。罐体各部件需耐高温高压、耐1mol/L氢氧化钠溶液清洗消毒。</w:t>
            </w:r>
          </w:p>
          <w:p>
            <w:pPr>
              <w:spacing w:line="276" w:lineRule="auto"/>
              <w:jc w:val="both"/>
              <w:rPr>
                <w:iCs/>
                <w:color w:val="000000"/>
                <w:lang w:val="en-US" w:eastAsia="zh-CN"/>
              </w:rPr>
            </w:pPr>
            <w:r>
              <w:rPr>
                <w:rFonts w:hint="eastAsia"/>
                <w:iCs/>
                <w:color w:val="000000"/>
                <w:lang w:val="en-US" w:eastAsia="zh-CN"/>
              </w:rPr>
              <w:t>（4）超滤罐配套称重模块及补液单元，可做到与超滤系统实施反馈联动。</w:t>
            </w:r>
          </w:p>
          <w:p>
            <w:pPr>
              <w:spacing w:line="276" w:lineRule="auto"/>
              <w:jc w:val="both"/>
              <w:rPr>
                <w:iCs/>
                <w:color w:val="000000"/>
                <w:lang w:val="en-US" w:eastAsia="zh-CN"/>
              </w:rPr>
            </w:pPr>
            <w:r>
              <w:rPr>
                <w:rFonts w:hint="eastAsia"/>
                <w:iCs/>
                <w:color w:val="000000"/>
                <w:lang w:val="en-US" w:eastAsia="zh-CN"/>
              </w:rPr>
              <w:t>（5）罐底磁力搅拌，带温控夹套。</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罐盖结构：</w:t>
            </w:r>
          </w:p>
          <w:p>
            <w:pPr>
              <w:spacing w:line="276" w:lineRule="auto"/>
              <w:jc w:val="both"/>
              <w:rPr>
                <w:iCs/>
                <w:color w:val="000000"/>
                <w:lang w:val="en-US" w:eastAsia="zh-CN"/>
              </w:rPr>
            </w:pPr>
            <w:r>
              <w:rPr>
                <w:rFonts w:hint="eastAsia"/>
                <w:iCs/>
                <w:color w:val="000000"/>
                <w:lang w:val="en-US" w:eastAsia="zh-CN"/>
              </w:rPr>
              <w:t>罐盖上需要不少于7个进口，主要包括进液口（进料口）、回流口、喷淋球（SIP）接口、呼吸器接口、安全阀口、2个预留口等，接口端标准TC50卡盘连接。罐体上带视窗，视窗灯由超滤系统联动控制；呼吸器需满足罐体灭菌及转运过程中的无菌性，可在位SIP。</w:t>
            </w:r>
          </w:p>
          <w:p>
            <w:pPr>
              <w:spacing w:line="276" w:lineRule="auto"/>
              <w:jc w:val="both"/>
              <w:rPr>
                <w:iCs/>
                <w:color w:val="000000"/>
                <w:lang w:val="en-US" w:eastAsia="zh-CN"/>
              </w:rPr>
            </w:pPr>
            <w:r>
              <w:rPr>
                <w:rFonts w:hint="eastAsia"/>
                <w:iCs/>
                <w:color w:val="000000"/>
                <w:lang w:val="en-US" w:eastAsia="zh-CN"/>
              </w:rPr>
              <w:t>罐盖为可开式活动盖，便于清洗，内外表面镜面抛光处理，内表面电抛小于0.4um。</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罐底结构：</w:t>
            </w:r>
          </w:p>
          <w:p>
            <w:pPr>
              <w:spacing w:line="276" w:lineRule="auto"/>
              <w:jc w:val="both"/>
              <w:rPr>
                <w:iCs/>
                <w:color w:val="000000"/>
                <w:lang w:val="en-US" w:eastAsia="zh-CN"/>
              </w:rPr>
            </w:pPr>
            <w:r>
              <w:rPr>
                <w:rFonts w:hint="eastAsia"/>
                <w:iCs/>
                <w:color w:val="000000"/>
                <w:lang w:val="en-US" w:eastAsia="zh-CN"/>
              </w:rPr>
              <w:t>罐底出液口应与进泵端的软管完好对接，内径一致，带有自动阀门控制；</w:t>
            </w:r>
          </w:p>
          <w:p>
            <w:pPr>
              <w:spacing w:line="276" w:lineRule="auto"/>
              <w:jc w:val="both"/>
              <w:rPr>
                <w:iCs/>
                <w:color w:val="000000"/>
                <w:lang w:val="en-US" w:eastAsia="zh-CN"/>
              </w:rPr>
            </w:pPr>
            <w:r>
              <w:rPr>
                <w:rFonts w:hint="eastAsia"/>
                <w:iCs/>
                <w:color w:val="000000"/>
                <w:lang w:val="en-US" w:eastAsia="zh-CN"/>
              </w:rPr>
              <w:t>罐底采用锥形设计，需保证连同超滤系统的循环体积不大于5L</w:t>
            </w:r>
          </w:p>
          <w:p>
            <w:pPr>
              <w:spacing w:line="276" w:lineRule="auto"/>
              <w:jc w:val="both"/>
              <w:rPr>
                <w:iCs/>
                <w:color w:val="000000"/>
                <w:lang w:val="en-US" w:eastAsia="zh-CN"/>
              </w:rPr>
            </w:pPr>
            <w:r>
              <w:rPr>
                <w:rFonts w:hint="eastAsia"/>
                <w:iCs/>
                <w:color w:val="000000"/>
                <w:lang w:val="en-US" w:eastAsia="zh-CN"/>
              </w:rPr>
              <w:t>罐内无死角，要求放净物料无残留。</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其他结构</w:t>
            </w:r>
          </w:p>
          <w:p>
            <w:pPr>
              <w:spacing w:line="276" w:lineRule="auto"/>
              <w:jc w:val="both"/>
              <w:rPr>
                <w:iCs/>
                <w:color w:val="000000"/>
                <w:lang w:val="en-US" w:eastAsia="zh-CN"/>
              </w:rPr>
            </w:pPr>
            <w:r>
              <w:rPr>
                <w:rFonts w:hint="eastAsia"/>
                <w:iCs/>
                <w:color w:val="000000"/>
                <w:lang w:val="en-US" w:eastAsia="zh-CN"/>
              </w:rPr>
              <w:t>罐体外壁带有四个活动把手，方便搬卸；罐底采用可分离支架或推车。</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各处接口采用国际通用标准快装卡盘式，采用316L，内表面电抛小于0.4um，外表面抛亚光、镜面</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各进出管口工艺开孔与罐体焊接处光滑易清洗无死角，管道设计合理，无清洗死角。</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进出管道要求</w:t>
            </w:r>
          </w:p>
          <w:p>
            <w:pPr>
              <w:spacing w:line="276" w:lineRule="auto"/>
              <w:jc w:val="both"/>
              <w:rPr>
                <w:iCs/>
                <w:color w:val="000000"/>
                <w:lang w:val="en-US" w:eastAsia="zh-CN"/>
              </w:rPr>
            </w:pPr>
            <w:r>
              <w:rPr>
                <w:rFonts w:hint="eastAsia"/>
                <w:iCs/>
                <w:color w:val="000000"/>
                <w:lang w:val="en-US" w:eastAsia="zh-CN"/>
              </w:rPr>
              <w:t>（1）回流管道设计：回流管进罐需连接1.0寸内衬管，内衬管出口端需尽量贴近罐内壁确保回流无气泡且不影响流速，需要1根内径1.0英寸非金属材质管道连接超滤中间罐，要求耐高压、强碱，柔韧性好、抗形变；另配四根同材质的1.0英寸管道，长度分别为3米。</w:t>
            </w:r>
          </w:p>
          <w:p>
            <w:pPr>
              <w:spacing w:line="276" w:lineRule="auto"/>
              <w:jc w:val="both"/>
              <w:rPr>
                <w:iCs/>
                <w:color w:val="000000"/>
                <w:lang w:val="en-US" w:eastAsia="zh-CN"/>
              </w:rPr>
            </w:pPr>
            <w:r>
              <w:rPr>
                <w:rFonts w:hint="eastAsia"/>
                <w:iCs/>
                <w:color w:val="000000"/>
                <w:lang w:val="en-US" w:eastAsia="zh-CN"/>
              </w:rPr>
              <w:t>（2）收获管道设计：收获端口位于回流端与超滤中间罐回流口之间有手动隔膜阀控制，超滤完成后可将浓缩液压空收集。</w:t>
            </w:r>
          </w:p>
          <w:p>
            <w:pPr>
              <w:spacing w:line="276" w:lineRule="auto"/>
              <w:jc w:val="both"/>
              <w:rPr>
                <w:iCs/>
                <w:color w:val="000000"/>
                <w:lang w:val="en-US" w:eastAsia="zh-CN"/>
              </w:rPr>
            </w:pPr>
            <w:r>
              <w:rPr>
                <w:rFonts w:hint="eastAsia"/>
                <w:iCs/>
                <w:color w:val="000000"/>
                <w:lang w:val="en-US" w:eastAsia="zh-CN"/>
              </w:rPr>
              <w:t>（3）补液管道设计：补液管进罐需连接独立的1.0寸内衬管，内衬管出口端需尽量贴近罐内壁确保补液无气泡且不影响流速，需要1根内径1.0英寸非金属材质管道连接超滤中间罐，要求耐高压、强碱，柔韧性好、抗形变，长度根据安装现场要求确定。</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阀门要求：</w:t>
            </w:r>
          </w:p>
          <w:p>
            <w:pPr>
              <w:spacing w:line="276" w:lineRule="auto"/>
              <w:jc w:val="both"/>
              <w:rPr>
                <w:iCs/>
                <w:color w:val="000000"/>
                <w:lang w:val="en-US" w:eastAsia="zh-CN"/>
              </w:rPr>
            </w:pPr>
            <w:r>
              <w:rPr>
                <w:rFonts w:hint="eastAsia"/>
                <w:iCs/>
                <w:color w:val="000000"/>
                <w:lang w:val="en-US" w:eastAsia="zh-CN"/>
              </w:rPr>
              <w:t>（1）系统阀门除压力调节阀外均使用手动隔膜阀（全部采用GEMU品牌或同等其他知名品牌），316L材质，EPDM膜片，内表面电抛小于0.4μm，提供材质证明和抛光报告。</w:t>
            </w:r>
          </w:p>
          <w:p>
            <w:pPr>
              <w:spacing w:line="276" w:lineRule="auto"/>
              <w:jc w:val="both"/>
              <w:rPr>
                <w:iCs/>
                <w:color w:val="000000"/>
                <w:lang w:val="en-US" w:eastAsia="zh-CN"/>
              </w:rPr>
            </w:pPr>
            <w:r>
              <w:rPr>
                <w:rFonts w:hint="eastAsia"/>
                <w:iCs/>
                <w:color w:val="000000"/>
                <w:lang w:val="en-US" w:eastAsia="zh-CN"/>
              </w:rPr>
              <w:t>（2）罐底阀和罐顶管路阀采用气动阀，可通过软件操作手动控制。</w:t>
            </w:r>
          </w:p>
          <w:p>
            <w:pPr>
              <w:spacing w:line="276" w:lineRule="auto"/>
              <w:jc w:val="both"/>
              <w:rPr>
                <w:iCs/>
                <w:color w:val="000000"/>
                <w:lang w:val="en-US" w:eastAsia="zh-CN"/>
              </w:rPr>
            </w:pPr>
            <w:r>
              <w:rPr>
                <w:rFonts w:hint="eastAsia"/>
                <w:iCs/>
                <w:color w:val="000000"/>
                <w:lang w:val="en-US" w:eastAsia="zh-CN"/>
              </w:rPr>
              <w:t xml:space="preserve">（3）所有阀门不得漏水，不得使用劣质阀门，必须保证至少5年内不得滴水，如果漏水必须更换新阀门直到符合标准为止。 </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随罐附送所有验证资料(含材质报告、验证表格等)</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标识：至少应有以下永久贴牢和清楚易认的标识：</w:t>
            </w:r>
          </w:p>
          <w:p>
            <w:pPr>
              <w:spacing w:line="276" w:lineRule="auto"/>
              <w:jc w:val="both"/>
              <w:rPr>
                <w:iCs/>
                <w:color w:val="000000"/>
                <w:lang w:val="en-US" w:eastAsia="zh-CN"/>
              </w:rPr>
            </w:pPr>
            <w:r>
              <w:rPr>
                <w:rFonts w:hint="eastAsia"/>
                <w:iCs/>
                <w:color w:val="000000"/>
                <w:lang w:val="en-US" w:eastAsia="zh-CN"/>
              </w:rPr>
              <w:t>（1）制造/供应单位；</w:t>
            </w:r>
          </w:p>
          <w:p>
            <w:pPr>
              <w:spacing w:line="276" w:lineRule="auto"/>
              <w:jc w:val="both"/>
              <w:rPr>
                <w:iCs/>
                <w:color w:val="000000"/>
                <w:lang w:val="en-US" w:eastAsia="zh-CN"/>
              </w:rPr>
            </w:pPr>
            <w:r>
              <w:rPr>
                <w:rFonts w:hint="eastAsia"/>
                <w:iCs/>
                <w:color w:val="000000"/>
                <w:lang w:val="en-US" w:eastAsia="zh-CN"/>
              </w:rPr>
              <w:t>（2）产品注册号；</w:t>
            </w:r>
          </w:p>
          <w:p>
            <w:pPr>
              <w:spacing w:line="276" w:lineRule="auto"/>
              <w:jc w:val="both"/>
              <w:rPr>
                <w:iCs/>
                <w:color w:val="000000"/>
                <w:lang w:val="en-US" w:eastAsia="zh-CN"/>
              </w:rPr>
            </w:pPr>
            <w:r>
              <w:rPr>
                <w:rFonts w:hint="eastAsia"/>
                <w:iCs/>
                <w:color w:val="000000"/>
                <w:lang w:val="en-US" w:eastAsia="zh-CN"/>
              </w:rPr>
              <w:t>（3）型号；</w:t>
            </w:r>
          </w:p>
          <w:p>
            <w:pPr>
              <w:spacing w:line="276" w:lineRule="auto"/>
              <w:jc w:val="both"/>
              <w:rPr>
                <w:iCs/>
                <w:color w:val="000000"/>
                <w:lang w:val="en-US" w:eastAsia="zh-CN"/>
              </w:rPr>
            </w:pPr>
            <w:r>
              <w:rPr>
                <w:rFonts w:hint="eastAsia"/>
                <w:iCs/>
                <w:color w:val="000000"/>
                <w:lang w:val="en-US" w:eastAsia="zh-CN"/>
              </w:rPr>
              <w:t>（4）生产日期或编号；</w:t>
            </w:r>
          </w:p>
          <w:p>
            <w:pPr>
              <w:spacing w:line="276" w:lineRule="auto"/>
              <w:jc w:val="both"/>
              <w:rPr>
                <w:iCs/>
                <w:color w:val="000000"/>
                <w:lang w:val="en-US" w:eastAsia="zh-CN"/>
              </w:rPr>
            </w:pPr>
            <w:r>
              <w:rPr>
                <w:rFonts w:hint="eastAsia"/>
                <w:iCs/>
                <w:color w:val="000000"/>
                <w:lang w:val="en-US" w:eastAsia="zh-CN"/>
              </w:rPr>
              <w:t>（5）对设备必要的说明，包括设计压力、工作压力、类别，耐压试验、工作介质、容器净重、设计温度、工作温度、系统体积</w:t>
            </w:r>
          </w:p>
          <w:p>
            <w:pPr>
              <w:spacing w:line="276" w:lineRule="auto"/>
              <w:jc w:val="both"/>
              <w:rPr>
                <w:iCs/>
                <w:color w:val="000000"/>
                <w:lang w:val="en-US" w:eastAsia="zh-CN"/>
              </w:rPr>
            </w:pPr>
            <w:r>
              <w:rPr>
                <w:rFonts w:hint="eastAsia"/>
                <w:iCs/>
                <w:color w:val="000000"/>
                <w:lang w:val="en-US" w:eastAsia="zh-CN"/>
              </w:rPr>
              <w:t>（6）产品标准、许可证编号</w:t>
            </w:r>
          </w:p>
          <w:p>
            <w:pPr>
              <w:spacing w:line="276" w:lineRule="auto"/>
              <w:jc w:val="both"/>
              <w:rPr>
                <w:iCs/>
                <w:color w:val="000000"/>
                <w:lang w:val="en-US" w:eastAsia="zh-CN"/>
              </w:rPr>
            </w:pPr>
            <w:r>
              <w:rPr>
                <w:rFonts w:hint="eastAsia"/>
                <w:iCs/>
                <w:color w:val="000000"/>
                <w:lang w:val="en-US" w:eastAsia="zh-CN"/>
              </w:rPr>
              <w:t>（7）安全标识</w:t>
            </w:r>
          </w:p>
        </w:tc>
        <w:tc>
          <w:tcPr>
            <w:tcW w:w="2127" w:type="dxa"/>
            <w:vAlign w:val="center"/>
          </w:tcPr>
          <w:p>
            <w:pPr>
              <w:jc w:val="both"/>
              <w:rPr>
                <w:iCs/>
                <w:szCs w:val="21"/>
                <w:lang w:eastAsia="zh-CN"/>
              </w:rPr>
            </w:pPr>
            <w:r>
              <w:rPr>
                <w:iCs/>
                <w:szCs w:val="21"/>
                <w:lang w:eastAsia="zh-CN"/>
              </w:rPr>
              <w:t>关键</w:t>
            </w:r>
          </w:p>
        </w:tc>
      </w:tr>
      <w:bookmarkEnd w:id="23"/>
      <w:bookmarkEnd w:id="24"/>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1" w:edGrp="everyone"/>
          </w:p>
        </w:tc>
        <w:tc>
          <w:tcPr>
            <w:tcW w:w="9253" w:type="dxa"/>
            <w:gridSpan w:val="2"/>
            <w:vAlign w:val="center"/>
          </w:tcPr>
          <w:p>
            <w:pPr>
              <w:jc w:val="both"/>
              <w:rPr>
                <w:szCs w:val="21"/>
                <w:lang w:eastAsia="zh-CN"/>
              </w:rPr>
            </w:pPr>
            <w:r>
              <w:rPr>
                <w:rFonts w:hint="eastAsia"/>
                <w:iCs/>
                <w:color w:val="000000"/>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2" w:edGrp="everyone"/>
          </w:p>
        </w:tc>
        <w:tc>
          <w:tcPr>
            <w:tcW w:w="9253" w:type="dxa"/>
            <w:gridSpan w:val="2"/>
            <w:vAlign w:val="center"/>
          </w:tcPr>
          <w:p>
            <w:pPr>
              <w:jc w:val="both"/>
              <w:rPr>
                <w:szCs w:val="21"/>
                <w:lang w:eastAsia="zh-CN"/>
              </w:rPr>
            </w:pPr>
            <w:r>
              <w:rPr>
                <w:rFonts w:hint="eastAsia"/>
                <w:color w:val="000000"/>
                <w:szCs w:val="21"/>
                <w:lang w:val="en-US" w:eastAsia="zh-CN"/>
              </w:rPr>
              <w:t>能</w:t>
            </w:r>
            <w:r>
              <w:rPr>
                <w:color w:val="000000"/>
                <w:szCs w:val="21"/>
                <w:lang w:val="en-US" w:eastAsia="zh-CN"/>
              </w:rPr>
              <w:t>满足超滤系统的流量要求</w:t>
            </w:r>
            <w:r>
              <w:rPr>
                <w:rFonts w:hint="eastAsia"/>
                <w:color w:val="000000"/>
                <w:szCs w:val="21"/>
                <w:lang w:val="en-US" w:eastAsia="zh-CN"/>
              </w:rPr>
              <w:t>。</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Cs/>
                <w:szCs w:val="21"/>
                <w:lang w:val="en-US" w:eastAsia="zh-CN"/>
              </w:rPr>
            </w:pPr>
            <w:r>
              <w:rPr>
                <w:iCs/>
                <w:szCs w:val="21"/>
                <w:lang w:val="en-US" w:eastAsia="zh-CN"/>
              </w:rPr>
              <w:t>超滤罐工作体积</w:t>
            </w:r>
            <w:r>
              <w:rPr>
                <w:rFonts w:hint="eastAsia"/>
                <w:iCs/>
                <w:szCs w:val="21"/>
                <w:lang w:val="en-US" w:eastAsia="zh-CN"/>
              </w:rPr>
              <w:t>150L~180L。</w:t>
            </w:r>
          </w:p>
        </w:tc>
        <w:tc>
          <w:tcPr>
            <w:tcW w:w="2125" w:type="dxa"/>
            <w:vAlign w:val="center"/>
          </w:tcPr>
          <w:p>
            <w:pPr>
              <w:jc w:val="both"/>
              <w:rPr>
                <w:iCs/>
                <w:szCs w:val="21"/>
                <w:lang w:eastAsia="zh-CN"/>
              </w:rPr>
            </w:pPr>
            <w:r>
              <w:rPr>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rPr>
                <w:szCs w:val="21"/>
                <w:lang w:eastAsia="zh-CN"/>
              </w:rPr>
            </w:pPr>
            <w:r>
              <w:rPr>
                <w:rFonts w:hint="eastAsia"/>
                <w:szCs w:val="21"/>
                <w:lang w:eastAsia="zh-CN"/>
              </w:rPr>
              <w:t>管道</w:t>
            </w:r>
            <w:r>
              <w:rPr>
                <w:szCs w:val="21"/>
                <w:lang w:eastAsia="zh-CN"/>
              </w:rPr>
              <w:t>设计合理</w:t>
            </w:r>
            <w:r>
              <w:rPr>
                <w:rFonts w:hint="eastAsia"/>
                <w:szCs w:val="21"/>
                <w:lang w:eastAsia="zh-CN"/>
              </w:rPr>
              <w:t>，</w:t>
            </w:r>
            <w:r>
              <w:rPr>
                <w:szCs w:val="21"/>
                <w:lang w:eastAsia="zh-CN"/>
              </w:rPr>
              <w:t>无多余管道和清洗死角</w:t>
            </w:r>
            <w:r>
              <w:rPr>
                <w:rFonts w:hint="eastAsia"/>
                <w:szCs w:val="21"/>
                <w:lang w:eastAsia="zh-CN"/>
              </w:rPr>
              <w:t>，</w:t>
            </w:r>
            <w:r>
              <w:rPr>
                <w:szCs w:val="21"/>
                <w:lang w:eastAsia="zh-CN"/>
              </w:rPr>
              <w:t>转弯处均为圆弧连接</w:t>
            </w:r>
            <w:r>
              <w:rPr>
                <w:rFonts w:hint="eastAsia"/>
                <w:szCs w:val="21"/>
                <w:lang w:eastAsia="zh-CN"/>
              </w:rPr>
              <w:t>。</w:t>
            </w:r>
          </w:p>
        </w:tc>
        <w:tc>
          <w:tcPr>
            <w:tcW w:w="2125"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7"/>
              <w:rPr>
                <w:szCs w:val="21"/>
                <w:lang w:eastAsia="zh-CN"/>
              </w:rPr>
            </w:pPr>
            <w:r>
              <w:rPr>
                <w:rFonts w:hint="eastAsia"/>
                <w:szCs w:val="21"/>
                <w:lang w:eastAsia="zh-CN"/>
              </w:rPr>
              <w:t>若罐顶离地高度超过1.6m，需随罐配操作人员站立工作台，工作台应能同时容纳2名工作人员。</w:t>
            </w:r>
            <w:r>
              <w:rPr>
                <w:rFonts w:hint="eastAsia"/>
                <w:lang w:eastAsia="zh-CN"/>
              </w:rPr>
              <w:t>平台要有防滑处理，当平台上被水浸湿时能确保员工不会滑倒。</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tbl>
            <w:tblPr>
              <w:tblStyle w:val="23"/>
              <w:tblW w:w="69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snapToGrid w:val="0"/>
                    <w:rPr>
                      <w:rFonts w:hAnsi="宋体"/>
                      <w:b/>
                      <w:szCs w:val="21"/>
                    </w:rPr>
                  </w:pPr>
                  <w:r>
                    <w:rPr>
                      <w:rFonts w:hint="eastAsia" w:hAnsi="宋体"/>
                      <w:bCs/>
                      <w:szCs w:val="21"/>
                    </w:rPr>
                    <w:t>配置要求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蝶阀阀门、球阀和管配件等：材质为316不锈钢；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温度传感器：材质为</w:t>
                  </w:r>
                  <w:r>
                    <w:rPr>
                      <w:rFonts w:hAnsi="宋体"/>
                      <w:szCs w:val="21"/>
                      <w:lang w:eastAsia="zh-CN"/>
                    </w:rPr>
                    <w:t>316L</w:t>
                  </w:r>
                  <w:r>
                    <w:rPr>
                      <w:rFonts w:hint="eastAsia" w:hAnsi="宋体"/>
                      <w:szCs w:val="21"/>
                      <w:lang w:eastAsia="zh-CN"/>
                    </w:rPr>
                    <w:t>，德国</w:t>
                  </w:r>
                  <w:r>
                    <w:rPr>
                      <w:rFonts w:hAnsi="宋体"/>
                      <w:szCs w:val="21"/>
                      <w:lang w:eastAsia="zh-CN"/>
                    </w:rPr>
                    <w:t>E+H</w:t>
                  </w:r>
                  <w:r>
                    <w:rPr>
                      <w:rFonts w:hint="eastAsia" w:hAnsi="宋体"/>
                      <w:szCs w:val="21"/>
                      <w:lang w:eastAsia="zh-CN"/>
                    </w:rPr>
                    <w:t>或国际知名品牌；</w:t>
                  </w:r>
                </w:p>
              </w:tc>
            </w:tr>
          </w:tbl>
          <w:p>
            <w:pPr>
              <w:rPr>
                <w:szCs w:val="21"/>
                <w:lang w:eastAsia="zh-CN"/>
              </w:rPr>
            </w:pPr>
          </w:p>
        </w:tc>
        <w:tc>
          <w:tcPr>
            <w:tcW w:w="2125" w:type="dxa"/>
            <w:vAlign w:val="center"/>
          </w:tcPr>
          <w:p>
            <w:pPr>
              <w:jc w:val="both"/>
              <w:rPr>
                <w:iCs/>
                <w:szCs w:val="21"/>
                <w:lang w:eastAsia="zh-CN"/>
              </w:rPr>
            </w:pPr>
            <w:r>
              <w:rPr>
                <w:iCs/>
                <w:szCs w:val="21"/>
                <w:lang w:eastAsia="zh-CN"/>
              </w:rPr>
              <w:t>关键</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400317"/>
      <w:bookmarkStart w:id="30" w:name="_Toc483227237"/>
      <w:bookmarkStart w:id="31" w:name="_Toc481702480"/>
      <w:bookmarkStart w:id="32" w:name="_Toc482359946"/>
      <w:bookmarkStart w:id="33" w:name="_Toc482360291"/>
      <w:bookmarkStart w:id="34" w:name="_Toc482369815"/>
      <w:bookmarkStart w:id="35" w:name="_Toc482370071"/>
      <w:bookmarkStart w:id="36" w:name="_Toc482370767"/>
      <w:bookmarkStart w:id="37" w:name="_Toc482625289"/>
      <w:bookmarkStart w:id="38" w:name="_Toc482370359"/>
      <w:bookmarkStart w:id="39" w:name="_Toc482717202"/>
      <w:bookmarkStart w:id="40" w:name="_Toc482370151"/>
      <w:r>
        <w:rPr>
          <w:rFonts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7"/>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Cs/>
                <w:color w:val="000000"/>
                <w:szCs w:val="21"/>
                <w:lang w:eastAsia="zh-CN"/>
              </w:rPr>
            </w:pPr>
            <w:r>
              <w:rPr>
                <w:rFonts w:hint="eastAsia"/>
                <w:szCs w:val="21"/>
                <w:lang w:eastAsia="zh-CN"/>
              </w:rPr>
              <w:t>能实现与超滤系统联动控制，能通过超滤系统在线监测罐体压力、罐内料液温度，满足超滤系统的自动控制要求。</w:t>
            </w:r>
          </w:p>
        </w:tc>
        <w:tc>
          <w:tcPr>
            <w:tcW w:w="2125" w:type="dxa"/>
            <w:gridSpan w:val="2"/>
            <w:vAlign w:val="center"/>
          </w:tcPr>
          <w:p>
            <w:pPr>
              <w:jc w:val="both"/>
              <w:rPr>
                <w:iCs/>
                <w:color w:val="000000"/>
                <w:szCs w:val="21"/>
                <w:lang w:eastAsia="zh-CN"/>
              </w:rPr>
            </w:pPr>
            <w:r>
              <w:rPr>
                <w:iCs/>
                <w:color w:val="000000"/>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1094"/>
              <w:rPr>
                <w:szCs w:val="21"/>
              </w:rPr>
            </w:pPr>
            <w:permStart w:id="27" w:edGrp="everyone"/>
          </w:p>
        </w:tc>
        <w:tc>
          <w:tcPr>
            <w:tcW w:w="7155" w:type="dxa"/>
            <w:gridSpan w:val="2"/>
            <w:vAlign w:val="center"/>
          </w:tcPr>
          <w:p>
            <w:pPr>
              <w:spacing w:line="276" w:lineRule="auto"/>
              <w:jc w:val="both"/>
              <w:rPr>
                <w:lang w:eastAsia="zh-CN"/>
              </w:rPr>
            </w:pPr>
            <w:r>
              <w:rPr>
                <w:lang w:eastAsia="zh-CN"/>
              </w:rPr>
              <w:t>NA</w:t>
            </w:r>
          </w:p>
        </w:tc>
        <w:tc>
          <w:tcPr>
            <w:tcW w:w="2098" w:type="dxa"/>
            <w:vAlign w:val="center"/>
          </w:tcPr>
          <w:p>
            <w:pPr>
              <w:jc w:val="both"/>
              <w:rPr>
                <w:iCs/>
                <w:szCs w:val="21"/>
                <w:lang w:eastAsia="zh-CN"/>
              </w:rPr>
            </w:pP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8" w:edGrp="everyone"/>
            <w:permEnd w:id="28"/>
            <w:r>
              <w:rPr>
                <w:b/>
                <w:szCs w:val="21"/>
              </w:rPr>
              <w:t>编号</w:t>
            </w:r>
          </w:p>
        </w:tc>
        <w:tc>
          <w:tcPr>
            <w:tcW w:w="7126"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jc w:val="center"/>
              <w:rPr>
                <w:szCs w:val="21"/>
                <w:lang w:eastAsia="zh-CN"/>
              </w:rPr>
            </w:pPr>
            <w:permStart w:id="29" w:edGrp="everyone"/>
            <w:r>
              <w:rPr>
                <w:rFonts w:hint="eastAsia"/>
                <w:szCs w:val="21"/>
                <w:lang w:eastAsia="zh-CN"/>
              </w:rPr>
              <w:t>U</w:t>
            </w:r>
            <w:r>
              <w:rPr>
                <w:szCs w:val="21"/>
                <w:lang w:eastAsia="zh-CN"/>
              </w:rPr>
              <w:t>RS27</w:t>
            </w:r>
          </w:p>
        </w:tc>
        <w:tc>
          <w:tcPr>
            <w:tcW w:w="7126" w:type="dxa"/>
            <w:vAlign w:val="center"/>
          </w:tcPr>
          <w:p>
            <w:pPr>
              <w:pStyle w:val="7"/>
              <w:rPr>
                <w:szCs w:val="21"/>
                <w:lang w:eastAsia="zh-CN"/>
              </w:rPr>
            </w:pPr>
            <w:r>
              <w:rPr>
                <w:rFonts w:hint="eastAsia"/>
                <w:lang w:eastAsia="zh-CN"/>
              </w:rPr>
              <w:t>罐体应配备安全阀或爆破片,</w:t>
            </w:r>
            <w:r>
              <w:rPr>
                <w:rFonts w:hint="eastAsia" w:ascii="宋体" w:hAnsi="宋体"/>
                <w:szCs w:val="21"/>
                <w:lang w:eastAsia="zh-CN"/>
              </w:rPr>
              <w:t>具备报警功能，当罐内出现负压现象、温度、通气异常等现象时，会发出报警提示；</w:t>
            </w:r>
          </w:p>
        </w:tc>
        <w:tc>
          <w:tcPr>
            <w:tcW w:w="2127" w:type="dxa"/>
            <w:vAlign w:val="center"/>
          </w:tcPr>
          <w:p>
            <w:pPr>
              <w:adjustRightInd/>
              <w:textAlignment w:val="auto"/>
              <w:rPr>
                <w:szCs w:val="21"/>
                <w:lang w:eastAsia="zh-CN"/>
              </w:rPr>
            </w:pPr>
          </w:p>
          <w:p>
            <w:pPr>
              <w:jc w:val="both"/>
              <w:rPr>
                <w:szCs w:val="21"/>
                <w:lang w:eastAsia="zh-CN"/>
              </w:rPr>
            </w:pP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7126" w:type="dxa"/>
            <w:shd w:val="clear" w:color="auto" w:fill="D9D9D9"/>
            <w:vAlign w:val="center"/>
          </w:tcPr>
          <w:p>
            <w:pPr>
              <w:jc w:val="both"/>
              <w:rPr>
                <w:szCs w:val="21"/>
                <w:lang w:eastAsia="zh-CN"/>
              </w:rPr>
            </w:pPr>
            <w:r>
              <w:rPr>
                <w:szCs w:val="21"/>
                <w:lang w:eastAsia="zh-CN"/>
              </w:rPr>
              <w:t>电气保护</w:t>
            </w:r>
          </w:p>
        </w:tc>
        <w:tc>
          <w:tcPr>
            <w:tcW w:w="2127"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jc w:val="center"/>
              <w:rPr>
                <w:szCs w:val="21"/>
                <w:lang w:eastAsia="zh-CN"/>
              </w:rPr>
            </w:pPr>
            <w:permStart w:id="30" w:edGrp="everyone" w:colFirst="0" w:colLast="0"/>
            <w:permStart w:id="31" w:edGrp="everyone" w:colFirst="1" w:colLast="1"/>
            <w:permStart w:id="32" w:edGrp="everyone" w:colFirst="2" w:colLast="2"/>
            <w:permStart w:id="33" w:edGrp="everyone" w:colFirst="3" w:colLast="3"/>
            <w:r>
              <w:rPr>
                <w:rFonts w:hint="eastAsia"/>
                <w:szCs w:val="21"/>
                <w:lang w:eastAsia="zh-CN"/>
              </w:rPr>
              <w:t>U</w:t>
            </w:r>
            <w:r>
              <w:rPr>
                <w:szCs w:val="21"/>
                <w:lang w:eastAsia="zh-CN"/>
              </w:rPr>
              <w:t>RS28</w:t>
            </w:r>
          </w:p>
        </w:tc>
        <w:tc>
          <w:tcPr>
            <w:tcW w:w="7126" w:type="dxa"/>
            <w:vAlign w:val="center"/>
          </w:tcPr>
          <w:p>
            <w:pPr>
              <w:jc w:val="both"/>
              <w:rPr>
                <w:szCs w:val="21"/>
                <w:lang w:eastAsia="zh-CN"/>
              </w:rPr>
            </w:pPr>
            <w:r>
              <w:rPr>
                <w:rFonts w:hint="eastAsia"/>
                <w:szCs w:val="21"/>
                <w:lang w:eastAsia="zh-CN"/>
              </w:rPr>
              <w:t>设备潜在危险源必须有标识、贴标签并做防护处理。机械运动部件必须设有防护罩，或设置在防护区域内。不影响机器性能下，设备任何部位不能有锋利的边缘和尖角。如果不可避免，必须设有安全防护（罩）等措施，并且有安全警示标识。</w:t>
            </w:r>
          </w:p>
        </w:tc>
        <w:tc>
          <w:tcPr>
            <w:tcW w:w="2127" w:type="dxa"/>
            <w:vAlign w:val="center"/>
          </w:tcPr>
          <w:p>
            <w:pPr>
              <w:jc w:val="both"/>
              <w:rPr>
                <w:szCs w:val="21"/>
                <w:lang w:eastAsia="zh-CN"/>
              </w:rPr>
            </w:pPr>
            <w:r>
              <w:rPr>
                <w:szCs w:val="21"/>
              </w:rPr>
              <w:t>关键</w:t>
            </w:r>
          </w:p>
        </w:tc>
      </w:tr>
      <w:permEnd w:id="30"/>
      <w:permEnd w:id="31"/>
      <w:permEnd w:id="32"/>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firstLineChars="0"/>
              <w:rPr>
                <w:szCs w:val="21"/>
              </w:rPr>
            </w:pPr>
            <w:permStart w:id="34" w:edGrp="everyone" w:colFirst="0" w:colLast="0"/>
            <w:permStart w:id="35" w:edGrp="everyone" w:colFirst="1" w:colLast="1"/>
            <w:permStart w:id="36" w:edGrp="everyone" w:colFirst="2" w:colLast="2"/>
            <w:permStart w:id="37" w:edGrp="everyone" w:colFirst="3" w:colLast="3"/>
            <w:r>
              <w:rPr>
                <w:rFonts w:hint="eastAsia"/>
                <w:szCs w:val="21"/>
              </w:rPr>
              <w:t xml:space="preserve"> </w:t>
            </w:r>
          </w:p>
        </w:tc>
        <w:tc>
          <w:tcPr>
            <w:tcW w:w="7126" w:type="dxa"/>
            <w:vAlign w:val="center"/>
          </w:tcPr>
          <w:p>
            <w:pPr>
              <w:jc w:val="both"/>
              <w:rPr>
                <w:szCs w:val="21"/>
                <w:lang w:eastAsia="zh-CN"/>
              </w:rPr>
            </w:pPr>
            <w:r>
              <w:rPr>
                <w:rFonts w:hint="eastAsia"/>
                <w:szCs w:val="21"/>
                <w:lang w:eastAsia="zh-CN"/>
              </w:rPr>
              <w:t>功能报警：能够对超出工艺范围或安全范围或设定值的项目，超滤系统可以联动报警并可以采取相应措施包括自动调整，同时给出提示，如果自动调整不能纠正能自动停车</w:t>
            </w:r>
          </w:p>
        </w:tc>
        <w:tc>
          <w:tcPr>
            <w:tcW w:w="2127" w:type="dxa"/>
            <w:vAlign w:val="center"/>
          </w:tcPr>
          <w:p>
            <w:pPr>
              <w:jc w:val="both"/>
              <w:rPr>
                <w:szCs w:val="21"/>
                <w:lang w:eastAsia="zh-CN"/>
              </w:rPr>
            </w:pPr>
            <w:r>
              <w:rPr>
                <w:iCs/>
                <w:szCs w:val="21"/>
                <w:lang w:eastAsia="zh-CN"/>
              </w:rPr>
              <w:t>关键</w:t>
            </w:r>
          </w:p>
        </w:tc>
      </w:tr>
      <w:permEnd w:id="34"/>
      <w:permEnd w:id="35"/>
      <w:permEnd w:id="36"/>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szCs w:val="21"/>
              </w:rPr>
            </w:pPr>
            <w:permStart w:id="38" w:edGrp="everyone" w:colFirst="0" w:colLast="0"/>
            <w:permStart w:id="39" w:edGrp="everyone" w:colFirst="1" w:colLast="1"/>
            <w:permStart w:id="40" w:edGrp="everyone" w:colFirst="2" w:colLast="2"/>
            <w:permStart w:id="41" w:edGrp="everyone" w:colFirst="3" w:colLast="3"/>
          </w:p>
        </w:tc>
        <w:tc>
          <w:tcPr>
            <w:tcW w:w="7126" w:type="dxa"/>
            <w:vAlign w:val="center"/>
          </w:tcPr>
          <w:p>
            <w:pPr>
              <w:pStyle w:val="7"/>
              <w:rPr>
                <w:lang w:eastAsia="zh-CN"/>
              </w:rPr>
            </w:pPr>
            <w:r>
              <w:rPr>
                <w:rFonts w:hint="eastAsia"/>
                <w:lang w:eastAsia="zh-CN"/>
              </w:rPr>
              <w:t>电气系统应有良好的接地和过流保护，搅拌电机应有过载保护。</w:t>
            </w:r>
          </w:p>
          <w:p>
            <w:pPr>
              <w:jc w:val="both"/>
              <w:rPr>
                <w:szCs w:val="21"/>
                <w:lang w:eastAsia="zh-CN"/>
              </w:rPr>
            </w:pPr>
          </w:p>
        </w:tc>
        <w:tc>
          <w:tcPr>
            <w:tcW w:w="2127" w:type="dxa"/>
            <w:vAlign w:val="center"/>
          </w:tcPr>
          <w:p>
            <w:pPr>
              <w:jc w:val="both"/>
              <w:rPr>
                <w:iCs/>
                <w:szCs w:val="21"/>
                <w:lang w:eastAsia="zh-CN"/>
              </w:rPr>
            </w:pPr>
            <w:r>
              <w:rPr>
                <w:rFonts w:hint="eastAsia"/>
                <w:iCs/>
                <w:szCs w:val="21"/>
                <w:lang w:eastAsia="zh-CN"/>
              </w:rPr>
              <w:t>关键</w:t>
            </w:r>
          </w:p>
        </w:tc>
      </w:tr>
      <w:permEnd w:id="38"/>
      <w:permEnd w:id="39"/>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szCs w:val="21"/>
              </w:rPr>
            </w:pPr>
            <w:permStart w:id="42" w:edGrp="everyone" w:colFirst="0" w:colLast="0"/>
            <w:permStart w:id="43" w:edGrp="everyone" w:colFirst="1" w:colLast="1"/>
            <w:permStart w:id="44" w:edGrp="everyone" w:colFirst="2" w:colLast="2"/>
            <w:permStart w:id="45" w:edGrp="everyone" w:colFirst="3" w:colLast="3"/>
          </w:p>
        </w:tc>
        <w:tc>
          <w:tcPr>
            <w:tcW w:w="7126" w:type="dxa"/>
            <w:vAlign w:val="center"/>
          </w:tcPr>
          <w:p>
            <w:pPr>
              <w:jc w:val="both"/>
              <w:rPr>
                <w:szCs w:val="21"/>
                <w:lang w:eastAsia="zh-CN"/>
              </w:rPr>
            </w:pPr>
            <w:r>
              <w:rPr>
                <w:rFonts w:hint="eastAsia"/>
                <w:szCs w:val="21"/>
                <w:lang w:eastAsia="zh-CN"/>
              </w:rPr>
              <w:t>系统所有安全互锁功能必须在设计文件中详细说明并确认。</w:t>
            </w:r>
          </w:p>
        </w:tc>
        <w:tc>
          <w:tcPr>
            <w:tcW w:w="2127" w:type="dxa"/>
            <w:vAlign w:val="center"/>
          </w:tcPr>
          <w:p>
            <w:pPr>
              <w:jc w:val="both"/>
              <w:rPr>
                <w:szCs w:val="21"/>
                <w:lang w:eastAsia="zh-CN"/>
              </w:rPr>
            </w:pPr>
            <w:r>
              <w:rPr>
                <w:iCs/>
                <w:szCs w:val="21"/>
                <w:lang w:eastAsia="zh-CN"/>
              </w:rPr>
              <w:t>关键</w:t>
            </w:r>
          </w:p>
        </w:tc>
      </w:tr>
      <w:permEnd w:id="42"/>
      <w:permEnd w:id="43"/>
      <w:permEnd w:id="44"/>
      <w:permEnd w:id="45"/>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6" w:edGrp="everyone"/>
            <w:permEnd w:id="4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47" w:edGrp="everyone"/>
          </w:p>
        </w:tc>
        <w:tc>
          <w:tcPr>
            <w:tcW w:w="7128" w:type="dxa"/>
            <w:vAlign w:val="center"/>
          </w:tcPr>
          <w:p>
            <w:pPr>
              <w:jc w:val="both"/>
              <w:rPr>
                <w:szCs w:val="21"/>
                <w:lang w:val="en-US" w:eastAsia="zh-CN"/>
              </w:rPr>
            </w:pPr>
            <w:r>
              <w:rPr>
                <w:rFonts w:hint="eastAsia"/>
                <w:szCs w:val="21"/>
                <w:lang w:val="en-US" w:eastAsia="zh-CN"/>
              </w:rPr>
              <w:t>设备开箱验收时提供投标文件、合同及订单</w:t>
            </w:r>
            <w:r>
              <w:rPr>
                <w:szCs w:val="21"/>
                <w:lang w:val="en-US" w:eastAsia="zh-CN"/>
              </w:rPr>
              <w:t>。</w:t>
            </w:r>
            <w:r>
              <w:rPr>
                <w:rFonts w:hint="eastAsia"/>
                <w:szCs w:val="21"/>
                <w:lang w:val="en-US" w:eastAsia="zh-CN"/>
              </w:rPr>
              <w:t>设备需提供如下资料：</w:t>
            </w:r>
          </w:p>
          <w:p>
            <w:pPr>
              <w:pStyle w:val="8"/>
              <w:rPr>
                <w:rFonts w:ascii="宋体" w:hAnsi="宋体"/>
                <w:sz w:val="21"/>
                <w:szCs w:val="21"/>
                <w:lang w:eastAsia="zh-CN"/>
              </w:rPr>
            </w:pPr>
            <w:r>
              <w:rPr>
                <w:rFonts w:hint="eastAsia" w:ascii="宋体" w:hAnsi="宋体"/>
                <w:sz w:val="21"/>
                <w:szCs w:val="21"/>
                <w:lang w:eastAsia="zh-CN"/>
              </w:rPr>
              <w:t>1. 产品质量证明书</w:t>
            </w:r>
          </w:p>
          <w:p>
            <w:pPr>
              <w:pStyle w:val="8"/>
              <w:rPr>
                <w:rFonts w:ascii="宋体" w:hAnsi="宋体"/>
                <w:sz w:val="21"/>
                <w:szCs w:val="21"/>
                <w:lang w:eastAsia="zh-CN"/>
              </w:rPr>
            </w:pPr>
            <w:r>
              <w:rPr>
                <w:rFonts w:hint="eastAsia" w:ascii="宋体" w:hAnsi="宋体"/>
                <w:sz w:val="21"/>
                <w:szCs w:val="21"/>
                <w:lang w:eastAsia="zh-CN"/>
              </w:rPr>
              <w:t>2. 产品制造监督检验证书</w:t>
            </w:r>
          </w:p>
          <w:p>
            <w:pPr>
              <w:pStyle w:val="8"/>
              <w:rPr>
                <w:rFonts w:ascii="宋体" w:hAnsi="宋体"/>
                <w:sz w:val="21"/>
                <w:szCs w:val="21"/>
                <w:lang w:eastAsia="zh-CN"/>
              </w:rPr>
            </w:pPr>
            <w:r>
              <w:rPr>
                <w:rFonts w:hint="eastAsia" w:ascii="宋体" w:hAnsi="宋体"/>
                <w:sz w:val="21"/>
                <w:szCs w:val="21"/>
                <w:lang w:eastAsia="zh-CN"/>
              </w:rPr>
              <w:t>3. 产品合格证</w:t>
            </w:r>
          </w:p>
          <w:p>
            <w:pPr>
              <w:pStyle w:val="8"/>
              <w:rPr>
                <w:rFonts w:ascii="宋体" w:hAnsi="宋体"/>
                <w:sz w:val="21"/>
                <w:szCs w:val="21"/>
                <w:lang w:eastAsia="zh-CN"/>
              </w:rPr>
            </w:pPr>
            <w:r>
              <w:rPr>
                <w:rFonts w:hint="eastAsia" w:ascii="宋体" w:hAnsi="宋体"/>
                <w:sz w:val="21"/>
                <w:szCs w:val="21"/>
                <w:lang w:eastAsia="zh-CN"/>
              </w:rPr>
              <w:t>4.产品数据表</w:t>
            </w:r>
          </w:p>
          <w:p>
            <w:pPr>
              <w:pStyle w:val="8"/>
              <w:rPr>
                <w:rFonts w:ascii="宋体" w:hAnsi="宋体"/>
                <w:sz w:val="21"/>
                <w:szCs w:val="21"/>
                <w:lang w:eastAsia="zh-CN"/>
              </w:rPr>
            </w:pPr>
            <w:r>
              <w:rPr>
                <w:rFonts w:hint="eastAsia" w:ascii="宋体" w:hAnsi="宋体"/>
                <w:sz w:val="21"/>
                <w:szCs w:val="21"/>
                <w:lang w:eastAsia="zh-CN"/>
              </w:rPr>
              <w:t>5.压力容器强度计算书</w:t>
            </w:r>
          </w:p>
          <w:p>
            <w:pPr>
              <w:pStyle w:val="8"/>
              <w:rPr>
                <w:rFonts w:ascii="宋体" w:hAnsi="宋体"/>
                <w:sz w:val="21"/>
                <w:szCs w:val="21"/>
                <w:lang w:eastAsia="zh-CN"/>
              </w:rPr>
            </w:pPr>
            <w:r>
              <w:rPr>
                <w:rFonts w:hint="eastAsia" w:ascii="宋体" w:hAnsi="宋体"/>
                <w:sz w:val="21"/>
                <w:szCs w:val="21"/>
                <w:lang w:eastAsia="zh-CN"/>
              </w:rPr>
              <w:t>6.特种设备制造许可证</w:t>
            </w:r>
          </w:p>
          <w:p>
            <w:pPr>
              <w:pStyle w:val="8"/>
              <w:rPr>
                <w:rFonts w:ascii="宋体" w:hAnsi="宋体"/>
                <w:sz w:val="21"/>
                <w:szCs w:val="21"/>
                <w:lang w:eastAsia="zh-CN"/>
              </w:rPr>
            </w:pPr>
            <w:r>
              <w:rPr>
                <w:rFonts w:hint="eastAsia" w:ascii="宋体" w:hAnsi="宋体"/>
                <w:sz w:val="21"/>
                <w:szCs w:val="21"/>
                <w:lang w:eastAsia="zh-CN"/>
              </w:rPr>
              <w:t>7.设备图纸</w:t>
            </w:r>
          </w:p>
          <w:p>
            <w:pPr>
              <w:pStyle w:val="8"/>
              <w:rPr>
                <w:rFonts w:ascii="宋体" w:hAnsi="宋体"/>
                <w:sz w:val="21"/>
                <w:szCs w:val="21"/>
                <w:lang w:eastAsia="zh-CN"/>
              </w:rPr>
            </w:pPr>
            <w:r>
              <w:rPr>
                <w:rFonts w:hint="eastAsia" w:ascii="宋体" w:hAnsi="宋体"/>
                <w:sz w:val="21"/>
                <w:szCs w:val="21"/>
                <w:lang w:eastAsia="zh-CN"/>
              </w:rPr>
              <w:t>8. 安全阀、爆破片等安全附件的第三方检验证书</w:t>
            </w:r>
          </w:p>
          <w:p>
            <w:pPr>
              <w:pStyle w:val="8"/>
              <w:rPr>
                <w:iCs/>
                <w:szCs w:val="21"/>
                <w:lang w:eastAsia="zh-CN"/>
              </w:rPr>
            </w:pPr>
            <w:r>
              <w:rPr>
                <w:rFonts w:hint="eastAsia" w:ascii="宋体" w:hAnsi="宋体"/>
                <w:sz w:val="21"/>
                <w:szCs w:val="21"/>
                <w:lang w:eastAsia="zh-CN"/>
              </w:rPr>
              <w:t>9.特种设备安装告知书</w:t>
            </w:r>
          </w:p>
        </w:tc>
        <w:tc>
          <w:tcPr>
            <w:tcW w:w="2125" w:type="dxa"/>
            <w:vAlign w:val="center"/>
          </w:tcPr>
          <w:p>
            <w:pPr>
              <w:jc w:val="both"/>
              <w:rPr>
                <w:iCs/>
                <w:szCs w:val="21"/>
                <w:lang w:eastAsia="zh-CN"/>
              </w:rPr>
            </w:pPr>
            <w:r>
              <w:rPr>
                <w:iCs/>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48" w:edGrp="everyone"/>
          </w:p>
        </w:tc>
        <w:tc>
          <w:tcPr>
            <w:tcW w:w="7128" w:type="dxa"/>
            <w:vAlign w:val="center"/>
          </w:tcPr>
          <w:p>
            <w:pPr>
              <w:jc w:val="both"/>
              <w:rPr>
                <w:iCs/>
                <w:szCs w:val="21"/>
                <w:lang w:eastAsia="zh-CN"/>
              </w:rPr>
            </w:pPr>
            <w:r>
              <w:rPr>
                <w:rFonts w:hint="eastAsia"/>
                <w:szCs w:val="21"/>
                <w:lang w:val="en-US" w:eastAsia="zh-CN"/>
              </w:rPr>
              <w:t>设备开箱验收时提供</w:t>
            </w:r>
            <w:r>
              <w:rPr>
                <w:szCs w:val="21"/>
                <w:lang w:eastAsia="zh-CN"/>
              </w:rPr>
              <w:t>卖方发运清单及相关检验报告</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设备标准技术文件，包括详细的设计说明</w:t>
            </w:r>
            <w:r>
              <w:rPr>
                <w:rFonts w:hint="eastAsia"/>
                <w:szCs w:val="21"/>
                <w:lang w:eastAsia="zh-CN"/>
              </w:rPr>
              <w:t>、</w:t>
            </w:r>
            <w:r>
              <w:rPr>
                <w:szCs w:val="21"/>
                <w:lang w:eastAsia="zh-CN"/>
              </w:rPr>
              <w:t>功能说明</w:t>
            </w:r>
            <w:r>
              <w:rPr>
                <w:rFonts w:hint="eastAsia"/>
                <w:szCs w:val="21"/>
                <w:lang w:eastAsia="zh-CN"/>
              </w:rPr>
              <w:t>、</w:t>
            </w:r>
            <w:r>
              <w:rPr>
                <w:szCs w:val="21"/>
                <w:lang w:eastAsia="zh-CN"/>
              </w:rPr>
              <w:t>配置说明与清单；须提供工艺描述和功能标准。</w:t>
            </w:r>
            <w:r>
              <w:rPr>
                <w:rFonts w:hint="eastAsia"/>
                <w:szCs w:val="21"/>
                <w:lang w:eastAsia="zh-CN"/>
              </w:rPr>
              <w:t>（D</w:t>
            </w:r>
            <w:r>
              <w:rPr>
                <w:szCs w:val="21"/>
                <w:lang w:eastAsia="zh-CN"/>
              </w:rPr>
              <w:t>Q</w:t>
            </w:r>
            <w:r>
              <w:rPr>
                <w:rFonts w:hint="eastAsia"/>
                <w:szCs w:val="21"/>
                <w:lang w:eastAsia="zh-CN"/>
              </w:rPr>
              <w:t>开始前完成审批）</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图纸：实各种验证、维修等活动所需的电子版及打印版系统实物图</w:t>
            </w:r>
            <w:r>
              <w:rPr>
                <w:rFonts w:hint="eastAsia"/>
                <w:szCs w:val="21"/>
                <w:lang w:eastAsia="zh-CN"/>
              </w:rPr>
              <w:t>、</w:t>
            </w:r>
            <w:r>
              <w:rPr>
                <w:szCs w:val="21"/>
                <w:lang w:eastAsia="zh-CN"/>
              </w:rPr>
              <w:t>布局图、设备尺寸图、设备局部图（与工艺、功能相关的细节图）、P&amp;ID图</w:t>
            </w:r>
            <w:r>
              <w:rPr>
                <w:rFonts w:hint="eastAsia"/>
                <w:szCs w:val="21"/>
                <w:lang w:eastAsia="zh-CN"/>
              </w:rPr>
              <w:t>、</w:t>
            </w:r>
            <w:r>
              <w:rPr>
                <w:szCs w:val="21"/>
                <w:lang w:eastAsia="zh-CN"/>
              </w:rPr>
              <w:t>控制原理图</w:t>
            </w:r>
            <w:r>
              <w:rPr>
                <w:rFonts w:hint="eastAsia"/>
                <w:szCs w:val="21"/>
                <w:lang w:eastAsia="zh-CN"/>
              </w:rPr>
              <w:t>、</w:t>
            </w:r>
            <w:r>
              <w:rPr>
                <w:szCs w:val="21"/>
                <w:lang w:eastAsia="zh-CN"/>
              </w:rPr>
              <w:t>接线图</w:t>
            </w:r>
            <w:r>
              <w:rPr>
                <w:rFonts w:hint="eastAsia"/>
                <w:szCs w:val="21"/>
                <w:lang w:eastAsia="zh-CN"/>
              </w:rPr>
              <w:t>、PLC图、计算机化系统相关图纸、</w:t>
            </w:r>
            <w:r>
              <w:rPr>
                <w:szCs w:val="21"/>
                <w:lang w:eastAsia="zh-CN"/>
              </w:rPr>
              <w:t>图纸清单</w:t>
            </w:r>
            <w:r>
              <w:rPr>
                <w:rFonts w:hint="eastAsia"/>
                <w:szCs w:val="21"/>
                <w:lang w:eastAsia="zh-CN"/>
              </w:rPr>
              <w:t>（I</w:t>
            </w:r>
            <w:r>
              <w:rPr>
                <w:szCs w:val="21"/>
                <w:lang w:eastAsia="zh-CN"/>
              </w:rPr>
              <w:t>Q</w:t>
            </w:r>
            <w:r>
              <w:rPr>
                <w:rFonts w:hint="eastAsia"/>
                <w:szCs w:val="21"/>
                <w:lang w:eastAsia="zh-CN"/>
              </w:rPr>
              <w:t>开始前提供）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零配件、部件、元件清单：包括编号、对应厂家名称、生产地、规格及必要说明</w:t>
            </w:r>
            <w:r>
              <w:rPr>
                <w:rFonts w:hint="eastAsia"/>
                <w:szCs w:val="21"/>
                <w:lang w:eastAsia="zh-CN"/>
              </w:rPr>
              <w:t>（开箱验收提供）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设备制造相关文件：各组件合格证、出厂测试合格证、工厂相关检测报告、材质清单、材质报告及合格证（写明材料有效期）、清洁处理程序、各种标示、风险评估文件。（开箱验收提供）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易损件、备用零部件清单。（开箱验收提供）（</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仪器仪表清单和相关校验报告及计量证书。（开箱验收提供）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设备交付计划表。</w:t>
            </w:r>
            <w:r>
              <w:rPr>
                <w:rFonts w:hint="eastAsia"/>
                <w:szCs w:val="21"/>
                <w:lang w:eastAsia="zh-CN"/>
              </w:rPr>
              <w:t>（开箱验收提供）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安全报告。</w:t>
            </w:r>
            <w:r>
              <w:rPr>
                <w:rFonts w:hint="eastAsia"/>
                <w:szCs w:val="21"/>
                <w:lang w:eastAsia="zh-CN"/>
              </w:rPr>
              <w:t>（开箱验收提供）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工厂验收测试（FAT）和现场验收测试（SAT）报告。</w:t>
            </w:r>
          </w:p>
          <w:p>
            <w:pPr>
              <w:adjustRightInd/>
              <w:jc w:val="both"/>
              <w:textAlignment w:val="auto"/>
              <w:rPr>
                <w:lang w:val="en-US" w:eastAsia="zh-CN"/>
              </w:rPr>
            </w:pPr>
            <w:r>
              <w:rPr>
                <w:rFonts w:hint="eastAsia"/>
                <w:lang w:eastAsia="zh-CN"/>
              </w:rPr>
              <w:t>FAT应在设备制造完成后出厂发货前完成审批并提交；SAT在设备安装调试后IQ开始前完成审批并提交。</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调试文件：调试计划（调试说明书、调试清单、保修信息、培训计划、再调试计划等），总测试计划，检查计划，检测清单，各测试结果，调试总结报告等。（</w:t>
            </w:r>
            <w:r>
              <w:rPr>
                <w:rFonts w:hint="eastAsia"/>
                <w:szCs w:val="21"/>
                <w:lang w:eastAsia="zh-CN"/>
              </w:rPr>
              <w:t>I</w:t>
            </w:r>
            <w:r>
              <w:rPr>
                <w:szCs w:val="21"/>
                <w:lang w:eastAsia="zh-CN"/>
              </w:rPr>
              <w:t>Q</w:t>
            </w:r>
            <w:r>
              <w:rPr>
                <w:rFonts w:hint="eastAsia"/>
                <w:szCs w:val="21"/>
                <w:lang w:eastAsia="zh-CN"/>
              </w:rPr>
              <w:t>开始前提供）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验证文件：</w:t>
            </w:r>
          </w:p>
          <w:p>
            <w:pPr>
              <w:jc w:val="both"/>
              <w:rPr>
                <w:rFonts w:ascii="等线" w:hAnsi="等线" w:eastAsia="等线"/>
                <w:color w:val="000000"/>
                <w:sz w:val="22"/>
                <w:szCs w:val="22"/>
                <w:lang w:val="en-US" w:eastAsia="zh-CN"/>
              </w:rPr>
            </w:pPr>
            <w:r>
              <w:rPr>
                <w:rFonts w:hint="eastAsia"/>
                <w:lang w:eastAsia="zh-CN"/>
              </w:rPr>
              <w:t>（1）验证计划：设计阶段，设计确认开始前</w:t>
            </w:r>
          </w:p>
          <w:p>
            <w:pPr>
              <w:jc w:val="both"/>
              <w:rPr>
                <w:lang w:eastAsia="zh-CN"/>
              </w:rPr>
            </w:pPr>
            <w:r>
              <w:rPr>
                <w:rFonts w:hint="eastAsia"/>
                <w:lang w:eastAsia="zh-CN"/>
              </w:rPr>
              <w:t>（2）满足GMP和GAMP5等相关法规的评估文件：系统影响性评估在DQ开始前。</w:t>
            </w:r>
          </w:p>
          <w:p>
            <w:pPr>
              <w:jc w:val="both"/>
              <w:rPr>
                <w:lang w:eastAsia="zh-CN"/>
              </w:rPr>
            </w:pPr>
            <w:r>
              <w:rPr>
                <w:rFonts w:hint="eastAsia"/>
                <w:lang w:eastAsia="zh-CN"/>
              </w:rPr>
              <w:t>（3）DQ：设计完成后，制造及安装开始前完成审批并提交。</w:t>
            </w:r>
          </w:p>
          <w:p>
            <w:pPr>
              <w:jc w:val="both"/>
              <w:rPr>
                <w:lang w:eastAsia="zh-CN"/>
              </w:rPr>
            </w:pPr>
            <w:r>
              <w:rPr>
                <w:rFonts w:hint="eastAsia"/>
                <w:lang w:eastAsia="zh-CN"/>
              </w:rPr>
              <w:t>（4）IQ：SAT批准后开始执行，OQ开始前完成审批并提交。</w:t>
            </w:r>
          </w:p>
          <w:p>
            <w:pPr>
              <w:jc w:val="both"/>
              <w:rPr>
                <w:lang w:eastAsia="zh-CN"/>
              </w:rPr>
            </w:pPr>
            <w:r>
              <w:rPr>
                <w:rFonts w:hint="eastAsia"/>
                <w:lang w:eastAsia="zh-CN"/>
              </w:rPr>
              <w:t>（5）OQ：IQ批准后开始执行，PQ开始前完成审批并提交。</w:t>
            </w:r>
          </w:p>
          <w:p>
            <w:pPr>
              <w:jc w:val="both"/>
              <w:rPr>
                <w:lang w:eastAsia="zh-CN"/>
              </w:rPr>
            </w:pPr>
            <w:r>
              <w:rPr>
                <w:rFonts w:hint="eastAsia"/>
                <w:lang w:eastAsia="zh-CN"/>
              </w:rPr>
              <w:t>（6）追溯矩阵（RTM）：PQ完成后开始起草，最终验收前提交</w:t>
            </w:r>
          </w:p>
          <w:p>
            <w:pPr>
              <w:jc w:val="both"/>
              <w:rPr>
                <w:lang w:eastAsia="zh-CN"/>
              </w:rPr>
            </w:pPr>
            <w:r>
              <w:rPr>
                <w:rFonts w:hint="eastAsia"/>
                <w:lang w:eastAsia="zh-CN"/>
              </w:rPr>
              <w:t>（7）验证总结报告（VSR）：PQ完成后开始起草，最终验收前提交</w:t>
            </w:r>
          </w:p>
          <w:p>
            <w:pPr>
              <w:jc w:val="both"/>
              <w:rPr>
                <w:lang w:eastAsia="zh-CN"/>
              </w:rPr>
            </w:pPr>
            <w:r>
              <w:rPr>
                <w:rFonts w:hint="eastAsia"/>
                <w:lang w:eastAsia="zh-CN"/>
              </w:rPr>
              <w:t>（8）设备生产商负责制定设备验证计划、评估文件、DQ/IQ/OQ验证文件、追溯矩阵、验证总结报告，并负责验证工作的实施，该验证文件作为设备必备文件。</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使说明书及维护保养说明（即运行及维护手册）3份。（开箱验收提供）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提供设备及其零部件使用寿命清单。（开箱验收提供）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文件具体要求：</w:t>
            </w:r>
          </w:p>
          <w:p>
            <w:pPr>
              <w:jc w:val="both"/>
              <w:rPr>
                <w:lang w:eastAsia="zh-CN"/>
              </w:rPr>
            </w:pPr>
            <w:r>
              <w:rPr>
                <w:rFonts w:hint="eastAsia"/>
                <w:lang w:eastAsia="zh-CN"/>
              </w:rPr>
              <w:t>（1）系统相关方案中，应明确本系统的配置、规格，并且通过分析阐述每一个系统环节的必要性；</w:t>
            </w:r>
          </w:p>
          <w:p>
            <w:pPr>
              <w:jc w:val="both"/>
              <w:rPr>
                <w:lang w:eastAsia="zh-CN"/>
              </w:rPr>
            </w:pPr>
            <w:r>
              <w:rPr>
                <w:rFonts w:hint="eastAsia"/>
                <w:lang w:eastAsia="zh-CN"/>
              </w:rPr>
              <w:t>（2）标书中明确系统所有组件的品牌、材质、型号，并且注明每一个组件的保修期；</w:t>
            </w:r>
          </w:p>
          <w:p>
            <w:pPr>
              <w:jc w:val="both"/>
              <w:rPr>
                <w:lang w:eastAsia="zh-CN"/>
              </w:rPr>
            </w:pPr>
            <w:r>
              <w:rPr>
                <w:rFonts w:hint="eastAsia"/>
                <w:lang w:eastAsia="zh-CN"/>
              </w:rPr>
              <w:t>（3）符合GEP要求的项目文件交付包</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szCs w:val="21"/>
                <w:lang w:eastAsia="zh-CN"/>
              </w:rPr>
              <w:t>条款规定的文件需提供电子版，并在设备开箱验收时将最终批准的电子版及纸质版全套资料交工程技术部存档。</w:t>
            </w:r>
          </w:p>
        </w:tc>
        <w:tc>
          <w:tcPr>
            <w:tcW w:w="2125" w:type="dxa"/>
            <w:vAlign w:val="center"/>
          </w:tcPr>
          <w:p>
            <w:pPr>
              <w:jc w:val="both"/>
              <w:rPr>
                <w:iCs/>
                <w:szCs w:val="21"/>
                <w:lang w:eastAsia="zh-CN"/>
              </w:rPr>
            </w:pPr>
            <w:r>
              <w:rPr>
                <w:rFonts w:hint="eastAsia"/>
                <w:iCs/>
                <w:szCs w:val="21"/>
                <w:lang w:eastAsia="zh-CN"/>
              </w:rPr>
              <w:t>关键</w:t>
            </w:r>
          </w:p>
        </w:tc>
      </w:tr>
      <w:permEnd w:id="48"/>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9" w:edGrp="everyone"/>
            <w:permEnd w:id="4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w:t>
            </w:r>
            <w:r>
              <w:rPr>
                <w:rFonts w:hint="eastAsia"/>
                <w:lang w:eastAsia="zh-CN"/>
              </w:rPr>
              <w:t>安全使用和应急处置措施相关等</w:t>
            </w:r>
            <w:r>
              <w:rPr>
                <w:lang w:eastAsia="zh-CN"/>
              </w:rPr>
              <w:t>，并填写培训记录。</w:t>
            </w:r>
          </w:p>
        </w:tc>
        <w:tc>
          <w:tcPr>
            <w:tcW w:w="2125" w:type="dxa"/>
            <w:vAlign w:val="center"/>
          </w:tcPr>
          <w:p>
            <w:pPr>
              <w:jc w:val="both"/>
              <w:rPr>
                <w:iCs/>
                <w:szCs w:val="21"/>
                <w:lang w:eastAsia="zh-CN"/>
              </w:rPr>
            </w:pPr>
            <w:r>
              <w:rPr>
                <w:iCs/>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szCs w:val="21"/>
                <w:lang w:eastAsia="zh-CN"/>
              </w:rPr>
            </w:pPr>
            <w:r>
              <w:rPr>
                <w:rFonts w:hint="eastAsia"/>
                <w:lang w:eastAsia="zh-CN"/>
              </w:rPr>
              <w:t>生产操作人员培训，合格标准为用户参加培训人员能够独立正确操作设备，会排除常见故障，能独立完成设备CIP、SIP并进行生产操作。</w:t>
            </w:r>
          </w:p>
        </w:tc>
        <w:tc>
          <w:tcPr>
            <w:tcW w:w="2125" w:type="dxa"/>
            <w:vAlign w:val="center"/>
          </w:tcPr>
          <w:p>
            <w:pPr>
              <w:jc w:val="both"/>
              <w:rPr>
                <w:iCs/>
                <w:szCs w:val="21"/>
                <w:lang w:eastAsia="zh-CN"/>
              </w:rPr>
            </w:pPr>
            <w:r>
              <w:rPr>
                <w:iCs/>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lang w:eastAsia="zh-CN"/>
              </w:rPr>
            </w:pPr>
            <w:r>
              <w:rPr>
                <w:rFonts w:hint="eastAsia"/>
                <w:lang w:eastAsia="zh-CN"/>
              </w:rPr>
              <w:t>维修人员培训合格标准为，维修人员能对机械、电器部分进行基本维修，能够了解设备日常保养内容，能对造成常见故障的易损部件有明确认识。</w:t>
            </w:r>
          </w:p>
        </w:tc>
        <w:tc>
          <w:tcPr>
            <w:tcW w:w="2125" w:type="dxa"/>
            <w:vAlign w:val="center"/>
          </w:tcPr>
          <w:p>
            <w:pPr>
              <w:jc w:val="both"/>
              <w:rPr>
                <w:iCs/>
                <w:szCs w:val="21"/>
                <w:lang w:eastAsia="zh-CN"/>
              </w:rPr>
            </w:pPr>
            <w:r>
              <w:rPr>
                <w:iCs/>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iCs/>
                <w:szCs w:val="21"/>
                <w:lang w:eastAsia="zh-CN"/>
              </w:rPr>
            </w:pPr>
            <w:r>
              <w:rPr>
                <w:iCs/>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iCs/>
                <w:szCs w:val="21"/>
                <w:lang w:eastAsia="zh-CN"/>
              </w:rPr>
            </w:pPr>
            <w:r>
              <w:rPr>
                <w:rFonts w:hint="eastAsia"/>
                <w:iCs/>
                <w:szCs w:val="21"/>
                <w:lang w:eastAsia="zh-CN"/>
              </w:rPr>
              <w:t>验证包括计划、系统评估、风险评估、DQ、FAT、SAT、IQ、OQ、RTM、VSR文件与服务，供应商必须派出具备该类系统验证工程师开展验证工作。供应商协助完成PQ。</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投标方按GMP规范完成IQ、OQ工作，并提供符合本公司QA要求的相应文件。验证开始前验证方案需经过本公司相关部门审核，质量保证部批准。</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验证工作应按时保质完成，供应商需提供验证工作计划表。</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验证项目应包含法规要求的测试项目，以及本公司提出的测试项目。</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验证工作完成后，验证记录经本公司相关部门审核，并经质量保证部批准。</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验收前，验证工作已成功完成，验证最终报告已经本公司相关部门审核，并经质量保证部批准。</w:t>
            </w:r>
          </w:p>
        </w:tc>
        <w:tc>
          <w:tcPr>
            <w:tcW w:w="2125" w:type="dxa"/>
            <w:vAlign w:val="center"/>
          </w:tcPr>
          <w:p>
            <w:pPr>
              <w:jc w:val="both"/>
              <w:rPr>
                <w:iCs/>
                <w:szCs w:val="21"/>
                <w:lang w:eastAsia="zh-CN"/>
              </w:rPr>
            </w:pPr>
            <w:r>
              <w:rPr>
                <w:iCs/>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szCs w:val="21"/>
                <w:lang w:eastAsia="zh-CN"/>
              </w:rPr>
              <w:t>设备保质期从</w:t>
            </w:r>
            <w:r>
              <w:rPr>
                <w:rFonts w:hint="eastAsia"/>
                <w:szCs w:val="21"/>
                <w:lang w:eastAsia="zh-CN"/>
              </w:rPr>
              <w:t>完成IQ/OQ</w:t>
            </w:r>
            <w:r>
              <w:rPr>
                <w:szCs w:val="21"/>
                <w:lang w:eastAsia="zh-CN"/>
              </w:rPr>
              <w:t>验证始计算。</w:t>
            </w:r>
          </w:p>
        </w:tc>
        <w:tc>
          <w:tcPr>
            <w:tcW w:w="2125" w:type="dxa"/>
            <w:vAlign w:val="center"/>
          </w:tcPr>
          <w:p>
            <w:pPr>
              <w:jc w:val="both"/>
              <w:rPr>
                <w:iCs/>
                <w:szCs w:val="21"/>
                <w:lang w:eastAsia="zh-CN"/>
              </w:rPr>
            </w:pPr>
            <w:r>
              <w:rPr>
                <w:iCs/>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vAlign w:val="center"/>
          </w:tcPr>
          <w:p>
            <w:pPr>
              <w:jc w:val="both"/>
              <w:rPr>
                <w:iCs/>
                <w:szCs w:val="21"/>
                <w:lang w:eastAsia="zh-CN"/>
              </w:rPr>
            </w:pPr>
            <w:r>
              <w:rPr>
                <w:iCs/>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iCs/>
                <w:szCs w:val="21"/>
                <w:lang w:eastAsia="zh-CN"/>
              </w:rPr>
            </w:pPr>
            <w:r>
              <w:rPr>
                <w:iCs/>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ermStart w:id="58" w:edGrp="everyone"/>
          </w:p>
        </w:tc>
        <w:tc>
          <w:tcPr>
            <w:tcW w:w="7128" w:type="dxa"/>
            <w:vAlign w:val="center"/>
          </w:tcPr>
          <w:p>
            <w:pPr>
              <w:spacing w:line="276" w:lineRule="auto"/>
              <w:jc w:val="both"/>
              <w:rPr>
                <w:szCs w:val="21"/>
                <w:lang w:eastAsia="zh-CN"/>
              </w:rPr>
            </w:pPr>
            <w:r>
              <w:rPr>
                <w:rFonts w:hint="eastAsia"/>
                <w:szCs w:val="21"/>
                <w:lang w:eastAsia="zh-CN"/>
              </w:rPr>
              <w:t>供应商进厂安装需遵守安全和施工规定</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12"/>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确认试车验收合格后，买卖双方签订验收报告</w:t>
            </w:r>
          </w:p>
        </w:tc>
        <w:tc>
          <w:tcPr>
            <w:tcW w:w="2125" w:type="dxa"/>
            <w:vAlign w:val="center"/>
          </w:tcPr>
          <w:p>
            <w:pPr>
              <w:jc w:val="both"/>
              <w:rPr>
                <w:i/>
                <w:color w:val="0070C0"/>
                <w:szCs w:val="21"/>
                <w:lang w:eastAsia="zh-CN"/>
              </w:rPr>
            </w:pPr>
            <w:r>
              <w:rPr>
                <w:iCs/>
                <w:szCs w:val="21"/>
                <w:lang w:eastAsia="zh-CN"/>
              </w:rPr>
              <w:t>关键</w:t>
            </w:r>
          </w:p>
        </w:tc>
      </w:tr>
      <w:permEnd w:id="58"/>
    </w:tbl>
    <w:p/>
    <w:p>
      <w:pPr>
        <w:pStyle w:val="30"/>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color w:val="4472C4"/>
          <w:szCs w:val="21"/>
          <w:lang w:eastAsia="zh-CN"/>
        </w:rPr>
      </w:pPr>
      <w:permStart w:id="59" w:edGrp="everyone"/>
      <w:r>
        <w:rPr>
          <w:szCs w:val="21"/>
          <w:lang w:eastAsia="zh-CN"/>
        </w:rPr>
        <w:t>N/A</w:t>
      </w:r>
      <w:permEnd w:id="59"/>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等线">
    <w:altName w:val="宋体"/>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23046586">
    <w:nsid w:val="3CFA73BA"/>
    <w:multiLevelType w:val="multilevel"/>
    <w:tmpl w:val="3CFA73BA"/>
    <w:lvl w:ilvl="0" w:tentative="1">
      <w:start w:val="29"/>
      <w:numFmt w:val="decimal"/>
      <w:lvlText w:val="URS %1"/>
      <w:lvlJc w:val="left"/>
      <w:pPr>
        <w:ind w:left="562" w:hanging="420"/>
      </w:pPr>
      <w:rPr>
        <w:rFonts w:hint="eastAsia"/>
        <w:color w:val="000000"/>
      </w:rPr>
    </w:lvl>
    <w:lvl w:ilvl="1" w:tentative="1">
      <w:start w:val="1"/>
      <w:numFmt w:val="lowerLetter"/>
      <w:lvlText w:val="%2)"/>
      <w:lvlJc w:val="left"/>
      <w:pPr>
        <w:ind w:left="488" w:hanging="420"/>
      </w:pPr>
      <w:rPr>
        <w:rFonts w:hint="eastAsia"/>
      </w:rPr>
    </w:lvl>
    <w:lvl w:ilvl="2" w:tentative="1">
      <w:start w:val="1"/>
      <w:numFmt w:val="lowerRoman"/>
      <w:lvlText w:val="%3."/>
      <w:lvlJc w:val="right"/>
      <w:pPr>
        <w:ind w:left="908" w:hanging="420"/>
      </w:pPr>
      <w:rPr>
        <w:rFonts w:hint="eastAsia"/>
      </w:rPr>
    </w:lvl>
    <w:lvl w:ilvl="3" w:tentative="1">
      <w:start w:val="1"/>
      <w:numFmt w:val="decimal"/>
      <w:lvlText w:val="%4."/>
      <w:lvlJc w:val="left"/>
      <w:pPr>
        <w:ind w:left="1328" w:hanging="420"/>
      </w:pPr>
      <w:rPr>
        <w:rFonts w:hint="eastAsia"/>
      </w:rPr>
    </w:lvl>
    <w:lvl w:ilvl="4" w:tentative="1">
      <w:start w:val="1"/>
      <w:numFmt w:val="lowerLetter"/>
      <w:lvlText w:val="%5)"/>
      <w:lvlJc w:val="left"/>
      <w:pPr>
        <w:ind w:left="1748" w:hanging="420"/>
      </w:pPr>
      <w:rPr>
        <w:rFonts w:hint="eastAsia"/>
      </w:rPr>
    </w:lvl>
    <w:lvl w:ilvl="5" w:tentative="1">
      <w:start w:val="1"/>
      <w:numFmt w:val="lowerRoman"/>
      <w:lvlText w:val="%6."/>
      <w:lvlJc w:val="right"/>
      <w:pPr>
        <w:ind w:left="2168" w:hanging="420"/>
      </w:pPr>
      <w:rPr>
        <w:rFonts w:hint="eastAsia"/>
      </w:rPr>
    </w:lvl>
    <w:lvl w:ilvl="6" w:tentative="1">
      <w:start w:val="1"/>
      <w:numFmt w:val="decimal"/>
      <w:lvlText w:val="%7."/>
      <w:lvlJc w:val="left"/>
      <w:pPr>
        <w:ind w:left="2588" w:hanging="420"/>
      </w:pPr>
      <w:rPr>
        <w:rFonts w:hint="eastAsia"/>
      </w:rPr>
    </w:lvl>
    <w:lvl w:ilvl="7" w:tentative="1">
      <w:start w:val="1"/>
      <w:numFmt w:val="lowerLetter"/>
      <w:lvlText w:val="%8)"/>
      <w:lvlJc w:val="left"/>
      <w:pPr>
        <w:ind w:left="3008" w:hanging="420"/>
      </w:pPr>
      <w:rPr>
        <w:rFonts w:hint="eastAsia"/>
      </w:rPr>
    </w:lvl>
    <w:lvl w:ilvl="8" w:tentative="1">
      <w:start w:val="1"/>
      <w:numFmt w:val="lowerRoman"/>
      <w:lvlText w:val="%9."/>
      <w:lvlJc w:val="right"/>
      <w:pPr>
        <w:ind w:left="3428" w:hanging="420"/>
      </w:pPr>
      <w:rPr>
        <w:rFonts w:hint="eastAsia"/>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1514" w:hanging="420"/>
      </w:pPr>
      <w:rPr>
        <w:rFonts w:hint="eastAsia"/>
        <w:color w:val="000000"/>
        <w:shd w:val="clear" w:color="auto" w:fill="auto"/>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10417191">
    <w:nsid w:val="B36F5227"/>
    <w:multiLevelType w:val="singleLevel"/>
    <w:tmpl w:val="B36F5227"/>
    <w:lvl w:ilvl="0" w:tentative="1">
      <w:start w:val="1"/>
      <w:numFmt w:val="decimal"/>
      <w:lvlText w:val="(%1)"/>
      <w:lvlJc w:val="left"/>
      <w:pPr>
        <w:ind w:left="-385" w:hanging="425"/>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3010417191"/>
  </w:num>
  <w:num w:numId="10">
    <w:abstractNumId w:val="839589741"/>
  </w:num>
  <w:num w:numId="11">
    <w:abstractNumId w:val="196115971"/>
  </w:num>
  <w:num w:numId="12">
    <w:abstractNumId w:val="1023046586"/>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C08"/>
    <w:rsid w:val="000169DD"/>
    <w:rsid w:val="00020FEA"/>
    <w:rsid w:val="00022818"/>
    <w:rsid w:val="000233DE"/>
    <w:rsid w:val="00023B07"/>
    <w:rsid w:val="00023CAD"/>
    <w:rsid w:val="0002457E"/>
    <w:rsid w:val="00025D36"/>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22"/>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0DD"/>
    <w:rsid w:val="0007673E"/>
    <w:rsid w:val="00077AE1"/>
    <w:rsid w:val="000818AC"/>
    <w:rsid w:val="00082C13"/>
    <w:rsid w:val="00083D58"/>
    <w:rsid w:val="000844A8"/>
    <w:rsid w:val="00084E16"/>
    <w:rsid w:val="00084F90"/>
    <w:rsid w:val="0008658E"/>
    <w:rsid w:val="00086CA0"/>
    <w:rsid w:val="00087002"/>
    <w:rsid w:val="000871F9"/>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38E1"/>
    <w:rsid w:val="000B417D"/>
    <w:rsid w:val="000B45E0"/>
    <w:rsid w:val="000B4EC4"/>
    <w:rsid w:val="000B5888"/>
    <w:rsid w:val="000B7A99"/>
    <w:rsid w:val="000C0A41"/>
    <w:rsid w:val="000C0D32"/>
    <w:rsid w:val="000C0DD3"/>
    <w:rsid w:val="000C0FA5"/>
    <w:rsid w:val="000C3C81"/>
    <w:rsid w:val="000C41B6"/>
    <w:rsid w:val="000C7137"/>
    <w:rsid w:val="000D112B"/>
    <w:rsid w:val="000D1A79"/>
    <w:rsid w:val="000D3B24"/>
    <w:rsid w:val="000D43C9"/>
    <w:rsid w:val="000D467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270"/>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0E49"/>
    <w:rsid w:val="00121B6E"/>
    <w:rsid w:val="00122051"/>
    <w:rsid w:val="00124244"/>
    <w:rsid w:val="00124AEB"/>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6AE2"/>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8A9"/>
    <w:rsid w:val="0018127E"/>
    <w:rsid w:val="001814FA"/>
    <w:rsid w:val="001815A9"/>
    <w:rsid w:val="00182A27"/>
    <w:rsid w:val="00184DDD"/>
    <w:rsid w:val="00184FFD"/>
    <w:rsid w:val="00185449"/>
    <w:rsid w:val="00186314"/>
    <w:rsid w:val="00187B04"/>
    <w:rsid w:val="00190000"/>
    <w:rsid w:val="001929C2"/>
    <w:rsid w:val="00192B8F"/>
    <w:rsid w:val="00193D66"/>
    <w:rsid w:val="00194BB7"/>
    <w:rsid w:val="001950E6"/>
    <w:rsid w:val="00196470"/>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6EAC"/>
    <w:rsid w:val="001E744F"/>
    <w:rsid w:val="001F065A"/>
    <w:rsid w:val="001F1FE7"/>
    <w:rsid w:val="001F25DD"/>
    <w:rsid w:val="001F3552"/>
    <w:rsid w:val="001F473D"/>
    <w:rsid w:val="001F4BFD"/>
    <w:rsid w:val="001F7405"/>
    <w:rsid w:val="001F7E95"/>
    <w:rsid w:val="00201487"/>
    <w:rsid w:val="00203890"/>
    <w:rsid w:val="00203D68"/>
    <w:rsid w:val="0020539A"/>
    <w:rsid w:val="00205E00"/>
    <w:rsid w:val="00206107"/>
    <w:rsid w:val="002070B2"/>
    <w:rsid w:val="0020756B"/>
    <w:rsid w:val="00210177"/>
    <w:rsid w:val="00212297"/>
    <w:rsid w:val="002129BC"/>
    <w:rsid w:val="00212BD9"/>
    <w:rsid w:val="00213381"/>
    <w:rsid w:val="00213AA9"/>
    <w:rsid w:val="002168FE"/>
    <w:rsid w:val="00217048"/>
    <w:rsid w:val="002178C5"/>
    <w:rsid w:val="00220757"/>
    <w:rsid w:val="00222993"/>
    <w:rsid w:val="00223221"/>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1EAE"/>
    <w:rsid w:val="002924C2"/>
    <w:rsid w:val="00293E83"/>
    <w:rsid w:val="0029741F"/>
    <w:rsid w:val="00297DDC"/>
    <w:rsid w:val="002A18C8"/>
    <w:rsid w:val="002A42F8"/>
    <w:rsid w:val="002A547B"/>
    <w:rsid w:val="002A588E"/>
    <w:rsid w:val="002A6ADD"/>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441E"/>
    <w:rsid w:val="002D691F"/>
    <w:rsid w:val="002D6A50"/>
    <w:rsid w:val="002D6D1C"/>
    <w:rsid w:val="002E1D21"/>
    <w:rsid w:val="002E3B36"/>
    <w:rsid w:val="002E5807"/>
    <w:rsid w:val="002E59BF"/>
    <w:rsid w:val="002E63F6"/>
    <w:rsid w:val="002E69A1"/>
    <w:rsid w:val="002E74B1"/>
    <w:rsid w:val="002F00FD"/>
    <w:rsid w:val="002F1C5E"/>
    <w:rsid w:val="002F1D63"/>
    <w:rsid w:val="002F340E"/>
    <w:rsid w:val="002F4392"/>
    <w:rsid w:val="002F4641"/>
    <w:rsid w:val="002F4B22"/>
    <w:rsid w:val="003004D9"/>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00DE"/>
    <w:rsid w:val="00320555"/>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33A"/>
    <w:rsid w:val="00345847"/>
    <w:rsid w:val="00347576"/>
    <w:rsid w:val="00347772"/>
    <w:rsid w:val="00347A51"/>
    <w:rsid w:val="00347B19"/>
    <w:rsid w:val="003531FA"/>
    <w:rsid w:val="0035416F"/>
    <w:rsid w:val="003549FE"/>
    <w:rsid w:val="003557BE"/>
    <w:rsid w:val="00355AAC"/>
    <w:rsid w:val="00355D7D"/>
    <w:rsid w:val="0036261F"/>
    <w:rsid w:val="003647CA"/>
    <w:rsid w:val="00370514"/>
    <w:rsid w:val="0037056A"/>
    <w:rsid w:val="003726DF"/>
    <w:rsid w:val="0037345A"/>
    <w:rsid w:val="00373FFA"/>
    <w:rsid w:val="0037455F"/>
    <w:rsid w:val="00376739"/>
    <w:rsid w:val="00376C31"/>
    <w:rsid w:val="00380EB7"/>
    <w:rsid w:val="003810F5"/>
    <w:rsid w:val="00381C39"/>
    <w:rsid w:val="00381CF6"/>
    <w:rsid w:val="0038326A"/>
    <w:rsid w:val="0038367F"/>
    <w:rsid w:val="00387B81"/>
    <w:rsid w:val="00391016"/>
    <w:rsid w:val="003913F4"/>
    <w:rsid w:val="00393529"/>
    <w:rsid w:val="00393B6A"/>
    <w:rsid w:val="003946C3"/>
    <w:rsid w:val="00395CE1"/>
    <w:rsid w:val="00395D47"/>
    <w:rsid w:val="00396425"/>
    <w:rsid w:val="003970BE"/>
    <w:rsid w:val="00397C18"/>
    <w:rsid w:val="003A04A8"/>
    <w:rsid w:val="003A1311"/>
    <w:rsid w:val="003A2EC5"/>
    <w:rsid w:val="003A3AAC"/>
    <w:rsid w:val="003A4CAE"/>
    <w:rsid w:val="003A5959"/>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02D2"/>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566A"/>
    <w:rsid w:val="00416443"/>
    <w:rsid w:val="00416E8B"/>
    <w:rsid w:val="00420273"/>
    <w:rsid w:val="00420AA0"/>
    <w:rsid w:val="0042116C"/>
    <w:rsid w:val="00422D19"/>
    <w:rsid w:val="00422DFE"/>
    <w:rsid w:val="00424BD9"/>
    <w:rsid w:val="00424D83"/>
    <w:rsid w:val="00424E29"/>
    <w:rsid w:val="00427CE6"/>
    <w:rsid w:val="00427D22"/>
    <w:rsid w:val="00427E2D"/>
    <w:rsid w:val="00432568"/>
    <w:rsid w:val="00432FED"/>
    <w:rsid w:val="00436C7C"/>
    <w:rsid w:val="00437440"/>
    <w:rsid w:val="00440378"/>
    <w:rsid w:val="00442B53"/>
    <w:rsid w:val="00443256"/>
    <w:rsid w:val="00444D2D"/>
    <w:rsid w:val="0044679E"/>
    <w:rsid w:val="00450368"/>
    <w:rsid w:val="004510B1"/>
    <w:rsid w:val="00451C5D"/>
    <w:rsid w:val="00451D74"/>
    <w:rsid w:val="00452E73"/>
    <w:rsid w:val="004565EF"/>
    <w:rsid w:val="00457FF9"/>
    <w:rsid w:val="004601ED"/>
    <w:rsid w:val="00460711"/>
    <w:rsid w:val="0046108B"/>
    <w:rsid w:val="00461747"/>
    <w:rsid w:val="00467AE6"/>
    <w:rsid w:val="00467EC9"/>
    <w:rsid w:val="00470D55"/>
    <w:rsid w:val="004744C8"/>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2329"/>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BCE"/>
    <w:rsid w:val="004E4C2D"/>
    <w:rsid w:val="004F0539"/>
    <w:rsid w:val="004F10A4"/>
    <w:rsid w:val="004F342E"/>
    <w:rsid w:val="004F4C63"/>
    <w:rsid w:val="004F5AE6"/>
    <w:rsid w:val="004F5C19"/>
    <w:rsid w:val="004F7B6A"/>
    <w:rsid w:val="0050090F"/>
    <w:rsid w:val="0050208D"/>
    <w:rsid w:val="0050284B"/>
    <w:rsid w:val="00502F99"/>
    <w:rsid w:val="00504B71"/>
    <w:rsid w:val="0050642D"/>
    <w:rsid w:val="00507991"/>
    <w:rsid w:val="00507C94"/>
    <w:rsid w:val="00507EB2"/>
    <w:rsid w:val="00510111"/>
    <w:rsid w:val="00511AB4"/>
    <w:rsid w:val="00512690"/>
    <w:rsid w:val="00512A4E"/>
    <w:rsid w:val="00514EA4"/>
    <w:rsid w:val="00516BB4"/>
    <w:rsid w:val="005174CE"/>
    <w:rsid w:val="00517A5D"/>
    <w:rsid w:val="00517E1E"/>
    <w:rsid w:val="005217E8"/>
    <w:rsid w:val="00521897"/>
    <w:rsid w:val="005220FE"/>
    <w:rsid w:val="005228F6"/>
    <w:rsid w:val="005247DE"/>
    <w:rsid w:val="00530B8F"/>
    <w:rsid w:val="00531434"/>
    <w:rsid w:val="00531754"/>
    <w:rsid w:val="00534840"/>
    <w:rsid w:val="0053490E"/>
    <w:rsid w:val="00534D08"/>
    <w:rsid w:val="00536973"/>
    <w:rsid w:val="00536C6B"/>
    <w:rsid w:val="00544652"/>
    <w:rsid w:val="0054625B"/>
    <w:rsid w:val="00547D98"/>
    <w:rsid w:val="00551539"/>
    <w:rsid w:val="00552EFE"/>
    <w:rsid w:val="00554ABB"/>
    <w:rsid w:val="0055552D"/>
    <w:rsid w:val="00555668"/>
    <w:rsid w:val="00556741"/>
    <w:rsid w:val="0055679E"/>
    <w:rsid w:val="0056090D"/>
    <w:rsid w:val="00561E9C"/>
    <w:rsid w:val="00565C7A"/>
    <w:rsid w:val="00567161"/>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183C"/>
    <w:rsid w:val="005B2393"/>
    <w:rsid w:val="005B750A"/>
    <w:rsid w:val="005C2B89"/>
    <w:rsid w:val="005C2FA7"/>
    <w:rsid w:val="005C378D"/>
    <w:rsid w:val="005C386F"/>
    <w:rsid w:val="005C42AC"/>
    <w:rsid w:val="005C4D05"/>
    <w:rsid w:val="005C506B"/>
    <w:rsid w:val="005C71BF"/>
    <w:rsid w:val="005C723D"/>
    <w:rsid w:val="005C7601"/>
    <w:rsid w:val="005D1094"/>
    <w:rsid w:val="005D3394"/>
    <w:rsid w:val="005D3989"/>
    <w:rsid w:val="005D42FF"/>
    <w:rsid w:val="005D65A4"/>
    <w:rsid w:val="005E2725"/>
    <w:rsid w:val="005E65FA"/>
    <w:rsid w:val="005F19CE"/>
    <w:rsid w:val="005F28F4"/>
    <w:rsid w:val="005F43BB"/>
    <w:rsid w:val="005F503E"/>
    <w:rsid w:val="005F6CB3"/>
    <w:rsid w:val="005F7612"/>
    <w:rsid w:val="005F7663"/>
    <w:rsid w:val="005F7D63"/>
    <w:rsid w:val="00607170"/>
    <w:rsid w:val="00607408"/>
    <w:rsid w:val="00610AEE"/>
    <w:rsid w:val="00614801"/>
    <w:rsid w:val="00614FFC"/>
    <w:rsid w:val="00615402"/>
    <w:rsid w:val="00615912"/>
    <w:rsid w:val="00616BAC"/>
    <w:rsid w:val="00616ED1"/>
    <w:rsid w:val="00620598"/>
    <w:rsid w:val="00620FEC"/>
    <w:rsid w:val="006214DC"/>
    <w:rsid w:val="006215E2"/>
    <w:rsid w:val="0062168F"/>
    <w:rsid w:val="00621DCE"/>
    <w:rsid w:val="006221A2"/>
    <w:rsid w:val="00625FF8"/>
    <w:rsid w:val="00627113"/>
    <w:rsid w:val="00627B8B"/>
    <w:rsid w:val="00627F51"/>
    <w:rsid w:val="0063106D"/>
    <w:rsid w:val="006312FF"/>
    <w:rsid w:val="00632136"/>
    <w:rsid w:val="00632556"/>
    <w:rsid w:val="00632C67"/>
    <w:rsid w:val="006331B6"/>
    <w:rsid w:val="00633310"/>
    <w:rsid w:val="00633315"/>
    <w:rsid w:val="00633936"/>
    <w:rsid w:val="006366CC"/>
    <w:rsid w:val="00637C16"/>
    <w:rsid w:val="0064048E"/>
    <w:rsid w:val="00640FF5"/>
    <w:rsid w:val="00641320"/>
    <w:rsid w:val="00641E74"/>
    <w:rsid w:val="006434E3"/>
    <w:rsid w:val="0064366A"/>
    <w:rsid w:val="00644637"/>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673A9"/>
    <w:rsid w:val="00670A00"/>
    <w:rsid w:val="00670C23"/>
    <w:rsid w:val="00672B86"/>
    <w:rsid w:val="00673031"/>
    <w:rsid w:val="00673EB3"/>
    <w:rsid w:val="00680BE8"/>
    <w:rsid w:val="00686409"/>
    <w:rsid w:val="00686D19"/>
    <w:rsid w:val="0068777F"/>
    <w:rsid w:val="00691F9A"/>
    <w:rsid w:val="00692F46"/>
    <w:rsid w:val="00693018"/>
    <w:rsid w:val="00696089"/>
    <w:rsid w:val="006A0059"/>
    <w:rsid w:val="006A7425"/>
    <w:rsid w:val="006B0382"/>
    <w:rsid w:val="006B058A"/>
    <w:rsid w:val="006B1299"/>
    <w:rsid w:val="006B26D9"/>
    <w:rsid w:val="006B310C"/>
    <w:rsid w:val="006B664C"/>
    <w:rsid w:val="006B7651"/>
    <w:rsid w:val="006C1125"/>
    <w:rsid w:val="006C1C83"/>
    <w:rsid w:val="006C3E78"/>
    <w:rsid w:val="006C54E6"/>
    <w:rsid w:val="006C5762"/>
    <w:rsid w:val="006C690D"/>
    <w:rsid w:val="006D149F"/>
    <w:rsid w:val="006D3396"/>
    <w:rsid w:val="006D3A4F"/>
    <w:rsid w:val="006D5AFF"/>
    <w:rsid w:val="006E050C"/>
    <w:rsid w:val="006E152B"/>
    <w:rsid w:val="006E15B6"/>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033"/>
    <w:rsid w:val="007524EF"/>
    <w:rsid w:val="00752689"/>
    <w:rsid w:val="00756D1D"/>
    <w:rsid w:val="00760886"/>
    <w:rsid w:val="007615CA"/>
    <w:rsid w:val="00761ADD"/>
    <w:rsid w:val="00762B3A"/>
    <w:rsid w:val="00765D6E"/>
    <w:rsid w:val="00765D7E"/>
    <w:rsid w:val="007674B6"/>
    <w:rsid w:val="00767D71"/>
    <w:rsid w:val="00770E90"/>
    <w:rsid w:val="00772C42"/>
    <w:rsid w:val="0077302F"/>
    <w:rsid w:val="00773661"/>
    <w:rsid w:val="00774A61"/>
    <w:rsid w:val="00774E08"/>
    <w:rsid w:val="00774E72"/>
    <w:rsid w:val="0077746F"/>
    <w:rsid w:val="007775FE"/>
    <w:rsid w:val="00780A5F"/>
    <w:rsid w:val="00784913"/>
    <w:rsid w:val="00785B90"/>
    <w:rsid w:val="00785EF2"/>
    <w:rsid w:val="0078639C"/>
    <w:rsid w:val="007913D3"/>
    <w:rsid w:val="0079790C"/>
    <w:rsid w:val="007A102A"/>
    <w:rsid w:val="007A15E6"/>
    <w:rsid w:val="007A194B"/>
    <w:rsid w:val="007A2240"/>
    <w:rsid w:val="007A4BCD"/>
    <w:rsid w:val="007A5714"/>
    <w:rsid w:val="007A5EFA"/>
    <w:rsid w:val="007A6821"/>
    <w:rsid w:val="007A75EF"/>
    <w:rsid w:val="007B03B6"/>
    <w:rsid w:val="007B1257"/>
    <w:rsid w:val="007B33CC"/>
    <w:rsid w:val="007B4133"/>
    <w:rsid w:val="007B49F4"/>
    <w:rsid w:val="007B6AC0"/>
    <w:rsid w:val="007B7AB4"/>
    <w:rsid w:val="007C2405"/>
    <w:rsid w:val="007C2815"/>
    <w:rsid w:val="007C2A54"/>
    <w:rsid w:val="007C2B69"/>
    <w:rsid w:val="007C2DC1"/>
    <w:rsid w:val="007C3B05"/>
    <w:rsid w:val="007C3D25"/>
    <w:rsid w:val="007C4998"/>
    <w:rsid w:val="007C668F"/>
    <w:rsid w:val="007C6FEA"/>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7F7865"/>
    <w:rsid w:val="00800AFD"/>
    <w:rsid w:val="00800C1B"/>
    <w:rsid w:val="0080239D"/>
    <w:rsid w:val="00803CF3"/>
    <w:rsid w:val="00806EAB"/>
    <w:rsid w:val="00810E52"/>
    <w:rsid w:val="00811CA7"/>
    <w:rsid w:val="00811E69"/>
    <w:rsid w:val="0081636E"/>
    <w:rsid w:val="00816F39"/>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271"/>
    <w:rsid w:val="00852488"/>
    <w:rsid w:val="0085405E"/>
    <w:rsid w:val="008571DD"/>
    <w:rsid w:val="0085772E"/>
    <w:rsid w:val="00860344"/>
    <w:rsid w:val="00860E2C"/>
    <w:rsid w:val="00864BC6"/>
    <w:rsid w:val="008657DE"/>
    <w:rsid w:val="00865EE6"/>
    <w:rsid w:val="00866F94"/>
    <w:rsid w:val="00870D23"/>
    <w:rsid w:val="00872B72"/>
    <w:rsid w:val="00873022"/>
    <w:rsid w:val="00875BDA"/>
    <w:rsid w:val="00876468"/>
    <w:rsid w:val="008767E1"/>
    <w:rsid w:val="00876CC7"/>
    <w:rsid w:val="008823E4"/>
    <w:rsid w:val="008837C4"/>
    <w:rsid w:val="008849F3"/>
    <w:rsid w:val="00884C6D"/>
    <w:rsid w:val="00884E78"/>
    <w:rsid w:val="00885DB2"/>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4E80"/>
    <w:rsid w:val="008A56DB"/>
    <w:rsid w:val="008A6CFC"/>
    <w:rsid w:val="008B17A6"/>
    <w:rsid w:val="008B2125"/>
    <w:rsid w:val="008B25D4"/>
    <w:rsid w:val="008B3878"/>
    <w:rsid w:val="008B38E5"/>
    <w:rsid w:val="008B58C4"/>
    <w:rsid w:val="008B6CD2"/>
    <w:rsid w:val="008B72DD"/>
    <w:rsid w:val="008C050B"/>
    <w:rsid w:val="008C1132"/>
    <w:rsid w:val="008C2732"/>
    <w:rsid w:val="008C302A"/>
    <w:rsid w:val="008C3E42"/>
    <w:rsid w:val="008C465A"/>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27AE"/>
    <w:rsid w:val="008E3041"/>
    <w:rsid w:val="008E41D3"/>
    <w:rsid w:val="008E43F1"/>
    <w:rsid w:val="008E594F"/>
    <w:rsid w:val="008E7312"/>
    <w:rsid w:val="008F1E7B"/>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2ED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3F82"/>
    <w:rsid w:val="009742DA"/>
    <w:rsid w:val="009743BE"/>
    <w:rsid w:val="009753A0"/>
    <w:rsid w:val="00977437"/>
    <w:rsid w:val="00977C89"/>
    <w:rsid w:val="00980AB3"/>
    <w:rsid w:val="009818DF"/>
    <w:rsid w:val="009848CB"/>
    <w:rsid w:val="00984D10"/>
    <w:rsid w:val="0098600B"/>
    <w:rsid w:val="009861C1"/>
    <w:rsid w:val="00987177"/>
    <w:rsid w:val="00987F11"/>
    <w:rsid w:val="0099128D"/>
    <w:rsid w:val="009917F1"/>
    <w:rsid w:val="00991E37"/>
    <w:rsid w:val="00991E74"/>
    <w:rsid w:val="009926A6"/>
    <w:rsid w:val="0099415E"/>
    <w:rsid w:val="009948BF"/>
    <w:rsid w:val="00997825"/>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C4C28"/>
    <w:rsid w:val="009D07A0"/>
    <w:rsid w:val="009D107D"/>
    <w:rsid w:val="009D1871"/>
    <w:rsid w:val="009D2985"/>
    <w:rsid w:val="009D3033"/>
    <w:rsid w:val="009D5770"/>
    <w:rsid w:val="009D6AF5"/>
    <w:rsid w:val="009D6CF1"/>
    <w:rsid w:val="009D74BA"/>
    <w:rsid w:val="009E0874"/>
    <w:rsid w:val="009E1187"/>
    <w:rsid w:val="009E1A16"/>
    <w:rsid w:val="009E2045"/>
    <w:rsid w:val="009E4A84"/>
    <w:rsid w:val="009E6973"/>
    <w:rsid w:val="009F0466"/>
    <w:rsid w:val="009F4004"/>
    <w:rsid w:val="009F4200"/>
    <w:rsid w:val="009F4933"/>
    <w:rsid w:val="009F5FD0"/>
    <w:rsid w:val="009F6DD5"/>
    <w:rsid w:val="009F7B12"/>
    <w:rsid w:val="00A020A2"/>
    <w:rsid w:val="00A0297B"/>
    <w:rsid w:val="00A02B36"/>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878"/>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2EBB"/>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69DF"/>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40D"/>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468EB"/>
    <w:rsid w:val="00B503CD"/>
    <w:rsid w:val="00B50BE8"/>
    <w:rsid w:val="00B548AB"/>
    <w:rsid w:val="00B54BBE"/>
    <w:rsid w:val="00B553F8"/>
    <w:rsid w:val="00B560B6"/>
    <w:rsid w:val="00B5630E"/>
    <w:rsid w:val="00B62FB6"/>
    <w:rsid w:val="00B635BF"/>
    <w:rsid w:val="00B700C0"/>
    <w:rsid w:val="00B7050A"/>
    <w:rsid w:val="00B70904"/>
    <w:rsid w:val="00B70A42"/>
    <w:rsid w:val="00B74791"/>
    <w:rsid w:val="00B76AF9"/>
    <w:rsid w:val="00B8115B"/>
    <w:rsid w:val="00B81AE2"/>
    <w:rsid w:val="00B81B24"/>
    <w:rsid w:val="00B82D30"/>
    <w:rsid w:val="00B87F62"/>
    <w:rsid w:val="00B90D33"/>
    <w:rsid w:val="00B914A4"/>
    <w:rsid w:val="00B92497"/>
    <w:rsid w:val="00B92D41"/>
    <w:rsid w:val="00B93679"/>
    <w:rsid w:val="00B9422D"/>
    <w:rsid w:val="00B951FB"/>
    <w:rsid w:val="00B95A1D"/>
    <w:rsid w:val="00B9634B"/>
    <w:rsid w:val="00B97DD2"/>
    <w:rsid w:val="00BA5072"/>
    <w:rsid w:val="00BA5B65"/>
    <w:rsid w:val="00BA7BFE"/>
    <w:rsid w:val="00BB0ECA"/>
    <w:rsid w:val="00BB246B"/>
    <w:rsid w:val="00BB4F49"/>
    <w:rsid w:val="00BB60F7"/>
    <w:rsid w:val="00BB6B2D"/>
    <w:rsid w:val="00BB7375"/>
    <w:rsid w:val="00BC0500"/>
    <w:rsid w:val="00BC44F5"/>
    <w:rsid w:val="00BC500B"/>
    <w:rsid w:val="00BC547C"/>
    <w:rsid w:val="00BC68AC"/>
    <w:rsid w:val="00BC6B29"/>
    <w:rsid w:val="00BC798C"/>
    <w:rsid w:val="00BC7D11"/>
    <w:rsid w:val="00BD00FD"/>
    <w:rsid w:val="00BD15A2"/>
    <w:rsid w:val="00BD1667"/>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17F1"/>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38C"/>
    <w:rsid w:val="00C5165A"/>
    <w:rsid w:val="00C52841"/>
    <w:rsid w:val="00C5489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2C7A"/>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304E"/>
    <w:rsid w:val="00CE07A9"/>
    <w:rsid w:val="00CE1012"/>
    <w:rsid w:val="00CE419E"/>
    <w:rsid w:val="00CE5011"/>
    <w:rsid w:val="00CE574A"/>
    <w:rsid w:val="00CE5DC5"/>
    <w:rsid w:val="00CE627F"/>
    <w:rsid w:val="00CE629E"/>
    <w:rsid w:val="00CE66CE"/>
    <w:rsid w:val="00CE69B5"/>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CFD"/>
    <w:rsid w:val="00D20E20"/>
    <w:rsid w:val="00D21C3A"/>
    <w:rsid w:val="00D228DA"/>
    <w:rsid w:val="00D22E01"/>
    <w:rsid w:val="00D238A5"/>
    <w:rsid w:val="00D24621"/>
    <w:rsid w:val="00D2600F"/>
    <w:rsid w:val="00D30EEA"/>
    <w:rsid w:val="00D31534"/>
    <w:rsid w:val="00D32C1F"/>
    <w:rsid w:val="00D33FC2"/>
    <w:rsid w:val="00D37394"/>
    <w:rsid w:val="00D4164B"/>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6F55"/>
    <w:rsid w:val="00D77D65"/>
    <w:rsid w:val="00D80448"/>
    <w:rsid w:val="00D80C4F"/>
    <w:rsid w:val="00D8149F"/>
    <w:rsid w:val="00D814FB"/>
    <w:rsid w:val="00D83D95"/>
    <w:rsid w:val="00D86543"/>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57ED"/>
    <w:rsid w:val="00DF6C58"/>
    <w:rsid w:val="00E001C1"/>
    <w:rsid w:val="00E039F3"/>
    <w:rsid w:val="00E03C30"/>
    <w:rsid w:val="00E04409"/>
    <w:rsid w:val="00E078BD"/>
    <w:rsid w:val="00E078F8"/>
    <w:rsid w:val="00E103BE"/>
    <w:rsid w:val="00E1074E"/>
    <w:rsid w:val="00E1142B"/>
    <w:rsid w:val="00E11F10"/>
    <w:rsid w:val="00E1510C"/>
    <w:rsid w:val="00E157E4"/>
    <w:rsid w:val="00E15950"/>
    <w:rsid w:val="00E16522"/>
    <w:rsid w:val="00E1750C"/>
    <w:rsid w:val="00E178A6"/>
    <w:rsid w:val="00E20545"/>
    <w:rsid w:val="00E223C6"/>
    <w:rsid w:val="00E2443D"/>
    <w:rsid w:val="00E24789"/>
    <w:rsid w:val="00E26615"/>
    <w:rsid w:val="00E2697D"/>
    <w:rsid w:val="00E26F37"/>
    <w:rsid w:val="00E33928"/>
    <w:rsid w:val="00E33C90"/>
    <w:rsid w:val="00E34D15"/>
    <w:rsid w:val="00E35E86"/>
    <w:rsid w:val="00E36B45"/>
    <w:rsid w:val="00E37BF1"/>
    <w:rsid w:val="00E428B3"/>
    <w:rsid w:val="00E44698"/>
    <w:rsid w:val="00E44D19"/>
    <w:rsid w:val="00E51372"/>
    <w:rsid w:val="00E51CAF"/>
    <w:rsid w:val="00E51E95"/>
    <w:rsid w:val="00E51F9D"/>
    <w:rsid w:val="00E5202F"/>
    <w:rsid w:val="00E5211A"/>
    <w:rsid w:val="00E53A9F"/>
    <w:rsid w:val="00E549AF"/>
    <w:rsid w:val="00E60540"/>
    <w:rsid w:val="00E61C5B"/>
    <w:rsid w:val="00E61C74"/>
    <w:rsid w:val="00E63D8F"/>
    <w:rsid w:val="00E706B6"/>
    <w:rsid w:val="00E71680"/>
    <w:rsid w:val="00E75FC2"/>
    <w:rsid w:val="00E76FF1"/>
    <w:rsid w:val="00E774FE"/>
    <w:rsid w:val="00E809A0"/>
    <w:rsid w:val="00E80AF7"/>
    <w:rsid w:val="00E84407"/>
    <w:rsid w:val="00E85E54"/>
    <w:rsid w:val="00E86146"/>
    <w:rsid w:val="00E86A76"/>
    <w:rsid w:val="00E87A90"/>
    <w:rsid w:val="00E904D1"/>
    <w:rsid w:val="00E91004"/>
    <w:rsid w:val="00E92425"/>
    <w:rsid w:val="00E92AD3"/>
    <w:rsid w:val="00E959EA"/>
    <w:rsid w:val="00E96237"/>
    <w:rsid w:val="00E965D7"/>
    <w:rsid w:val="00E96D30"/>
    <w:rsid w:val="00EA1327"/>
    <w:rsid w:val="00EA623C"/>
    <w:rsid w:val="00EA6395"/>
    <w:rsid w:val="00EB044B"/>
    <w:rsid w:val="00EB067C"/>
    <w:rsid w:val="00EB1799"/>
    <w:rsid w:val="00EB3C66"/>
    <w:rsid w:val="00EB4B03"/>
    <w:rsid w:val="00EB5DEE"/>
    <w:rsid w:val="00EB64CB"/>
    <w:rsid w:val="00EB6D46"/>
    <w:rsid w:val="00EC07F3"/>
    <w:rsid w:val="00EC3194"/>
    <w:rsid w:val="00EC32E1"/>
    <w:rsid w:val="00EC518D"/>
    <w:rsid w:val="00EC5F20"/>
    <w:rsid w:val="00EC69B1"/>
    <w:rsid w:val="00EC71D3"/>
    <w:rsid w:val="00ED02FE"/>
    <w:rsid w:val="00ED1EC9"/>
    <w:rsid w:val="00ED3737"/>
    <w:rsid w:val="00ED3856"/>
    <w:rsid w:val="00ED3E2E"/>
    <w:rsid w:val="00ED4CC8"/>
    <w:rsid w:val="00ED6A08"/>
    <w:rsid w:val="00ED7B13"/>
    <w:rsid w:val="00EE05EE"/>
    <w:rsid w:val="00EE0AE2"/>
    <w:rsid w:val="00EE35B4"/>
    <w:rsid w:val="00EE4DB8"/>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4284"/>
    <w:rsid w:val="00F26185"/>
    <w:rsid w:val="00F3178C"/>
    <w:rsid w:val="00F33DE5"/>
    <w:rsid w:val="00F34B8F"/>
    <w:rsid w:val="00F36D7F"/>
    <w:rsid w:val="00F37186"/>
    <w:rsid w:val="00F42FCF"/>
    <w:rsid w:val="00F435E6"/>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0FF6"/>
    <w:rsid w:val="00FC1FDF"/>
    <w:rsid w:val="00FC3360"/>
    <w:rsid w:val="00FC3E27"/>
    <w:rsid w:val="00FC493B"/>
    <w:rsid w:val="00FC63E5"/>
    <w:rsid w:val="00FD0E54"/>
    <w:rsid w:val="00FD2B71"/>
    <w:rsid w:val="00FD3576"/>
    <w:rsid w:val="00FD3FF6"/>
    <w:rsid w:val="00FD52D6"/>
    <w:rsid w:val="00FD56FC"/>
    <w:rsid w:val="00FD752B"/>
    <w:rsid w:val="00FD7C20"/>
    <w:rsid w:val="00FD7DD7"/>
    <w:rsid w:val="00FD7EB3"/>
    <w:rsid w:val="00FE032F"/>
    <w:rsid w:val="00FE033E"/>
    <w:rsid w:val="00FE0D2F"/>
    <w:rsid w:val="00FE31C6"/>
    <w:rsid w:val="00FE4539"/>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22424C00"/>
    <w:rsid w:val="5DF54D8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link w:val="15"/>
    <w:qFormat/>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字符"/>
    <w:link w:val="18"/>
    <w:qFormat/>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986</Words>
  <Characters>5626</Characters>
  <Lines>46</Lines>
  <Paragraphs>13</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2019-04-02T03:28:00Z</dcterms:created>
  <dc:creator>Lilly</dc:creator>
  <cp:lastModifiedBy>汪洋</cp:lastModifiedBy>
  <cp:lastPrinted>2021-05-31T07:08:00Z</cp:lastPrinted>
  <dcterms:modified xsi:type="dcterms:W3CDTF">2021-06-21T06:47:37Z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