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pPr>
      <w:bookmarkStart w:id="0" w:name="_Toc483227223"/>
      <w:bookmarkStart w:id="1" w:name="_Toc482717189"/>
      <w:bookmarkStart w:id="2" w:name="_Toc483400307"/>
      <w:bookmarkStart w:id="3" w:name="_Toc483666358"/>
      <w:bookmarkStart w:id="4" w:name="_Toc484532399"/>
    </w:p>
    <w:p>
      <w:pPr>
        <w:spacing w:after="158" w:afterLines="50" w:line="360" w:lineRule="auto"/>
        <w:jc w:val="center"/>
        <w:rPr>
          <w:b/>
          <w:szCs w:val="21"/>
          <w:lang w:eastAsia="zh-CN"/>
        </w:rPr>
      </w:pPr>
      <w:permStart w:id="0" w:edGrp="everyone"/>
      <w:r>
        <w:rPr>
          <w:b/>
          <w:sz w:val="28"/>
          <w:szCs w:val="28"/>
          <w:lang w:eastAsia="zh-CN"/>
        </w:rPr>
        <w:t>细菌类疫苗室钩端螺旋体原液车间暗视野显微镜</w:t>
      </w:r>
      <w:permEnd w:id="0"/>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158" w:afterLines="50" w:line="360" w:lineRule="auto"/>
        <w:jc w:val="both"/>
        <w:rPr>
          <w:b/>
          <w:i/>
          <w:szCs w:val="21"/>
          <w:lang w:eastAsia="zh-CN"/>
        </w:rPr>
      </w:pPr>
      <w:bookmarkStart w:id="5" w:name="OLE_LINK4"/>
      <w:permStart w:id="1" w:edGrp="everyone"/>
      <w:permEnd w:id="1"/>
    </w:p>
    <w:bookmarkEnd w:id="5"/>
    <w:p>
      <w:pPr>
        <w:pStyle w:val="31"/>
        <w:widowControl w:val="0"/>
        <w:spacing w:after="158" w:afterLines="50"/>
        <w:jc w:val="center"/>
        <w:rPr>
          <w:sz w:val="21"/>
          <w:szCs w:val="21"/>
          <w:lang w:val="zh-CN" w:eastAsia="zh-CN"/>
        </w:rPr>
      </w:pPr>
      <w:r>
        <w:rPr>
          <w:sz w:val="21"/>
          <w:szCs w:val="21"/>
          <w:lang w:val="zh-CN" w:eastAsia="zh-CN"/>
        </w:rPr>
        <w:t xml:space="preserve">目录 </w:t>
      </w:r>
    </w:p>
    <w:p>
      <w:pPr>
        <w:pStyle w:val="16"/>
        <w:rPr>
          <w:rFonts w:eastAsia="宋体"/>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"_Toc74299956" </w:instrText>
      </w:r>
      <w:r>
        <w:fldChar w:fldCharType="separate"/>
      </w:r>
      <w:r>
        <w:rPr>
          <w:rStyle w:val="21"/>
        </w:rPr>
        <w:t>1</w:t>
      </w:r>
      <w:r>
        <w:rPr>
          <w:rFonts w:eastAsia="宋体"/>
          <w:b w:val="0"/>
          <w:bCs w:val="0"/>
          <w:caps w:val="0"/>
          <w:szCs w:val="22"/>
        </w:rPr>
        <w:tab/>
      </w:r>
      <w:r>
        <w:rPr>
          <w:rStyle w:val="21"/>
        </w:rPr>
        <w:t>目的</w:t>
      </w:r>
      <w:r>
        <w:tab/>
      </w:r>
      <w:r>
        <w:fldChar w:fldCharType="begin"/>
      </w:r>
      <w:r>
        <w:instrText xml:space="preserve"> PAGEREF _Toc74299956 \h </w:instrText>
      </w:r>
      <w:r>
        <w:fldChar w:fldCharType="separate"/>
      </w:r>
      <w:r>
        <w:t>4</w:t>
      </w:r>
      <w:r>
        <w:fldChar w:fldCharType="end"/>
      </w:r>
      <w:r>
        <w:fldChar w:fldCharType="end"/>
      </w:r>
    </w:p>
    <w:p>
      <w:pPr>
        <w:pStyle w:val="16"/>
        <w:rPr>
          <w:rFonts w:eastAsia="宋体"/>
          <w:b w:val="0"/>
          <w:bCs w:val="0"/>
          <w:caps w:val="0"/>
          <w:szCs w:val="22"/>
        </w:rPr>
      </w:pPr>
      <w:r>
        <w:fldChar w:fldCharType="begin"/>
      </w:r>
      <w:r>
        <w:instrText xml:space="preserve">HYPERLINK  \l "_Toc74299957" </w:instrText>
      </w:r>
      <w:r>
        <w:fldChar w:fldCharType="separate"/>
      </w:r>
      <w:r>
        <w:rPr>
          <w:rStyle w:val="21"/>
        </w:rPr>
        <w:t>2</w:t>
      </w:r>
      <w:r>
        <w:rPr>
          <w:rFonts w:eastAsia="宋体"/>
          <w:b w:val="0"/>
          <w:bCs w:val="0"/>
          <w:caps w:val="0"/>
          <w:szCs w:val="22"/>
        </w:rPr>
        <w:tab/>
      </w:r>
      <w:r>
        <w:rPr>
          <w:rStyle w:val="21"/>
        </w:rPr>
        <w:t>范围</w:t>
      </w:r>
      <w:r>
        <w:tab/>
      </w:r>
      <w:r>
        <w:fldChar w:fldCharType="begin"/>
      </w:r>
      <w:r>
        <w:instrText xml:space="preserve"> PAGEREF _Toc74299957 \h </w:instrText>
      </w:r>
      <w:r>
        <w:fldChar w:fldCharType="separate"/>
      </w:r>
      <w:r>
        <w:t>4</w:t>
      </w:r>
      <w:r>
        <w:fldChar w:fldCharType="end"/>
      </w:r>
      <w:r>
        <w:fldChar w:fldCharType="end"/>
      </w:r>
    </w:p>
    <w:p>
      <w:pPr>
        <w:pStyle w:val="16"/>
        <w:rPr>
          <w:rFonts w:eastAsia="宋体"/>
          <w:b w:val="0"/>
          <w:bCs w:val="0"/>
          <w:caps w:val="0"/>
          <w:szCs w:val="22"/>
        </w:rPr>
      </w:pPr>
      <w:r>
        <w:fldChar w:fldCharType="begin"/>
      </w:r>
      <w:r>
        <w:instrText xml:space="preserve">HYPERLINK  \l "_Toc74299958" </w:instrText>
      </w:r>
      <w:r>
        <w:fldChar w:fldCharType="separate"/>
      </w:r>
      <w:r>
        <w:rPr>
          <w:rStyle w:val="21"/>
        </w:rPr>
        <w:t>3</w:t>
      </w:r>
      <w:r>
        <w:rPr>
          <w:rFonts w:eastAsia="宋体"/>
          <w:b w:val="0"/>
          <w:bCs w:val="0"/>
          <w:caps w:val="0"/>
          <w:szCs w:val="22"/>
        </w:rPr>
        <w:tab/>
      </w:r>
      <w:r>
        <w:rPr>
          <w:rStyle w:val="21"/>
        </w:rPr>
        <w:t>参考文件</w:t>
      </w:r>
      <w:r>
        <w:tab/>
      </w:r>
      <w:r>
        <w:fldChar w:fldCharType="begin"/>
      </w:r>
      <w:r>
        <w:instrText xml:space="preserve"> PAGEREF _Toc74299958 \h </w:instrText>
      </w:r>
      <w:r>
        <w:fldChar w:fldCharType="separate"/>
      </w:r>
      <w:r>
        <w:t>4</w:t>
      </w:r>
      <w:r>
        <w:fldChar w:fldCharType="end"/>
      </w:r>
      <w:r>
        <w:fldChar w:fldCharType="end"/>
      </w:r>
    </w:p>
    <w:p>
      <w:pPr>
        <w:pStyle w:val="16"/>
        <w:rPr>
          <w:rFonts w:eastAsia="宋体"/>
          <w:b w:val="0"/>
          <w:bCs w:val="0"/>
          <w:caps w:val="0"/>
          <w:szCs w:val="22"/>
        </w:rPr>
      </w:pPr>
      <w:r>
        <w:fldChar w:fldCharType="begin"/>
      </w:r>
      <w:r>
        <w:instrText xml:space="preserve">HYPERLINK  \l "_Toc74299959" </w:instrText>
      </w:r>
      <w:r>
        <w:fldChar w:fldCharType="separate"/>
      </w:r>
      <w:r>
        <w:rPr>
          <w:rStyle w:val="21"/>
        </w:rPr>
        <w:t>4</w:t>
      </w:r>
      <w:r>
        <w:rPr>
          <w:rFonts w:eastAsia="宋体"/>
          <w:b w:val="0"/>
          <w:bCs w:val="0"/>
          <w:caps w:val="0"/>
          <w:szCs w:val="22"/>
        </w:rPr>
        <w:tab/>
      </w:r>
      <w:r>
        <w:rPr>
          <w:rStyle w:val="21"/>
        </w:rPr>
        <w:t>职责</w:t>
      </w:r>
      <w:r>
        <w:tab/>
      </w:r>
      <w:r>
        <w:fldChar w:fldCharType="begin"/>
      </w:r>
      <w:r>
        <w:instrText xml:space="preserve"> PAGEREF _Toc74299959 \h </w:instrText>
      </w:r>
      <w:r>
        <w:fldChar w:fldCharType="separate"/>
      </w:r>
      <w:r>
        <w:t>4</w:t>
      </w:r>
      <w:r>
        <w:fldChar w:fldCharType="end"/>
      </w:r>
      <w:r>
        <w:fldChar w:fldCharType="end"/>
      </w:r>
    </w:p>
    <w:p>
      <w:pPr>
        <w:pStyle w:val="16"/>
        <w:rPr>
          <w:rFonts w:eastAsia="宋体"/>
          <w:b w:val="0"/>
          <w:bCs w:val="0"/>
          <w:caps w:val="0"/>
          <w:szCs w:val="22"/>
        </w:rPr>
      </w:pPr>
      <w:r>
        <w:fldChar w:fldCharType="begin"/>
      </w:r>
      <w:r>
        <w:instrText xml:space="preserve">HYPERLINK  \l "_Toc74299960" </w:instrText>
      </w:r>
      <w:r>
        <w:fldChar w:fldCharType="separate"/>
      </w:r>
      <w:r>
        <w:rPr>
          <w:rStyle w:val="21"/>
        </w:rPr>
        <w:t>5</w:t>
      </w:r>
      <w:r>
        <w:rPr>
          <w:rFonts w:eastAsia="宋体"/>
          <w:b w:val="0"/>
          <w:bCs w:val="0"/>
          <w:caps w:val="0"/>
          <w:szCs w:val="22"/>
        </w:rPr>
        <w:tab/>
      </w:r>
      <w:r>
        <w:rPr>
          <w:rStyle w:val="21"/>
        </w:rPr>
        <w:t>系统描述</w:t>
      </w:r>
      <w:r>
        <w:tab/>
      </w:r>
      <w:r>
        <w:fldChar w:fldCharType="begin"/>
      </w:r>
      <w:r>
        <w:instrText xml:space="preserve"> PAGEREF _Toc74299960 \h </w:instrText>
      </w:r>
      <w:r>
        <w:fldChar w:fldCharType="separate"/>
      </w:r>
      <w:r>
        <w:t>5</w:t>
      </w:r>
      <w:r>
        <w:fldChar w:fldCharType="end"/>
      </w:r>
      <w:r>
        <w:fldChar w:fldCharType="end"/>
      </w:r>
    </w:p>
    <w:p>
      <w:pPr>
        <w:pStyle w:val="16"/>
        <w:rPr>
          <w:rFonts w:eastAsia="宋体"/>
          <w:b w:val="0"/>
          <w:bCs w:val="0"/>
          <w:caps w:val="0"/>
          <w:szCs w:val="22"/>
        </w:rPr>
      </w:pPr>
      <w:r>
        <w:fldChar w:fldCharType="begin"/>
      </w:r>
      <w:r>
        <w:instrText xml:space="preserve">HYPERLINK  \l "_Toc74299961" </w:instrText>
      </w:r>
      <w:r>
        <w:fldChar w:fldCharType="separate"/>
      </w:r>
      <w:r>
        <w:rPr>
          <w:rStyle w:val="21"/>
        </w:rPr>
        <w:t>6</w:t>
      </w:r>
      <w:r>
        <w:rPr>
          <w:rFonts w:eastAsia="宋体"/>
          <w:b w:val="0"/>
          <w:bCs w:val="0"/>
          <w:caps w:val="0"/>
          <w:szCs w:val="22"/>
        </w:rPr>
        <w:tab/>
      </w:r>
      <w:r>
        <w:rPr>
          <w:rStyle w:val="21"/>
        </w:rPr>
        <w:t>安装要求</w:t>
      </w:r>
      <w:r>
        <w:tab/>
      </w:r>
      <w:r>
        <w:fldChar w:fldCharType="begin"/>
      </w:r>
      <w:r>
        <w:instrText xml:space="preserve"> PAGEREF _Toc74299961 \h </w:instrText>
      </w:r>
      <w:r>
        <w:fldChar w:fldCharType="separate"/>
      </w:r>
      <w:r>
        <w:t>5</w:t>
      </w:r>
      <w:r>
        <w:fldChar w:fldCharType="end"/>
      </w:r>
      <w:r>
        <w:fldChar w:fldCharType="end"/>
      </w:r>
    </w:p>
    <w:p>
      <w:pPr>
        <w:pStyle w:val="16"/>
        <w:rPr>
          <w:rFonts w:eastAsia="宋体"/>
          <w:b w:val="0"/>
          <w:bCs w:val="0"/>
          <w:caps w:val="0"/>
          <w:szCs w:val="22"/>
        </w:rPr>
      </w:pPr>
      <w:r>
        <w:fldChar w:fldCharType="begin"/>
      </w:r>
      <w:r>
        <w:instrText xml:space="preserve">HYPERLINK  \l "_Toc74299962" </w:instrText>
      </w:r>
      <w:r>
        <w:fldChar w:fldCharType="separate"/>
      </w:r>
      <w:r>
        <w:rPr>
          <w:rStyle w:val="21"/>
        </w:rPr>
        <w:t>7</w:t>
      </w:r>
      <w:r>
        <w:rPr>
          <w:rFonts w:eastAsia="宋体"/>
          <w:b w:val="0"/>
          <w:bCs w:val="0"/>
          <w:caps w:val="0"/>
          <w:szCs w:val="22"/>
        </w:rPr>
        <w:tab/>
      </w:r>
      <w:r>
        <w:rPr>
          <w:rStyle w:val="21"/>
        </w:rPr>
        <w:t>运行要求</w:t>
      </w:r>
      <w:r>
        <w:tab/>
      </w:r>
      <w:r>
        <w:fldChar w:fldCharType="begin"/>
      </w:r>
      <w:r>
        <w:instrText xml:space="preserve"> PAGEREF _Toc74299962 \h </w:instrText>
      </w:r>
      <w:r>
        <w:fldChar w:fldCharType="separate"/>
      </w:r>
      <w:r>
        <w:t>7</w:t>
      </w:r>
      <w:r>
        <w:fldChar w:fldCharType="end"/>
      </w:r>
      <w:r>
        <w:fldChar w:fldCharType="end"/>
      </w:r>
    </w:p>
    <w:p>
      <w:pPr>
        <w:pStyle w:val="16"/>
        <w:rPr>
          <w:rFonts w:eastAsia="宋体"/>
          <w:b w:val="0"/>
          <w:bCs w:val="0"/>
          <w:caps w:val="0"/>
          <w:szCs w:val="22"/>
        </w:rPr>
      </w:pPr>
      <w:r>
        <w:fldChar w:fldCharType="begin"/>
      </w:r>
      <w:r>
        <w:instrText xml:space="preserve">HYPERLINK  \l "_Toc74299963" </w:instrText>
      </w:r>
      <w:r>
        <w:fldChar w:fldCharType="separate"/>
      </w:r>
      <w:r>
        <w:rPr>
          <w:rStyle w:val="21"/>
        </w:rPr>
        <w:t>8</w:t>
      </w:r>
      <w:r>
        <w:rPr>
          <w:rFonts w:eastAsia="宋体"/>
          <w:b w:val="0"/>
          <w:bCs w:val="0"/>
          <w:caps w:val="0"/>
          <w:szCs w:val="22"/>
        </w:rPr>
        <w:tab/>
      </w:r>
      <w:r>
        <w:rPr>
          <w:rStyle w:val="21"/>
        </w:rPr>
        <w:t>电气、自动控制要求</w:t>
      </w:r>
      <w:r>
        <w:tab/>
      </w:r>
      <w:r>
        <w:fldChar w:fldCharType="begin"/>
      </w:r>
      <w:r>
        <w:instrText xml:space="preserve"> PAGEREF _Toc74299963 \h </w:instrText>
      </w:r>
      <w:r>
        <w:fldChar w:fldCharType="separate"/>
      </w:r>
      <w:r>
        <w:t>8</w:t>
      </w:r>
      <w:r>
        <w:fldChar w:fldCharType="end"/>
      </w:r>
      <w:r>
        <w:fldChar w:fldCharType="end"/>
      </w:r>
    </w:p>
    <w:p>
      <w:pPr>
        <w:pStyle w:val="16"/>
        <w:rPr>
          <w:rFonts w:eastAsia="宋体"/>
          <w:b w:val="0"/>
          <w:bCs w:val="0"/>
          <w:caps w:val="0"/>
          <w:szCs w:val="22"/>
        </w:rPr>
      </w:pPr>
      <w:r>
        <w:fldChar w:fldCharType="begin"/>
      </w:r>
      <w:r>
        <w:instrText xml:space="preserve">HYPERLINK  \l "_Toc74299964" </w:instrText>
      </w:r>
      <w:r>
        <w:fldChar w:fldCharType="separate"/>
      </w:r>
      <w:r>
        <w:rPr>
          <w:rStyle w:val="21"/>
        </w:rPr>
        <w:t>9</w:t>
      </w:r>
      <w:r>
        <w:rPr>
          <w:rFonts w:eastAsia="宋体"/>
          <w:b w:val="0"/>
          <w:bCs w:val="0"/>
          <w:caps w:val="0"/>
          <w:szCs w:val="22"/>
        </w:rPr>
        <w:tab/>
      </w:r>
      <w:r>
        <w:rPr>
          <w:rStyle w:val="21"/>
        </w:rPr>
        <w:t>安全要求</w:t>
      </w:r>
      <w:r>
        <w:tab/>
      </w:r>
      <w:r>
        <w:fldChar w:fldCharType="begin"/>
      </w:r>
      <w:r>
        <w:instrText xml:space="preserve"> PAGEREF _Toc74299964 \h </w:instrText>
      </w:r>
      <w:r>
        <w:fldChar w:fldCharType="separate"/>
      </w:r>
      <w:r>
        <w:t>9</w:t>
      </w:r>
      <w:r>
        <w:fldChar w:fldCharType="end"/>
      </w:r>
      <w:r>
        <w:fldChar w:fldCharType="end"/>
      </w:r>
    </w:p>
    <w:p>
      <w:pPr>
        <w:pStyle w:val="16"/>
        <w:rPr>
          <w:rFonts w:eastAsia="宋体"/>
          <w:b w:val="0"/>
          <w:bCs w:val="0"/>
          <w:caps w:val="0"/>
          <w:szCs w:val="22"/>
        </w:rPr>
      </w:pPr>
      <w:r>
        <w:fldChar w:fldCharType="begin"/>
      </w:r>
      <w:r>
        <w:instrText xml:space="preserve">HYPERLINK  \l "_Toc74299965" </w:instrText>
      </w:r>
      <w:r>
        <w:fldChar w:fldCharType="separate"/>
      </w:r>
      <w:r>
        <w:rPr>
          <w:rStyle w:val="21"/>
        </w:rPr>
        <w:t>10</w:t>
      </w:r>
      <w:r>
        <w:rPr>
          <w:rFonts w:eastAsia="宋体"/>
          <w:b w:val="0"/>
          <w:bCs w:val="0"/>
          <w:caps w:val="0"/>
          <w:szCs w:val="22"/>
        </w:rPr>
        <w:tab/>
      </w:r>
      <w:r>
        <w:rPr>
          <w:rStyle w:val="21"/>
        </w:rPr>
        <w:t>文件要求</w:t>
      </w:r>
      <w:r>
        <w:tab/>
      </w:r>
      <w:r>
        <w:fldChar w:fldCharType="begin"/>
      </w:r>
      <w:r>
        <w:instrText xml:space="preserve"> PAGEREF _Toc74299965 \h </w:instrText>
      </w:r>
      <w:r>
        <w:fldChar w:fldCharType="separate"/>
      </w:r>
      <w:r>
        <w:t>9</w:t>
      </w:r>
      <w:r>
        <w:fldChar w:fldCharType="end"/>
      </w:r>
      <w:r>
        <w:fldChar w:fldCharType="end"/>
      </w:r>
    </w:p>
    <w:p>
      <w:pPr>
        <w:pStyle w:val="16"/>
        <w:rPr>
          <w:rFonts w:eastAsia="宋体"/>
          <w:b w:val="0"/>
          <w:bCs w:val="0"/>
          <w:caps w:val="0"/>
          <w:szCs w:val="22"/>
        </w:rPr>
      </w:pPr>
      <w:r>
        <w:fldChar w:fldCharType="begin"/>
      </w:r>
      <w:r>
        <w:instrText xml:space="preserve">HYPERLINK  \l "_Toc74299966" </w:instrText>
      </w:r>
      <w:r>
        <w:fldChar w:fldCharType="separate"/>
      </w:r>
      <w:r>
        <w:rPr>
          <w:rStyle w:val="21"/>
        </w:rPr>
        <w:t>11</w:t>
      </w:r>
      <w:r>
        <w:rPr>
          <w:rFonts w:eastAsia="宋体"/>
          <w:b w:val="0"/>
          <w:bCs w:val="0"/>
          <w:caps w:val="0"/>
          <w:szCs w:val="22"/>
        </w:rPr>
        <w:tab/>
      </w:r>
      <w:r>
        <w:rPr>
          <w:rStyle w:val="21"/>
        </w:rPr>
        <w:t>服务要求</w:t>
      </w:r>
      <w:r>
        <w:tab/>
      </w:r>
      <w:r>
        <w:fldChar w:fldCharType="begin"/>
      </w:r>
      <w:r>
        <w:instrText xml:space="preserve"> PAGEREF _Toc74299966 \h </w:instrText>
      </w:r>
      <w:r>
        <w:fldChar w:fldCharType="separate"/>
      </w:r>
      <w:r>
        <w:t>10</w:t>
      </w:r>
      <w:r>
        <w:fldChar w:fldCharType="end"/>
      </w:r>
      <w:r>
        <w:fldChar w:fldCharType="end"/>
      </w:r>
    </w:p>
    <w:p>
      <w:pPr>
        <w:spacing w:line="360" w:lineRule="auto"/>
      </w:pPr>
      <w:r>
        <w:fldChar w:fldCharType="end"/>
      </w:r>
      <w:permEnd w:id="2"/>
    </w:p>
    <w:p>
      <w:pPr>
        <w:spacing w:line="360" w:lineRule="auto"/>
        <w:rPr>
          <w:b/>
          <w:bCs/>
          <w:caps/>
          <w:kern w:val="2"/>
          <w:szCs w:val="21"/>
          <w:lang w:eastAsia="zh-CN"/>
        </w:rPr>
      </w:pPr>
      <w:r>
        <w:rPr>
          <w:b/>
          <w:bCs/>
          <w:caps/>
          <w:kern w:val="2"/>
          <w:szCs w:val="21"/>
          <w:lang w:eastAsia="zh-CN"/>
        </w:rPr>
        <w:br w:type="page"/>
      </w:r>
    </w:p>
    <w:p>
      <w:pPr>
        <w:pStyle w:val="34"/>
        <w:numPr>
          <w:ilvl w:val="0"/>
          <w:numId w:val="3"/>
        </w:numPr>
        <w:spacing w:after="158" w:afterLines="50" w:line="360" w:lineRule="auto"/>
        <w:ind w:left="426" w:hanging="426" w:hangingChars="202"/>
        <w:outlineLvl w:val="0"/>
        <w:rPr>
          <w:rFonts w:ascii="Times New Roman" w:hAnsi="Times New Roman"/>
          <w:b/>
        </w:rPr>
      </w:pPr>
      <w:bookmarkStart w:id="6" w:name="_Toc522107735"/>
      <w:bookmarkStart w:id="7" w:name="_Toc74299956"/>
      <w:r>
        <w:rPr>
          <w:rFonts w:ascii="Times New Roman" w:hAnsi="Times New Roman"/>
          <w:b/>
        </w:rPr>
        <w:t>目的</w:t>
      </w:r>
      <w:bookmarkEnd w:id="6"/>
      <w:bookmarkEnd w:id="7"/>
    </w:p>
    <w:p>
      <w:pPr>
        <w:pStyle w:val="36"/>
        <w:spacing w:before="0" w:line="360" w:lineRule="auto"/>
        <w:ind w:left="357"/>
        <w:jc w:val="left"/>
        <w:rPr>
          <w:szCs w:val="21"/>
          <w:lang w:eastAsia="zh-CN"/>
        </w:rPr>
      </w:pPr>
      <w:bookmarkStart w:id="8" w:name="_Toc482370061"/>
      <w:bookmarkStart w:id="9" w:name="_Toc482369805"/>
      <w:bookmarkStart w:id="10" w:name="_Toc482359936"/>
      <w:bookmarkStart w:id="11" w:name="_Toc482360281"/>
      <w:bookmarkStart w:id="12" w:name="_Toc481702475"/>
      <w:bookmarkStart w:id="13" w:name="_Toc482625279"/>
      <w:bookmarkStart w:id="14" w:name="_Toc482370757"/>
      <w:bookmarkStart w:id="15" w:name="_Toc482370349"/>
      <w:bookmarkStart w:id="16" w:name="_Toc482370141"/>
      <w:r>
        <w:rPr>
          <w:szCs w:val="21"/>
          <w:lang w:eastAsia="zh-CN"/>
        </w:rPr>
        <w:t>本文件的目的是描述武汉生物制品研究所有限责任公司</w:t>
      </w:r>
      <w:permStart w:id="3" w:edGrp="everyone"/>
      <w:r>
        <w:rPr>
          <w:iCs/>
          <w:szCs w:val="21"/>
          <w:lang w:eastAsia="zh-CN"/>
        </w:rPr>
        <w:t>细菌类疫苗室钩端螺旋体原液车间暗视野显微镜</w:t>
      </w:r>
      <w:permEnd w:id="3"/>
      <w:r>
        <w:rPr>
          <w:szCs w:val="21"/>
          <w:lang w:eastAsia="zh-CN"/>
        </w:rPr>
        <w:t>的用户需求说明（URS），以确保最终用户的需求在项目设计阶段得以实现，并作为后续验证工作的基础。</w:t>
      </w:r>
    </w:p>
    <w:p>
      <w:pPr>
        <w:pStyle w:val="36"/>
        <w:spacing w:before="0" w:line="360" w:lineRule="auto"/>
        <w:ind w:left="360"/>
        <w:rPr>
          <w:szCs w:val="21"/>
          <w:lang w:eastAsia="zh-CN"/>
        </w:rPr>
      </w:pPr>
    </w:p>
    <w:p>
      <w:pPr>
        <w:pStyle w:val="34"/>
        <w:numPr>
          <w:ilvl w:val="0"/>
          <w:numId w:val="3"/>
        </w:numPr>
        <w:spacing w:after="158" w:afterLines="50" w:line="360" w:lineRule="auto"/>
        <w:ind w:left="426" w:hanging="426" w:hangingChars="202"/>
        <w:outlineLvl w:val="0"/>
        <w:rPr>
          <w:rFonts w:ascii="Times New Roman" w:hAnsi="Times New Roman"/>
          <w:b/>
        </w:rPr>
      </w:pPr>
      <w:bookmarkStart w:id="17" w:name="_Toc74299957"/>
      <w:bookmarkStart w:id="18" w:name="_Toc522107736"/>
      <w:r>
        <w:rPr>
          <w:rFonts w:ascii="Times New Roman" w:hAnsi="Times New Roman"/>
          <w:b/>
        </w:rPr>
        <w:t>范围</w:t>
      </w:r>
      <w:bookmarkEnd w:id="17"/>
      <w:bookmarkEnd w:id="18"/>
    </w:p>
    <w:p>
      <w:pPr>
        <w:pStyle w:val="36"/>
        <w:spacing w:before="0" w:line="360" w:lineRule="auto"/>
        <w:ind w:left="357"/>
        <w:jc w:val="left"/>
        <w:rPr>
          <w:szCs w:val="21"/>
          <w:lang w:eastAsia="zh-CN"/>
        </w:rPr>
      </w:pPr>
      <w:r>
        <w:rPr>
          <w:szCs w:val="21"/>
          <w:lang w:eastAsia="zh-CN"/>
        </w:rPr>
        <w:t>本URS适用于武汉生物制品研究所有限责任公司</w:t>
      </w:r>
      <w:permStart w:id="4" w:edGrp="everyone"/>
      <w:r>
        <w:rPr>
          <w:iCs/>
          <w:szCs w:val="21"/>
          <w:lang w:eastAsia="zh-CN"/>
        </w:rPr>
        <w:t>细菌类疫苗室钩端螺旋体原液车间暗视野显微镜的购买</w:t>
      </w:r>
      <w:permEnd w:id="4"/>
      <w:r>
        <w:rPr>
          <w:szCs w:val="21"/>
          <w:lang w:eastAsia="zh-CN"/>
        </w:rPr>
        <w:t>。</w:t>
      </w:r>
      <w:bookmarkEnd w:id="8"/>
      <w:bookmarkEnd w:id="9"/>
      <w:bookmarkEnd w:id="10"/>
      <w:bookmarkEnd w:id="11"/>
      <w:bookmarkEnd w:id="12"/>
      <w:bookmarkEnd w:id="13"/>
      <w:bookmarkEnd w:id="14"/>
      <w:bookmarkEnd w:id="15"/>
      <w:bookmarkEnd w:id="16"/>
    </w:p>
    <w:p>
      <w:pPr>
        <w:pStyle w:val="36"/>
        <w:spacing w:before="0" w:line="360" w:lineRule="auto"/>
        <w:ind w:left="357"/>
        <w:jc w:val="left"/>
        <w:rPr>
          <w:szCs w:val="21"/>
          <w:lang w:eastAsia="zh-CN"/>
        </w:rPr>
      </w:pPr>
    </w:p>
    <w:p>
      <w:pPr>
        <w:pStyle w:val="34"/>
        <w:numPr>
          <w:ilvl w:val="0"/>
          <w:numId w:val="3"/>
        </w:numPr>
        <w:spacing w:after="158" w:afterLines="50" w:line="360" w:lineRule="auto"/>
        <w:ind w:left="426" w:hanging="426" w:hangingChars="202"/>
        <w:outlineLvl w:val="0"/>
        <w:rPr>
          <w:rFonts w:ascii="Times New Roman" w:hAnsi="Times New Roman"/>
          <w:b/>
        </w:rPr>
      </w:pPr>
      <w:bookmarkStart w:id="19" w:name="_Toc522107737"/>
      <w:bookmarkStart w:id="20" w:name="_Toc74299958"/>
      <w:r>
        <w:rPr>
          <w:rFonts w:ascii="Times New Roman" w:hAnsi="Times New Roman"/>
          <w:b/>
        </w:rPr>
        <w:t>参考文件</w:t>
      </w:r>
      <w:bookmarkEnd w:id="19"/>
      <w:bookmarkEnd w:id="20"/>
    </w:p>
    <w:p>
      <w:pPr>
        <w:pStyle w:val="36"/>
        <w:numPr>
          <w:ilvl w:val="0"/>
          <w:numId w:val="4"/>
        </w:numPr>
        <w:spacing w:before="0" w:line="360" w:lineRule="auto"/>
        <w:jc w:val="left"/>
        <w:rPr>
          <w:szCs w:val="21"/>
          <w:lang w:eastAsia="zh-CN"/>
        </w:rPr>
      </w:pPr>
      <w:r>
        <w:rPr>
          <w:szCs w:val="21"/>
          <w:lang w:eastAsia="zh-CN"/>
        </w:rPr>
        <w:t>GMP法规指南和SOP</w:t>
      </w:r>
    </w:p>
    <w:p>
      <w:pPr>
        <w:pStyle w:val="36"/>
        <w:numPr>
          <w:ilvl w:val="0"/>
          <w:numId w:val="5"/>
        </w:numPr>
        <w:spacing w:before="0" w:line="360" w:lineRule="auto"/>
        <w:ind w:left="777"/>
        <w:jc w:val="left"/>
        <w:rPr>
          <w:szCs w:val="21"/>
          <w:lang w:eastAsia="zh-CN"/>
        </w:rPr>
      </w:pPr>
      <w:r>
        <w:rPr>
          <w:szCs w:val="21"/>
          <w:lang w:eastAsia="zh-CN"/>
        </w:rPr>
        <w:t>SOP-06-12-0005 用户需求编写审批SOP</w:t>
      </w:r>
    </w:p>
    <w:p>
      <w:pPr>
        <w:pStyle w:val="36"/>
        <w:numPr>
          <w:ilvl w:val="0"/>
          <w:numId w:val="5"/>
        </w:numPr>
        <w:spacing w:before="0" w:line="360" w:lineRule="auto"/>
        <w:ind w:left="777"/>
        <w:jc w:val="left"/>
        <w:rPr>
          <w:szCs w:val="24"/>
          <w:lang w:eastAsia="zh-CN"/>
        </w:rPr>
      </w:pPr>
      <w:permStart w:id="5" w:edGrp="everyone"/>
      <w:r>
        <w:rPr>
          <w:szCs w:val="24"/>
          <w:lang w:eastAsia="zh-CN"/>
        </w:rPr>
        <w:t>中国药典 2020年版</w:t>
      </w:r>
    </w:p>
    <w:p>
      <w:pPr>
        <w:pStyle w:val="36"/>
        <w:numPr>
          <w:ilvl w:val="0"/>
          <w:numId w:val="5"/>
        </w:numPr>
        <w:spacing w:before="0" w:line="360" w:lineRule="auto"/>
        <w:ind w:left="777"/>
        <w:jc w:val="left"/>
        <w:rPr>
          <w:szCs w:val="24"/>
          <w:lang w:eastAsia="zh-CN"/>
        </w:rPr>
      </w:pPr>
      <w:r>
        <w:rPr>
          <w:rFonts w:hAnsi="宋体"/>
          <w:szCs w:val="24"/>
          <w:lang w:eastAsia="zh-CN"/>
        </w:rPr>
        <w:t>《药品生产质量管理规范》（</w:t>
      </w:r>
      <w:r>
        <w:rPr>
          <w:szCs w:val="24"/>
          <w:lang w:eastAsia="zh-CN"/>
        </w:rPr>
        <w:t>2010</w:t>
      </w:r>
      <w:r>
        <w:rPr>
          <w:rFonts w:hAnsi="宋体"/>
          <w:szCs w:val="24"/>
          <w:lang w:eastAsia="zh-CN"/>
        </w:rPr>
        <w:t>年修订版）及附录</w:t>
      </w:r>
    </w:p>
    <w:p>
      <w:pPr>
        <w:pStyle w:val="36"/>
        <w:numPr>
          <w:ilvl w:val="0"/>
          <w:numId w:val="5"/>
        </w:numPr>
        <w:spacing w:before="0" w:line="360" w:lineRule="auto"/>
        <w:ind w:left="777"/>
        <w:jc w:val="left"/>
        <w:rPr>
          <w:szCs w:val="24"/>
          <w:lang w:eastAsia="zh-CN"/>
        </w:rPr>
      </w:pPr>
      <w:r>
        <w:rPr>
          <w:rFonts w:hAnsi="宋体"/>
          <w:szCs w:val="24"/>
          <w:lang w:eastAsia="zh-CN"/>
        </w:rPr>
        <w:t>《药品</w:t>
      </w:r>
      <w:r>
        <w:rPr>
          <w:szCs w:val="24"/>
          <w:lang w:eastAsia="zh-CN"/>
        </w:rPr>
        <w:t>GMP</w:t>
      </w:r>
      <w:r>
        <w:rPr>
          <w:rFonts w:hAnsi="宋体"/>
          <w:szCs w:val="24"/>
          <w:lang w:eastAsia="zh-CN"/>
        </w:rPr>
        <w:t>指南》无菌药品（</w:t>
      </w:r>
      <w:r>
        <w:rPr>
          <w:szCs w:val="24"/>
          <w:lang w:eastAsia="zh-CN"/>
        </w:rPr>
        <w:t>2011版）</w:t>
      </w:r>
    </w:p>
    <w:p>
      <w:pPr>
        <w:pStyle w:val="36"/>
        <w:numPr>
          <w:ilvl w:val="0"/>
          <w:numId w:val="5"/>
        </w:numPr>
        <w:spacing w:before="0" w:line="360" w:lineRule="auto"/>
        <w:ind w:left="777"/>
        <w:jc w:val="left"/>
        <w:rPr>
          <w:szCs w:val="24"/>
          <w:lang w:eastAsia="zh-CN"/>
        </w:rPr>
      </w:pPr>
      <w:r>
        <w:rPr>
          <w:szCs w:val="24"/>
          <w:lang w:eastAsia="zh-CN"/>
        </w:rPr>
        <w:t>GMP附件1《确认与验证》（2015版</w:t>
      </w:r>
      <w:r>
        <w:rPr>
          <w:rFonts w:hAnsi="宋体"/>
          <w:szCs w:val="24"/>
          <w:lang w:eastAsia="zh-CN"/>
        </w:rPr>
        <w:t>）</w:t>
      </w:r>
    </w:p>
    <w:p>
      <w:pPr>
        <w:pStyle w:val="36"/>
        <w:numPr>
          <w:ilvl w:val="0"/>
          <w:numId w:val="5"/>
        </w:numPr>
        <w:spacing w:before="0" w:line="360" w:lineRule="auto"/>
        <w:ind w:left="777"/>
        <w:jc w:val="left"/>
        <w:rPr>
          <w:szCs w:val="24"/>
          <w:lang w:eastAsia="zh-CN"/>
        </w:rPr>
      </w:pPr>
      <w:r>
        <w:rPr>
          <w:szCs w:val="24"/>
          <w:lang w:eastAsia="zh-CN"/>
        </w:rPr>
        <w:t>GAMP5</w:t>
      </w:r>
    </w:p>
    <w:permEnd w:id="5"/>
    <w:p>
      <w:pPr>
        <w:pStyle w:val="36"/>
        <w:numPr>
          <w:ilvl w:val="0"/>
          <w:numId w:val="4"/>
        </w:numPr>
        <w:spacing w:before="0" w:line="360" w:lineRule="auto"/>
        <w:jc w:val="left"/>
        <w:rPr>
          <w:szCs w:val="21"/>
          <w:lang w:eastAsia="zh-CN"/>
        </w:rPr>
      </w:pPr>
      <w:r>
        <w:rPr>
          <w:szCs w:val="21"/>
          <w:lang w:eastAsia="zh-CN"/>
        </w:rPr>
        <w:t>安全及环保法规指南</w:t>
      </w:r>
    </w:p>
    <w:p>
      <w:pPr>
        <w:pStyle w:val="36"/>
        <w:numPr>
          <w:ilvl w:val="0"/>
          <w:numId w:val="5"/>
        </w:numPr>
        <w:spacing w:before="0" w:line="360" w:lineRule="auto"/>
        <w:ind w:left="777"/>
        <w:jc w:val="left"/>
        <w:rPr>
          <w:sz w:val="21"/>
          <w:szCs w:val="21"/>
          <w:lang w:eastAsia="zh-CN"/>
        </w:rPr>
      </w:pPr>
      <w:permStart w:id="6" w:edGrp="everyone"/>
      <w:r>
        <w:rPr>
          <w:szCs w:val="24"/>
          <w:lang w:eastAsia="zh-CN"/>
        </w:rPr>
        <w:t>电气安全应符合GB4793.1和GB4793.4的要求</w:t>
      </w:r>
      <w:r>
        <w:rPr>
          <w:sz w:val="21"/>
          <w:szCs w:val="21"/>
          <w:lang w:eastAsia="zh-CN"/>
        </w:rPr>
        <w:t>。</w:t>
      </w:r>
    </w:p>
    <w:permEnd w:id="6"/>
    <w:p>
      <w:pPr>
        <w:pStyle w:val="36"/>
        <w:spacing w:before="0" w:line="360" w:lineRule="auto"/>
        <w:ind w:left="357"/>
        <w:jc w:val="left"/>
        <w:rPr>
          <w:i/>
          <w:szCs w:val="21"/>
          <w:lang w:eastAsia="zh-CN"/>
        </w:rPr>
      </w:pPr>
    </w:p>
    <w:p>
      <w:pPr>
        <w:pStyle w:val="34"/>
        <w:numPr>
          <w:ilvl w:val="0"/>
          <w:numId w:val="3"/>
        </w:numPr>
        <w:spacing w:after="158" w:afterLines="50" w:line="360" w:lineRule="auto"/>
        <w:ind w:left="426" w:hanging="426" w:hangingChars="202"/>
        <w:outlineLvl w:val="0"/>
        <w:rPr>
          <w:rFonts w:ascii="Times New Roman" w:hAnsi="Times New Roman"/>
          <w:b/>
        </w:rPr>
      </w:pPr>
      <w:bookmarkStart w:id="21" w:name="_Toc522107739"/>
      <w:bookmarkStart w:id="22" w:name="_Toc74299960"/>
      <w:permStart w:id="7" w:edGrp="everyone"/>
      <w:permEnd w:id="7"/>
      <w:r>
        <w:rPr>
          <w:rFonts w:ascii="Times New Roman" w:hAnsi="Times New Roman"/>
          <w:b/>
        </w:rPr>
        <w:t>系统描述</w:t>
      </w:r>
      <w:bookmarkEnd w:id="21"/>
      <w:bookmarkEnd w:id="22"/>
    </w:p>
    <w:p>
      <w:pPr>
        <w:pStyle w:val="36"/>
        <w:spacing w:before="0" w:line="360" w:lineRule="auto"/>
        <w:ind w:left="357"/>
        <w:jc w:val="left"/>
        <w:rPr>
          <w:i/>
          <w:szCs w:val="21"/>
          <w:lang w:eastAsia="zh-CN"/>
        </w:rPr>
      </w:pPr>
      <w:permStart w:id="8" w:edGrp="everyone"/>
      <w:r>
        <w:rPr>
          <w:color w:val="505050"/>
          <w:szCs w:val="24"/>
          <w:lang w:eastAsia="zh-CN"/>
        </w:rPr>
        <w:t>菌苗楼钩端螺旋体原液车间需要购买一台带成像储存功能的暗视野显微镜，主要用于钩端螺旋体形态和菌数观察及血清学等实验</w:t>
      </w:r>
      <w:r>
        <w:rPr>
          <w:color w:val="505050"/>
          <w:sz w:val="21"/>
          <w:szCs w:val="21"/>
          <w:lang w:eastAsia="zh-CN"/>
        </w:rPr>
        <w:t>。</w:t>
      </w:r>
      <w:permEnd w:id="8"/>
    </w:p>
    <w:p>
      <w:pPr>
        <w:pStyle w:val="34"/>
        <w:numPr>
          <w:ilvl w:val="0"/>
          <w:numId w:val="3"/>
        </w:numPr>
        <w:spacing w:after="158" w:afterLines="50" w:line="360" w:lineRule="auto"/>
        <w:ind w:left="426" w:hanging="426" w:hangingChars="202"/>
        <w:outlineLvl w:val="0"/>
        <w:rPr>
          <w:rFonts w:ascii="Times New Roman" w:hAnsi="Times New Roman"/>
          <w:b/>
          <w:szCs w:val="21"/>
        </w:rPr>
      </w:pPr>
      <w:bookmarkStart w:id="23" w:name="_Toc74299961"/>
      <w:r>
        <w:rPr>
          <w:rFonts w:ascii="Times New Roman" w:hAnsi="Times New Roman"/>
          <w:b/>
          <w:szCs w:val="21"/>
        </w:rPr>
        <w:t>安装要求</w:t>
      </w:r>
      <w:bookmarkEnd w:id="23"/>
    </w:p>
    <w:p>
      <w:pPr>
        <w:pStyle w:val="34"/>
        <w:spacing w:after="158" w:afterLines="50" w:line="360" w:lineRule="auto"/>
        <w:ind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10"/>
        <w:gridCol w:w="1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spacing w:line="360" w:lineRule="auto"/>
              <w:jc w:val="center"/>
              <w:rPr>
                <w:b/>
                <w:szCs w:val="21"/>
              </w:rPr>
            </w:pPr>
            <w:bookmarkStart w:id="24" w:name="OLE_LINK1"/>
            <w:bookmarkStart w:id="25" w:name="OLE_LINK2"/>
            <w:r>
              <w:rPr>
                <w:b/>
                <w:szCs w:val="21"/>
              </w:rPr>
              <w:t>编号</w:t>
            </w:r>
          </w:p>
        </w:tc>
        <w:tc>
          <w:tcPr>
            <w:tcW w:w="7128" w:type="dxa"/>
            <w:gridSpan w:val="2"/>
            <w:shd w:val="clear" w:color="auto" w:fill="D9D9D9"/>
            <w:vAlign w:val="center"/>
          </w:tcPr>
          <w:p>
            <w:pPr>
              <w:spacing w:line="360" w:lineRule="auto"/>
              <w:jc w:val="center"/>
              <w:rPr>
                <w:b/>
                <w:szCs w:val="21"/>
                <w:lang w:eastAsia="zh-CN"/>
              </w:rPr>
            </w:pPr>
            <w:r>
              <w:rPr>
                <w:b/>
                <w:szCs w:val="21"/>
                <w:lang w:eastAsia="zh-CN"/>
              </w:rPr>
              <w:t>需求</w:t>
            </w:r>
          </w:p>
        </w:tc>
        <w:tc>
          <w:tcPr>
            <w:tcW w:w="2125"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spacing w:line="360" w:lineRule="auto"/>
              <w:ind w:firstLineChars="0"/>
              <w:rPr>
                <w:rFonts w:ascii="Times New Roman" w:hAnsi="Times New Roman"/>
                <w:szCs w:val="21"/>
              </w:rPr>
            </w:pPr>
          </w:p>
        </w:tc>
        <w:tc>
          <w:tcPr>
            <w:tcW w:w="9253" w:type="dxa"/>
            <w:gridSpan w:val="3"/>
            <w:shd w:val="clear" w:color="auto" w:fill="D9D9D9"/>
            <w:vAlign w:val="center"/>
          </w:tcPr>
          <w:p>
            <w:pPr>
              <w:spacing w:line="360" w:lineRule="auto"/>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10" w:edGrp="everyone"/>
          </w:p>
        </w:tc>
        <w:tc>
          <w:tcPr>
            <w:tcW w:w="7128" w:type="dxa"/>
            <w:gridSpan w:val="2"/>
            <w:vAlign w:val="center"/>
          </w:tcPr>
          <w:p>
            <w:pPr>
              <w:spacing w:line="360" w:lineRule="auto"/>
              <w:jc w:val="both"/>
              <w:rPr>
                <w:i/>
                <w:szCs w:val="21"/>
                <w:lang w:eastAsia="zh-CN"/>
              </w:rPr>
            </w:pPr>
            <w:r>
              <w:rPr>
                <w:rFonts w:hAnsi="宋体"/>
                <w:lang w:eastAsia="zh-CN"/>
              </w:rPr>
              <w:t>暗视野显微镜需安装在钩端螺旋体原液车间</w:t>
            </w:r>
            <w:r>
              <w:rPr>
                <w:lang w:eastAsia="zh-CN"/>
              </w:rPr>
              <w:t>C</w:t>
            </w:r>
            <w:r>
              <w:rPr>
                <w:rFonts w:hAnsi="宋体"/>
                <w:lang w:eastAsia="zh-CN"/>
              </w:rPr>
              <w:t>级区域菌种间。</w:t>
            </w:r>
          </w:p>
        </w:tc>
        <w:tc>
          <w:tcPr>
            <w:tcW w:w="2125" w:type="dxa"/>
            <w:vAlign w:val="center"/>
          </w:tcPr>
          <w:p>
            <w:pPr>
              <w:spacing w:line="360" w:lineRule="auto"/>
              <w:jc w:val="both"/>
              <w:rPr>
                <w:i/>
                <w:szCs w:val="21"/>
                <w:lang w:eastAsia="zh-CN"/>
              </w:rPr>
            </w:pPr>
            <w:r>
              <w:rPr>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spacing w:line="360" w:lineRule="auto"/>
              <w:ind w:firstLineChars="0"/>
              <w:rPr>
                <w:rFonts w:ascii="Times New Roman" w:hAnsi="Times New Roman"/>
                <w:szCs w:val="21"/>
              </w:rPr>
            </w:pPr>
          </w:p>
        </w:tc>
        <w:tc>
          <w:tcPr>
            <w:tcW w:w="9253" w:type="dxa"/>
            <w:gridSpan w:val="3"/>
            <w:shd w:val="clear" w:color="auto" w:fill="D9D9D9"/>
            <w:vAlign w:val="center"/>
          </w:tcPr>
          <w:p>
            <w:pPr>
              <w:spacing w:line="360" w:lineRule="auto"/>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11" w:edGrp="everyone"/>
          </w:p>
        </w:tc>
        <w:tc>
          <w:tcPr>
            <w:tcW w:w="7128" w:type="dxa"/>
            <w:gridSpan w:val="2"/>
            <w:vAlign w:val="center"/>
          </w:tcPr>
          <w:p>
            <w:pPr>
              <w:spacing w:line="360" w:lineRule="auto"/>
              <w:jc w:val="both"/>
              <w:rPr>
                <w:i/>
                <w:szCs w:val="21"/>
                <w:lang w:eastAsia="zh-CN"/>
              </w:rPr>
            </w:pPr>
            <w:r>
              <w:rPr>
                <w:rFonts w:hAnsi="宋体"/>
                <w:lang w:eastAsia="zh-CN"/>
              </w:rPr>
              <w:t>暗视野显微镜尺寸外形必须根据房间的空间布局来选择，长</w:t>
            </w:r>
            <w:r>
              <w:rPr>
                <w:lang w:eastAsia="zh-CN"/>
              </w:rPr>
              <w:t>≤70cm</w:t>
            </w:r>
            <w:r>
              <w:rPr>
                <w:rFonts w:hAnsi="宋体"/>
                <w:lang w:eastAsia="zh-CN"/>
              </w:rPr>
              <w:t>，宽</w:t>
            </w:r>
            <w:r>
              <w:rPr>
                <w:lang w:eastAsia="zh-CN"/>
              </w:rPr>
              <w:t>≤60cm</w:t>
            </w:r>
            <w:r>
              <w:rPr>
                <w:rFonts w:hAnsi="宋体"/>
                <w:lang w:eastAsia="zh-CN"/>
              </w:rPr>
              <w:t>，高</w:t>
            </w:r>
            <w:r>
              <w:rPr>
                <w:lang w:eastAsia="zh-CN"/>
              </w:rPr>
              <w:t>≤80cm</w:t>
            </w:r>
            <w:r>
              <w:rPr>
                <w:rFonts w:hAnsi="宋体"/>
                <w:lang w:eastAsia="zh-CN"/>
              </w:rPr>
              <w:t>。</w:t>
            </w:r>
          </w:p>
        </w:tc>
        <w:tc>
          <w:tcPr>
            <w:tcW w:w="2125" w:type="dxa"/>
            <w:vAlign w:val="center"/>
          </w:tcPr>
          <w:p>
            <w:pPr>
              <w:spacing w:line="360" w:lineRule="auto"/>
              <w:jc w:val="both"/>
              <w:rPr>
                <w:szCs w:val="21"/>
                <w:lang w:val="en-US" w:eastAsia="zh-CN"/>
              </w:rPr>
            </w:pPr>
            <w:r>
              <w:rPr>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12" w:edGrp="everyone"/>
          </w:p>
        </w:tc>
        <w:tc>
          <w:tcPr>
            <w:tcW w:w="7128" w:type="dxa"/>
            <w:gridSpan w:val="2"/>
            <w:vAlign w:val="center"/>
          </w:tcPr>
          <w:p>
            <w:pPr>
              <w:spacing w:line="360" w:lineRule="auto"/>
              <w:jc w:val="both"/>
              <w:rPr>
                <w:szCs w:val="21"/>
                <w:lang w:val="en-US" w:eastAsia="zh-CN"/>
              </w:rPr>
            </w:pPr>
            <w:r>
              <w:rPr>
                <w:szCs w:val="21"/>
                <w:lang w:eastAsia="zh-CN"/>
              </w:rPr>
              <w:t>暗视野显微镜的形式尺寸应符合制造商说明书及技术文件规定的要求。</w:t>
            </w:r>
          </w:p>
        </w:tc>
        <w:tc>
          <w:tcPr>
            <w:tcW w:w="2125" w:type="dxa"/>
            <w:vAlign w:val="center"/>
          </w:tcPr>
          <w:p>
            <w:pPr>
              <w:spacing w:line="360" w:lineRule="auto"/>
              <w:jc w:val="both"/>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28" w:type="dxa"/>
            <w:gridSpan w:val="2"/>
            <w:vAlign w:val="center"/>
          </w:tcPr>
          <w:p>
            <w:pPr>
              <w:spacing w:line="360" w:lineRule="auto"/>
              <w:jc w:val="both"/>
              <w:rPr>
                <w:szCs w:val="21"/>
                <w:lang w:eastAsia="zh-CN"/>
              </w:rPr>
            </w:pPr>
            <w:r>
              <w:rPr>
                <w:rFonts w:hAnsi="宋体"/>
                <w:szCs w:val="21"/>
                <w:lang w:eastAsia="zh-CN"/>
              </w:rPr>
              <w:t>供应商必须给出设备选型方案及相应附件选型方案，并交给我公司使用部门及工程类部门审核。</w:t>
            </w:r>
            <w:bookmarkStart w:id="34" w:name="_GoBack"/>
            <w:bookmarkEnd w:id="34"/>
          </w:p>
        </w:tc>
        <w:tc>
          <w:tcPr>
            <w:tcW w:w="2125" w:type="dxa"/>
            <w:vAlign w:val="center"/>
          </w:tcPr>
          <w:p>
            <w:pPr>
              <w:spacing w:line="360" w:lineRule="auto"/>
              <w:jc w:val="both"/>
              <w:rPr>
                <w:szCs w:val="21"/>
                <w:lang w:val="en-US" w:eastAsia="zh-CN"/>
              </w:rPr>
            </w:pPr>
            <w:r>
              <w:rPr>
                <w:szCs w:val="21"/>
                <w:lang w:val="en-US"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spacing w:line="360" w:lineRule="auto"/>
              <w:ind w:firstLineChars="0"/>
              <w:rPr>
                <w:rFonts w:ascii="Times New Roman" w:hAnsi="Times New Roman"/>
                <w:szCs w:val="21"/>
              </w:rPr>
            </w:pPr>
          </w:p>
        </w:tc>
        <w:tc>
          <w:tcPr>
            <w:tcW w:w="9253" w:type="dxa"/>
            <w:gridSpan w:val="3"/>
            <w:shd w:val="clear" w:color="auto" w:fill="D9D9D9"/>
            <w:vAlign w:val="center"/>
          </w:tcPr>
          <w:p>
            <w:pPr>
              <w:spacing w:line="360" w:lineRule="auto"/>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pct10" w:color="auto" w:fill="auto"/>
            <w:vAlign w:val="center"/>
          </w:tcPr>
          <w:p>
            <w:pPr>
              <w:pStyle w:val="34"/>
              <w:numPr>
                <w:ilvl w:val="0"/>
                <w:numId w:val="7"/>
              </w:numPr>
              <w:spacing w:line="360" w:lineRule="auto"/>
              <w:ind w:left="470" w:hanging="120" w:firstLineChars="0"/>
              <w:rPr>
                <w:rFonts w:ascii="Times New Roman" w:hAnsi="Times New Roman"/>
                <w:szCs w:val="21"/>
              </w:rPr>
            </w:pPr>
            <w:permStart w:id="13" w:edGrp="everyone"/>
            <w:r>
              <w:rPr>
                <w:rFonts w:ascii="Times New Roman" w:hAnsi="Times New Roman"/>
                <w:szCs w:val="21"/>
              </w:rPr>
              <w:t>U</w:t>
            </w:r>
          </w:p>
        </w:tc>
        <w:tc>
          <w:tcPr>
            <w:tcW w:w="7110" w:type="dxa"/>
            <w:vAlign w:val="center"/>
          </w:tcPr>
          <w:p>
            <w:pPr>
              <w:spacing w:line="360" w:lineRule="auto"/>
              <w:jc w:val="both"/>
              <w:rPr>
                <w:szCs w:val="21"/>
                <w:lang w:eastAsia="zh-CN"/>
              </w:rPr>
            </w:pPr>
            <w:r>
              <w:rPr>
                <w:rFonts w:hAnsi="宋体"/>
                <w:szCs w:val="21"/>
              </w:rPr>
              <w:t>整机不超过</w:t>
            </w:r>
            <w:r>
              <w:rPr>
                <w:szCs w:val="21"/>
              </w:rPr>
              <w:t>50 kg</w:t>
            </w:r>
            <w:r>
              <w:rPr>
                <w:rFonts w:hAnsi="宋体"/>
                <w:szCs w:val="21"/>
              </w:rPr>
              <w:t>。</w:t>
            </w:r>
          </w:p>
        </w:tc>
        <w:tc>
          <w:tcPr>
            <w:tcW w:w="2143" w:type="dxa"/>
            <w:gridSpan w:val="2"/>
            <w:vAlign w:val="center"/>
          </w:tcPr>
          <w:p>
            <w:pPr>
              <w:spacing w:line="360" w:lineRule="auto"/>
              <w:jc w:val="both"/>
              <w:rPr>
                <w:szCs w:val="21"/>
                <w:lang w:eastAsia="zh-CN"/>
              </w:rPr>
            </w:pPr>
            <w:r>
              <w:rPr>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spacing w:line="360" w:lineRule="auto"/>
              <w:ind w:firstLineChars="0"/>
              <w:rPr>
                <w:rFonts w:ascii="Times New Roman" w:hAnsi="Times New Roman"/>
                <w:szCs w:val="21"/>
              </w:rPr>
            </w:pPr>
          </w:p>
        </w:tc>
        <w:tc>
          <w:tcPr>
            <w:tcW w:w="9253" w:type="dxa"/>
            <w:gridSpan w:val="3"/>
            <w:shd w:val="clear" w:color="auto" w:fill="D9D9D9"/>
            <w:vAlign w:val="center"/>
          </w:tcPr>
          <w:p>
            <w:pPr>
              <w:spacing w:line="360" w:lineRule="auto"/>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spacing w:line="360" w:lineRule="auto"/>
              <w:ind w:left="993" w:firstLine="0" w:firstLineChars="0"/>
              <w:rPr>
                <w:rFonts w:ascii="Times New Roman" w:hAnsi="Times New Roman"/>
                <w:szCs w:val="21"/>
              </w:rPr>
            </w:pPr>
            <w:permStart w:id="14" w:edGrp="everyone"/>
          </w:p>
        </w:tc>
        <w:tc>
          <w:tcPr>
            <w:tcW w:w="9253" w:type="dxa"/>
            <w:gridSpan w:val="3"/>
            <w:vAlign w:val="center"/>
          </w:tcPr>
          <w:p>
            <w:pPr>
              <w:spacing w:line="360" w:lineRule="auto"/>
              <w:jc w:val="both"/>
              <w:rPr>
                <w:szCs w:val="21"/>
                <w:lang w:val="en-US" w:eastAsia="zh-CN"/>
              </w:rPr>
            </w:pPr>
            <w:r>
              <w:rPr>
                <w:iCs/>
                <w:szCs w:val="21"/>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spacing w:line="360" w:lineRule="auto"/>
              <w:ind w:firstLineChars="0"/>
              <w:rPr>
                <w:rFonts w:ascii="Times New Roman" w:hAnsi="Times New Roman"/>
                <w:szCs w:val="21"/>
              </w:rPr>
            </w:pPr>
          </w:p>
        </w:tc>
        <w:tc>
          <w:tcPr>
            <w:tcW w:w="9253" w:type="dxa"/>
            <w:gridSpan w:val="3"/>
            <w:shd w:val="clear" w:color="auto" w:fill="D9D9D9"/>
            <w:vAlign w:val="center"/>
          </w:tcPr>
          <w:p>
            <w:pPr>
              <w:spacing w:line="360" w:lineRule="auto"/>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15" w:edGrp="everyone"/>
          </w:p>
        </w:tc>
        <w:tc>
          <w:tcPr>
            <w:tcW w:w="7128" w:type="dxa"/>
            <w:gridSpan w:val="2"/>
            <w:vAlign w:val="center"/>
          </w:tcPr>
          <w:p>
            <w:pPr>
              <w:spacing w:line="360" w:lineRule="auto"/>
              <w:jc w:val="both"/>
              <w:rPr>
                <w:szCs w:val="21"/>
                <w:lang w:eastAsia="zh-CN"/>
              </w:rPr>
            </w:pPr>
            <w:r>
              <w:rPr>
                <w:iCs/>
                <w:lang w:eastAsia="zh-CN"/>
              </w:rPr>
              <w:t>工作环境温度：</w:t>
            </w:r>
            <w:r>
              <w:rPr>
                <w:rFonts w:hAnsi="宋体"/>
                <w:iCs/>
                <w:lang w:eastAsia="zh-CN"/>
              </w:rPr>
              <w:t>能适应</w:t>
            </w:r>
            <w:r>
              <w:rPr>
                <w:iCs/>
                <w:lang w:eastAsia="zh-CN"/>
              </w:rPr>
              <w:t>18℃</w:t>
            </w:r>
            <w:r>
              <w:rPr>
                <w:lang w:eastAsia="zh-CN"/>
              </w:rPr>
              <w:t>～26</w:t>
            </w:r>
            <w:r>
              <w:rPr>
                <w:iCs/>
                <w:lang w:eastAsia="zh-CN"/>
              </w:rPr>
              <w:t>℃</w:t>
            </w:r>
            <w:r>
              <w:rPr>
                <w:rFonts w:hAnsi="宋体"/>
                <w:iCs/>
                <w:lang w:eastAsia="zh-CN"/>
              </w:rPr>
              <w:t>。</w:t>
            </w:r>
          </w:p>
        </w:tc>
        <w:tc>
          <w:tcPr>
            <w:tcW w:w="2125" w:type="dxa"/>
            <w:vAlign w:val="center"/>
          </w:tcPr>
          <w:p>
            <w:pPr>
              <w:spacing w:line="360" w:lineRule="auto"/>
              <w:jc w:val="both"/>
              <w:rPr>
                <w:szCs w:val="21"/>
                <w:lang w:val="en-US" w:eastAsia="zh-CN"/>
              </w:rPr>
            </w:pPr>
            <w:r>
              <w:rPr>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16" w:edGrp="everyone"/>
          </w:p>
        </w:tc>
        <w:tc>
          <w:tcPr>
            <w:tcW w:w="7128" w:type="dxa"/>
            <w:gridSpan w:val="2"/>
            <w:vAlign w:val="center"/>
          </w:tcPr>
          <w:p>
            <w:pPr>
              <w:spacing w:line="360" w:lineRule="auto"/>
              <w:jc w:val="both"/>
              <w:rPr>
                <w:szCs w:val="21"/>
                <w:lang w:eastAsia="zh-CN"/>
              </w:rPr>
            </w:pPr>
            <w:r>
              <w:rPr>
                <w:lang w:eastAsia="zh-CN"/>
              </w:rPr>
              <w:t>工作环境湿度：至少包括45%～65%。</w:t>
            </w:r>
          </w:p>
        </w:tc>
        <w:tc>
          <w:tcPr>
            <w:tcW w:w="2125" w:type="dxa"/>
            <w:vAlign w:val="center"/>
          </w:tcPr>
          <w:p>
            <w:pPr>
              <w:spacing w:line="360" w:lineRule="auto"/>
              <w:jc w:val="both"/>
              <w:rPr>
                <w:szCs w:val="21"/>
                <w:lang w:eastAsia="zh-CN"/>
              </w:rPr>
            </w:pPr>
            <w:r>
              <w:rPr>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17" w:edGrp="everyone"/>
          </w:p>
        </w:tc>
        <w:tc>
          <w:tcPr>
            <w:tcW w:w="7128" w:type="dxa"/>
            <w:gridSpan w:val="2"/>
            <w:vAlign w:val="center"/>
          </w:tcPr>
          <w:p>
            <w:pPr>
              <w:spacing w:line="360" w:lineRule="auto"/>
              <w:jc w:val="both"/>
              <w:rPr>
                <w:lang w:val="en-US" w:eastAsia="zh-CN"/>
              </w:rPr>
            </w:pPr>
            <w:r>
              <w:rPr>
                <w:lang w:eastAsia="zh-CN"/>
              </w:rPr>
              <w:t>工作环境洁净级别：</w:t>
            </w:r>
            <w:r>
              <w:rPr>
                <w:lang w:val="en-US" w:eastAsia="zh-CN"/>
              </w:rPr>
              <w:t>C级区。</w:t>
            </w:r>
          </w:p>
        </w:tc>
        <w:tc>
          <w:tcPr>
            <w:tcW w:w="2125" w:type="dxa"/>
            <w:vAlign w:val="center"/>
          </w:tcPr>
          <w:p>
            <w:pPr>
              <w:spacing w:line="360" w:lineRule="auto"/>
              <w:jc w:val="both"/>
              <w:rPr>
                <w:szCs w:val="21"/>
                <w:lang w:eastAsia="zh-CN"/>
              </w:rPr>
            </w:pPr>
            <w:r>
              <w:rPr>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spacing w:line="360" w:lineRule="auto"/>
              <w:ind w:firstLineChars="0"/>
              <w:rPr>
                <w:rFonts w:ascii="Times New Roman" w:hAnsi="Times New Roman"/>
                <w:szCs w:val="21"/>
              </w:rPr>
            </w:pPr>
          </w:p>
        </w:tc>
        <w:tc>
          <w:tcPr>
            <w:tcW w:w="9253" w:type="dxa"/>
            <w:gridSpan w:val="3"/>
            <w:shd w:val="clear" w:color="auto" w:fill="D9D9D9"/>
            <w:vAlign w:val="center"/>
          </w:tcPr>
          <w:p>
            <w:pPr>
              <w:spacing w:line="360" w:lineRule="auto"/>
              <w:jc w:val="both"/>
              <w:rPr>
                <w:szCs w:val="21"/>
                <w:lang w:eastAsia="zh-CN"/>
              </w:rPr>
            </w:pPr>
            <w:r>
              <w:rPr>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18" w:edGrp="everyone"/>
          </w:p>
        </w:tc>
        <w:tc>
          <w:tcPr>
            <w:tcW w:w="7128" w:type="dxa"/>
            <w:gridSpan w:val="2"/>
            <w:vAlign w:val="center"/>
          </w:tcPr>
          <w:p>
            <w:pPr>
              <w:spacing w:line="360" w:lineRule="auto"/>
              <w:jc w:val="both"/>
              <w:rPr>
                <w:lang w:eastAsia="zh-CN"/>
              </w:rPr>
            </w:pPr>
            <w:r>
              <w:rPr>
                <w:lang w:eastAsia="zh-CN"/>
              </w:rPr>
              <w:t>交流电电源：</w:t>
            </w:r>
            <w:r>
              <w:rPr>
                <w:iCs/>
                <w:szCs w:val="21"/>
                <w:lang w:eastAsia="zh-CN"/>
              </w:rPr>
              <w:t xml:space="preserve"> 220±10%V，50±1Hz</w:t>
            </w:r>
            <w:r>
              <w:rPr>
                <w:lang w:eastAsia="zh-CN"/>
              </w:rPr>
              <w:t>。</w:t>
            </w:r>
          </w:p>
        </w:tc>
        <w:tc>
          <w:tcPr>
            <w:tcW w:w="2125" w:type="dxa"/>
            <w:vAlign w:val="center"/>
          </w:tcPr>
          <w:p>
            <w:pPr>
              <w:spacing w:line="360" w:lineRule="auto"/>
              <w:jc w:val="both"/>
              <w:rPr>
                <w:szCs w:val="21"/>
                <w:lang w:eastAsia="zh-CN"/>
              </w:rPr>
            </w:pPr>
            <w:r>
              <w:rPr>
                <w:szCs w:val="21"/>
                <w:lang w:val="en-US"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spacing w:line="360" w:lineRule="auto"/>
              <w:ind w:firstLineChars="0"/>
              <w:rPr>
                <w:rFonts w:ascii="Times New Roman" w:hAnsi="Times New Roman"/>
                <w:szCs w:val="21"/>
              </w:rPr>
            </w:pPr>
          </w:p>
        </w:tc>
        <w:tc>
          <w:tcPr>
            <w:tcW w:w="9253" w:type="dxa"/>
            <w:gridSpan w:val="3"/>
            <w:shd w:val="clear" w:color="auto" w:fill="D9D9D9"/>
            <w:vAlign w:val="center"/>
          </w:tcPr>
          <w:p>
            <w:pPr>
              <w:spacing w:line="360" w:lineRule="auto"/>
              <w:jc w:val="both"/>
              <w:rPr>
                <w:szCs w:val="21"/>
                <w:lang w:eastAsia="zh-CN"/>
              </w:rPr>
            </w:pPr>
            <w:r>
              <w:rPr>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19" w:edGrp="everyone"/>
          </w:p>
        </w:tc>
        <w:tc>
          <w:tcPr>
            <w:tcW w:w="7128" w:type="dxa"/>
            <w:gridSpan w:val="2"/>
            <w:vAlign w:val="center"/>
          </w:tcPr>
          <w:p>
            <w:pPr>
              <w:spacing w:line="360" w:lineRule="auto"/>
              <w:jc w:val="both"/>
              <w:rPr>
                <w:rStyle w:val="22"/>
                <w:lang w:eastAsia="zh-CN"/>
              </w:rPr>
            </w:pPr>
            <w:r>
              <w:rPr>
                <w:szCs w:val="21"/>
                <w:lang w:eastAsia="zh-CN"/>
              </w:rPr>
              <w:t>设备外观应端正、整齐，不得有明显的偏歪、毛刺和锈蚀等缺陷。设备材质应防腐蚀、易于清洁。</w:t>
            </w:r>
          </w:p>
        </w:tc>
        <w:tc>
          <w:tcPr>
            <w:tcW w:w="2125" w:type="dxa"/>
            <w:vAlign w:val="center"/>
          </w:tcPr>
          <w:p>
            <w:pPr>
              <w:spacing w:line="360" w:lineRule="auto"/>
              <w:jc w:val="both"/>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28" w:type="dxa"/>
            <w:gridSpan w:val="2"/>
            <w:vAlign w:val="center"/>
          </w:tcPr>
          <w:p>
            <w:pPr>
              <w:spacing w:line="360" w:lineRule="auto"/>
              <w:jc w:val="both"/>
              <w:rPr>
                <w:iCs/>
                <w:lang w:eastAsia="zh-CN"/>
              </w:rPr>
            </w:pPr>
            <w:r>
              <w:rPr>
                <w:szCs w:val="21"/>
                <w:lang w:eastAsia="zh-CN"/>
              </w:rPr>
              <w:t>设备内部表面不得有凹陷、毛刺和锈蚀等缺陷。</w:t>
            </w:r>
          </w:p>
        </w:tc>
        <w:tc>
          <w:tcPr>
            <w:tcW w:w="2125" w:type="dxa"/>
            <w:vAlign w:val="center"/>
          </w:tcPr>
          <w:p>
            <w:pPr>
              <w:spacing w:line="360" w:lineRule="auto"/>
              <w:jc w:val="both"/>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28" w:type="dxa"/>
            <w:gridSpan w:val="2"/>
            <w:vAlign w:val="center"/>
          </w:tcPr>
          <w:p>
            <w:pPr>
              <w:pStyle w:val="8"/>
              <w:rPr>
                <w:sz w:val="21"/>
                <w:szCs w:val="21"/>
                <w:lang w:eastAsia="zh-CN"/>
              </w:rPr>
            </w:pPr>
            <w:r>
              <w:rPr>
                <w:sz w:val="21"/>
                <w:szCs w:val="21"/>
                <w:lang w:eastAsia="zh-CN"/>
              </w:rPr>
              <w:t xml:space="preserve">标识：至少应有以下永久贴牢和清楚易认的标识： </w:t>
            </w:r>
          </w:p>
          <w:p>
            <w:pPr>
              <w:pStyle w:val="8"/>
              <w:rPr>
                <w:sz w:val="21"/>
                <w:szCs w:val="21"/>
                <w:lang w:eastAsia="zh-CN"/>
              </w:rPr>
            </w:pPr>
            <w:r>
              <w:rPr>
                <w:sz w:val="21"/>
                <w:szCs w:val="21"/>
                <w:lang w:eastAsia="zh-CN"/>
              </w:rPr>
              <w:t>（1）制造/供应单位；</w:t>
            </w:r>
          </w:p>
          <w:p>
            <w:pPr>
              <w:pStyle w:val="8"/>
              <w:rPr>
                <w:sz w:val="21"/>
                <w:szCs w:val="21"/>
                <w:lang w:eastAsia="zh-CN"/>
              </w:rPr>
            </w:pPr>
            <w:r>
              <w:rPr>
                <w:sz w:val="21"/>
                <w:szCs w:val="21"/>
                <w:lang w:eastAsia="zh-CN"/>
              </w:rPr>
              <w:t>（2）产品注册号；</w:t>
            </w:r>
          </w:p>
          <w:p>
            <w:pPr>
              <w:pStyle w:val="8"/>
              <w:rPr>
                <w:sz w:val="21"/>
                <w:szCs w:val="21"/>
                <w:lang w:eastAsia="zh-CN"/>
              </w:rPr>
            </w:pPr>
            <w:r>
              <w:rPr>
                <w:sz w:val="21"/>
                <w:szCs w:val="21"/>
                <w:lang w:eastAsia="zh-CN"/>
              </w:rPr>
              <w:t>（3）型号；</w:t>
            </w:r>
          </w:p>
          <w:p>
            <w:pPr>
              <w:pStyle w:val="8"/>
              <w:rPr>
                <w:sz w:val="21"/>
                <w:szCs w:val="21"/>
                <w:lang w:eastAsia="zh-CN"/>
              </w:rPr>
            </w:pPr>
            <w:r>
              <w:rPr>
                <w:sz w:val="21"/>
                <w:szCs w:val="21"/>
                <w:lang w:eastAsia="zh-CN"/>
              </w:rPr>
              <w:t>（4）生产日期或编号；</w:t>
            </w:r>
          </w:p>
          <w:p>
            <w:pPr>
              <w:pStyle w:val="8"/>
              <w:rPr>
                <w:sz w:val="21"/>
                <w:szCs w:val="21"/>
                <w:lang w:eastAsia="zh-CN"/>
              </w:rPr>
            </w:pPr>
            <w:r>
              <w:rPr>
                <w:sz w:val="21"/>
                <w:szCs w:val="21"/>
                <w:lang w:eastAsia="zh-CN"/>
              </w:rPr>
              <w:t>（5）对设备必要的说明；</w:t>
            </w:r>
          </w:p>
          <w:p>
            <w:pPr>
              <w:pStyle w:val="8"/>
              <w:rPr>
                <w:sz w:val="21"/>
                <w:szCs w:val="21"/>
                <w:lang w:eastAsia="zh-CN"/>
              </w:rPr>
            </w:pPr>
            <w:r>
              <w:rPr>
                <w:sz w:val="21"/>
                <w:szCs w:val="21"/>
                <w:lang w:eastAsia="zh-CN"/>
              </w:rPr>
              <w:t>（6）安全标识。</w:t>
            </w:r>
          </w:p>
        </w:tc>
        <w:tc>
          <w:tcPr>
            <w:tcW w:w="2125" w:type="dxa"/>
            <w:vAlign w:val="center"/>
          </w:tcPr>
          <w:p>
            <w:pPr>
              <w:spacing w:line="360" w:lineRule="auto"/>
              <w:jc w:val="both"/>
              <w:rPr>
                <w:szCs w:val="21"/>
                <w:lang w:eastAsia="zh-CN"/>
              </w:rPr>
            </w:pPr>
            <w:r>
              <w:rPr>
                <w:szCs w:val="21"/>
                <w:lang w:val="en-US" w:eastAsia="zh-CN"/>
              </w:rPr>
              <w:t>关键</w:t>
            </w:r>
          </w:p>
        </w:tc>
      </w:tr>
      <w:bookmarkEnd w:id="24"/>
      <w:bookmarkEnd w:id="25"/>
      <w:permEnd w:id="19"/>
    </w:tbl>
    <w:p>
      <w:pPr>
        <w:pStyle w:val="34"/>
        <w:spacing w:after="158" w:afterLines="50" w:line="360" w:lineRule="auto"/>
        <w:ind w:left="425" w:firstLine="0" w:firstLineChars="0"/>
        <w:rPr>
          <w:rFonts w:ascii="Times New Roman" w:hAnsi="Times New Roman"/>
          <w:szCs w:val="21"/>
        </w:rPr>
      </w:pPr>
    </w:p>
    <w:p>
      <w:pPr>
        <w:pStyle w:val="34"/>
        <w:numPr>
          <w:ilvl w:val="0"/>
          <w:numId w:val="3"/>
        </w:numPr>
        <w:spacing w:after="158" w:afterLines="50" w:line="360" w:lineRule="auto"/>
        <w:ind w:left="426" w:hanging="426" w:hangingChars="202"/>
        <w:outlineLvl w:val="0"/>
        <w:rPr>
          <w:rFonts w:ascii="Times New Roman" w:hAnsi="Times New Roman"/>
          <w:b/>
        </w:rPr>
      </w:pPr>
      <w:bookmarkStart w:id="26" w:name="_Toc522107740"/>
      <w:bookmarkStart w:id="27" w:name="_Toc74299962"/>
      <w:r>
        <w:rPr>
          <w:rFonts w:ascii="Times New Roman" w:hAnsi="Times New Roman"/>
          <w:b/>
        </w:rPr>
        <w:t>运行要求</w:t>
      </w:r>
      <w:bookmarkEnd w:id="26"/>
      <w:bookmarkEnd w:id="27"/>
    </w:p>
    <w:tbl>
      <w:tblPr>
        <w:tblStyle w:val="23"/>
        <w:tblW w:w="10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31"/>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spacing w:line="360" w:lineRule="auto"/>
              <w:jc w:val="center"/>
              <w:rPr>
                <w:b/>
                <w:szCs w:val="21"/>
              </w:rPr>
            </w:pPr>
            <w:permStart w:id="20" w:edGrp="everyone"/>
            <w:permEnd w:id="20"/>
            <w:r>
              <w:rPr>
                <w:b/>
                <w:szCs w:val="21"/>
              </w:rPr>
              <w:t>编号</w:t>
            </w:r>
          </w:p>
        </w:tc>
        <w:tc>
          <w:tcPr>
            <w:tcW w:w="7131" w:type="dxa"/>
            <w:shd w:val="clear" w:color="auto" w:fill="D9D9D9"/>
            <w:vAlign w:val="center"/>
          </w:tcPr>
          <w:p>
            <w:pPr>
              <w:spacing w:line="360" w:lineRule="auto"/>
              <w:jc w:val="center"/>
              <w:rPr>
                <w:b/>
                <w:szCs w:val="21"/>
                <w:lang w:eastAsia="zh-CN"/>
              </w:rPr>
            </w:pPr>
            <w:r>
              <w:rPr>
                <w:b/>
                <w:szCs w:val="21"/>
                <w:lang w:eastAsia="zh-CN"/>
              </w:rPr>
              <w:t>需求</w:t>
            </w:r>
          </w:p>
        </w:tc>
        <w:tc>
          <w:tcPr>
            <w:tcW w:w="2125"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4"/>
              <w:numPr>
                <w:ilvl w:val="0"/>
                <w:numId w:val="8"/>
              </w:numPr>
              <w:spacing w:line="360" w:lineRule="auto"/>
              <w:ind w:firstLineChars="0"/>
              <w:rPr>
                <w:rFonts w:ascii="Times New Roman" w:hAnsi="Times New Roman"/>
                <w:szCs w:val="21"/>
              </w:rPr>
            </w:pPr>
          </w:p>
        </w:tc>
        <w:tc>
          <w:tcPr>
            <w:tcW w:w="9256" w:type="dxa"/>
            <w:gridSpan w:val="2"/>
            <w:shd w:val="clear" w:color="auto" w:fill="D9D9D9"/>
            <w:vAlign w:val="center"/>
          </w:tcPr>
          <w:p>
            <w:pPr>
              <w:spacing w:line="360" w:lineRule="auto"/>
              <w:jc w:val="both"/>
              <w:rPr>
                <w:szCs w:val="21"/>
                <w:lang w:eastAsia="zh-CN"/>
              </w:rPr>
            </w:pPr>
            <w:r>
              <w:rPr>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pct10" w:color="auto" w:fill="auto"/>
            <w:vAlign w:val="center"/>
          </w:tcPr>
          <w:p>
            <w:pPr>
              <w:pStyle w:val="34"/>
              <w:tabs>
                <w:tab w:val="left" w:pos="929"/>
                <w:tab w:val="left" w:pos="1049"/>
              </w:tabs>
              <w:spacing w:line="360" w:lineRule="auto"/>
              <w:ind w:firstLineChars="0"/>
              <w:rPr>
                <w:rFonts w:ascii="Times New Roman" w:hAnsi="Times New Roman"/>
                <w:szCs w:val="21"/>
              </w:rPr>
            </w:pPr>
            <w:permStart w:id="21" w:edGrp="everyone"/>
          </w:p>
        </w:tc>
        <w:tc>
          <w:tcPr>
            <w:tcW w:w="9256" w:type="dxa"/>
            <w:gridSpan w:val="2"/>
            <w:vAlign w:val="center"/>
          </w:tcPr>
          <w:p>
            <w:pPr>
              <w:spacing w:line="360" w:lineRule="auto"/>
              <w:jc w:val="both"/>
              <w:rPr>
                <w:szCs w:val="21"/>
                <w:lang w:val="en-US" w:eastAsia="zh-CN"/>
              </w:rPr>
            </w:pPr>
            <w:r>
              <w:rPr>
                <w:szCs w:val="21"/>
                <w:lang w:val="en-US"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4"/>
              <w:numPr>
                <w:ilvl w:val="0"/>
                <w:numId w:val="8"/>
              </w:numPr>
              <w:spacing w:line="360" w:lineRule="auto"/>
              <w:ind w:firstLineChars="0"/>
              <w:rPr>
                <w:rFonts w:ascii="Times New Roman" w:hAnsi="Times New Roman"/>
                <w:szCs w:val="21"/>
              </w:rPr>
            </w:pPr>
          </w:p>
        </w:tc>
        <w:tc>
          <w:tcPr>
            <w:tcW w:w="9256" w:type="dxa"/>
            <w:gridSpan w:val="2"/>
            <w:shd w:val="clear" w:color="auto" w:fill="D9D9D9"/>
            <w:vAlign w:val="center"/>
          </w:tcPr>
          <w:p>
            <w:pPr>
              <w:spacing w:line="360" w:lineRule="auto"/>
              <w:jc w:val="both"/>
              <w:rPr>
                <w:szCs w:val="21"/>
                <w:lang w:eastAsia="zh-CN"/>
              </w:rPr>
            </w:pPr>
            <w:r>
              <w:rPr>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spacing w:line="360" w:lineRule="auto"/>
              <w:ind w:left="709" w:firstLine="0" w:firstLineChars="0"/>
              <w:rPr>
                <w:rFonts w:ascii="Times New Roman" w:hAnsi="Times New Roman"/>
                <w:szCs w:val="21"/>
              </w:rPr>
            </w:pPr>
            <w:permStart w:id="22" w:edGrp="everyone"/>
          </w:p>
        </w:tc>
        <w:tc>
          <w:tcPr>
            <w:tcW w:w="9256" w:type="dxa"/>
            <w:gridSpan w:val="2"/>
            <w:vAlign w:val="center"/>
          </w:tcPr>
          <w:p>
            <w:pPr>
              <w:spacing w:line="360" w:lineRule="auto"/>
              <w:jc w:val="both"/>
              <w:rPr>
                <w:szCs w:val="21"/>
                <w:lang w:val="en-US" w:eastAsia="zh-CN"/>
              </w:rPr>
            </w:pPr>
            <w:r>
              <w:rPr>
                <w:szCs w:val="21"/>
                <w:lang w:val="en-US"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4"/>
              <w:numPr>
                <w:ilvl w:val="0"/>
                <w:numId w:val="8"/>
              </w:numPr>
              <w:spacing w:line="360" w:lineRule="auto"/>
              <w:ind w:firstLineChars="0"/>
              <w:rPr>
                <w:rFonts w:ascii="Times New Roman" w:hAnsi="Times New Roman"/>
                <w:szCs w:val="21"/>
              </w:rPr>
            </w:pPr>
          </w:p>
        </w:tc>
        <w:tc>
          <w:tcPr>
            <w:tcW w:w="9256" w:type="dxa"/>
            <w:gridSpan w:val="2"/>
            <w:shd w:val="clear" w:color="auto" w:fill="D9D9D9"/>
            <w:vAlign w:val="center"/>
          </w:tcPr>
          <w:p>
            <w:pPr>
              <w:spacing w:line="360" w:lineRule="auto"/>
              <w:jc w:val="both"/>
              <w:rPr>
                <w:szCs w:val="21"/>
                <w:lang w:eastAsia="zh-CN"/>
              </w:rPr>
            </w:pPr>
            <w:r>
              <w:rPr>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23" w:edGrp="everyone"/>
          </w:p>
        </w:tc>
        <w:tc>
          <w:tcPr>
            <w:tcW w:w="7131" w:type="dxa"/>
            <w:vAlign w:val="center"/>
          </w:tcPr>
          <w:p>
            <w:pPr>
              <w:spacing w:line="360" w:lineRule="auto"/>
              <w:rPr>
                <w:szCs w:val="24"/>
                <w:lang w:eastAsia="zh-CN"/>
              </w:rPr>
            </w:pPr>
            <w:r>
              <w:rPr>
                <w:szCs w:val="21"/>
                <w:lang w:eastAsia="zh-CN"/>
              </w:rPr>
              <w:t>光学系统： UIS2无限远色差校正光学系统，齐焦距离必须为国际标准45mm</w:t>
            </w:r>
          </w:p>
        </w:tc>
        <w:tc>
          <w:tcPr>
            <w:tcW w:w="2125" w:type="dxa"/>
            <w:vAlign w:val="center"/>
          </w:tcPr>
          <w:p>
            <w:pPr>
              <w:spacing w:line="360" w:lineRule="auto"/>
              <w:jc w:val="both"/>
              <w:rPr>
                <w:szCs w:val="21"/>
                <w:lang w:eastAsia="zh-CN"/>
              </w:rPr>
            </w:pPr>
            <w:r>
              <w:rPr>
                <w:szCs w:val="21"/>
                <w:lang w:val="en-US"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31" w:type="dxa"/>
            <w:vAlign w:val="center"/>
          </w:tcPr>
          <w:p>
            <w:pPr>
              <w:spacing w:line="360" w:lineRule="auto"/>
              <w:rPr>
                <w:szCs w:val="21"/>
                <w:lang w:val="en-US" w:eastAsia="zh-CN"/>
              </w:rPr>
            </w:pPr>
            <w:r>
              <w:rPr>
                <w:szCs w:val="21"/>
                <w:lang w:eastAsia="zh-CN"/>
              </w:rPr>
              <w:t>具有明场、暗场两种基本观察功能。</w:t>
            </w:r>
          </w:p>
        </w:tc>
        <w:tc>
          <w:tcPr>
            <w:tcW w:w="2125" w:type="dxa"/>
            <w:vAlign w:val="center"/>
          </w:tcPr>
          <w:p>
            <w:pPr>
              <w:spacing w:line="360" w:lineRule="auto"/>
              <w:jc w:val="both"/>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31" w:type="dxa"/>
            <w:vAlign w:val="center"/>
          </w:tcPr>
          <w:p>
            <w:pPr>
              <w:spacing w:line="360" w:lineRule="auto"/>
              <w:jc w:val="both"/>
              <w:rPr>
                <w:szCs w:val="24"/>
                <w:lang w:eastAsia="zh-CN"/>
              </w:rPr>
            </w:pPr>
            <w:r>
              <w:rPr>
                <w:szCs w:val="21"/>
                <w:lang w:eastAsia="zh-CN"/>
              </w:rPr>
              <w:t>目镜：10X宽视野目镜，视场数≥22mm。</w:t>
            </w:r>
          </w:p>
        </w:tc>
        <w:tc>
          <w:tcPr>
            <w:tcW w:w="2125" w:type="dxa"/>
            <w:vAlign w:val="center"/>
          </w:tcPr>
          <w:p>
            <w:pPr>
              <w:spacing w:line="360" w:lineRule="auto"/>
              <w:jc w:val="both"/>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31" w:type="dxa"/>
            <w:vAlign w:val="center"/>
          </w:tcPr>
          <w:p>
            <w:pPr>
              <w:spacing w:line="360" w:lineRule="auto"/>
              <w:rPr>
                <w:szCs w:val="21"/>
                <w:lang w:eastAsia="zh-CN"/>
              </w:rPr>
            </w:pPr>
            <w:r>
              <w:rPr>
                <w:szCs w:val="21"/>
                <w:lang w:eastAsia="zh-CN"/>
              </w:rPr>
              <w:t>物镜：10X (</w:t>
            </w:r>
            <w:r>
              <w:rPr>
                <w:color w:val="333333"/>
                <w:sz w:val="22"/>
                <w:szCs w:val="22"/>
                <w:lang w:eastAsia="zh-CN"/>
              </w:rPr>
              <w:t>数值孔径</w:t>
            </w:r>
            <w:r>
              <w:rPr>
                <w:szCs w:val="21"/>
                <w:lang w:eastAsia="zh-CN"/>
              </w:rPr>
              <w:t>≥0.3)； 40X (</w:t>
            </w:r>
            <w:r>
              <w:rPr>
                <w:color w:val="333333"/>
                <w:sz w:val="22"/>
                <w:szCs w:val="22"/>
                <w:lang w:eastAsia="zh-CN"/>
              </w:rPr>
              <w:t>数值孔径</w:t>
            </w:r>
            <w:r>
              <w:rPr>
                <w:szCs w:val="21"/>
                <w:lang w:eastAsia="zh-CN"/>
              </w:rPr>
              <w:t xml:space="preserve">≥0.75) </w:t>
            </w:r>
          </w:p>
        </w:tc>
        <w:tc>
          <w:tcPr>
            <w:tcW w:w="2125" w:type="dxa"/>
            <w:vAlign w:val="center"/>
          </w:tcPr>
          <w:p>
            <w:pPr>
              <w:spacing w:line="360" w:lineRule="auto"/>
              <w:jc w:val="both"/>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31" w:type="dxa"/>
            <w:vAlign w:val="center"/>
          </w:tcPr>
          <w:p>
            <w:pPr>
              <w:spacing w:line="360" w:lineRule="auto"/>
              <w:rPr>
                <w:szCs w:val="21"/>
                <w:lang w:eastAsia="zh-CN"/>
              </w:rPr>
            </w:pPr>
            <w:r>
              <w:rPr>
                <w:szCs w:val="21"/>
                <w:lang w:eastAsia="zh-CN"/>
              </w:rPr>
              <w:t>载物台垂直运动方式距离不小于25mm，带聚焦粗调上限停止位置，粗调旋钮扭矩可调，最小微调刻度单位≤1um。</w:t>
            </w:r>
          </w:p>
        </w:tc>
        <w:tc>
          <w:tcPr>
            <w:tcW w:w="2125" w:type="dxa"/>
            <w:vAlign w:val="center"/>
          </w:tcPr>
          <w:p>
            <w:pPr>
              <w:spacing w:line="360" w:lineRule="auto"/>
              <w:jc w:val="both"/>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31" w:type="dxa"/>
            <w:vAlign w:val="center"/>
          </w:tcPr>
          <w:p>
            <w:pPr>
              <w:spacing w:line="360" w:lineRule="auto"/>
              <w:rPr>
                <w:szCs w:val="21"/>
                <w:lang w:eastAsia="zh-CN"/>
              </w:rPr>
            </w:pPr>
            <w:r>
              <w:rPr>
                <w:szCs w:val="21"/>
                <w:lang w:eastAsia="zh-CN"/>
              </w:rPr>
              <w:t>物镜转换器：6 孔。</w:t>
            </w:r>
          </w:p>
        </w:tc>
        <w:tc>
          <w:tcPr>
            <w:tcW w:w="2125" w:type="dxa"/>
            <w:vAlign w:val="center"/>
          </w:tcPr>
          <w:p>
            <w:pPr>
              <w:spacing w:line="360" w:lineRule="auto"/>
              <w:jc w:val="both"/>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31" w:type="dxa"/>
            <w:vAlign w:val="center"/>
          </w:tcPr>
          <w:p>
            <w:pPr>
              <w:spacing w:line="360" w:lineRule="auto"/>
              <w:rPr>
                <w:szCs w:val="21"/>
                <w:lang w:eastAsia="zh-CN"/>
              </w:rPr>
            </w:pPr>
            <w:r>
              <w:rPr>
                <w:szCs w:val="21"/>
                <w:lang w:eastAsia="zh-CN"/>
              </w:rPr>
              <w:t>载物台：右手低位置同轴驱动选钮的高抗磨损性陶瓷覆盖层载物台。</w:t>
            </w:r>
          </w:p>
        </w:tc>
        <w:tc>
          <w:tcPr>
            <w:tcW w:w="2125" w:type="dxa"/>
            <w:vAlign w:val="center"/>
          </w:tcPr>
          <w:p>
            <w:pPr>
              <w:spacing w:line="360" w:lineRule="auto"/>
              <w:jc w:val="both"/>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31" w:type="dxa"/>
            <w:vAlign w:val="center"/>
          </w:tcPr>
          <w:p>
            <w:pPr>
              <w:spacing w:line="360" w:lineRule="auto"/>
              <w:rPr>
                <w:szCs w:val="21"/>
                <w:lang w:eastAsia="zh-CN"/>
              </w:rPr>
            </w:pPr>
            <w:r>
              <w:rPr>
                <w:szCs w:val="21"/>
                <w:lang w:eastAsia="zh-CN"/>
              </w:rPr>
              <w:t xml:space="preserve">多功能聚光镜：油式暗场聚光镜, </w:t>
            </w:r>
            <w:r>
              <w:rPr>
                <w:color w:val="333333"/>
                <w:sz w:val="22"/>
                <w:szCs w:val="22"/>
                <w:lang w:eastAsia="zh-CN"/>
              </w:rPr>
              <w:t>数值孔径</w:t>
            </w:r>
            <w:r>
              <w:rPr>
                <w:bCs/>
                <w:sz w:val="24"/>
                <w:lang w:val="en-US" w:eastAsia="zh-CN"/>
              </w:rPr>
              <w:t>≥</w:t>
            </w:r>
            <w:r>
              <w:rPr>
                <w:szCs w:val="21"/>
                <w:lang w:eastAsia="zh-CN"/>
              </w:rPr>
              <w:t xml:space="preserve">1.40 </w:t>
            </w:r>
          </w:p>
        </w:tc>
        <w:tc>
          <w:tcPr>
            <w:tcW w:w="2125" w:type="dxa"/>
            <w:vAlign w:val="center"/>
          </w:tcPr>
          <w:p>
            <w:pPr>
              <w:spacing w:line="360" w:lineRule="auto"/>
              <w:jc w:val="both"/>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31" w:type="dxa"/>
            <w:vAlign w:val="center"/>
          </w:tcPr>
          <w:p>
            <w:pPr>
              <w:spacing w:line="360" w:lineRule="auto"/>
              <w:rPr>
                <w:szCs w:val="21"/>
                <w:lang w:eastAsia="zh-CN"/>
              </w:rPr>
            </w:pPr>
            <w:r>
              <w:rPr>
                <w:szCs w:val="21"/>
                <w:lang w:eastAsia="zh-CN"/>
              </w:rPr>
              <w:t>LED光源透射光，色温高，寿命≥2万小时。LED 光源，可获得380-780nm波长高色彩还原。</w:t>
            </w:r>
          </w:p>
        </w:tc>
        <w:tc>
          <w:tcPr>
            <w:tcW w:w="2125" w:type="dxa"/>
            <w:vAlign w:val="center"/>
          </w:tcPr>
          <w:p>
            <w:pPr>
              <w:spacing w:line="360" w:lineRule="auto"/>
              <w:jc w:val="both"/>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31" w:type="dxa"/>
            <w:vAlign w:val="center"/>
          </w:tcPr>
          <w:p>
            <w:pPr>
              <w:spacing w:line="360" w:lineRule="auto"/>
              <w:rPr>
                <w:szCs w:val="21"/>
                <w:lang w:eastAsia="zh-CN"/>
              </w:rPr>
            </w:pPr>
            <w:r>
              <w:rPr>
                <w:szCs w:val="21"/>
                <w:lang w:eastAsia="zh-CN"/>
              </w:rPr>
              <w:t>显微镜同品牌高分辨率显微专用显微成像系统</w:t>
            </w:r>
          </w:p>
        </w:tc>
        <w:tc>
          <w:tcPr>
            <w:tcW w:w="2125" w:type="dxa"/>
            <w:vAlign w:val="center"/>
          </w:tcPr>
          <w:p>
            <w:pPr>
              <w:spacing w:line="360" w:lineRule="auto"/>
              <w:jc w:val="both"/>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31" w:type="dxa"/>
            <w:vAlign w:val="center"/>
          </w:tcPr>
          <w:p>
            <w:pPr>
              <w:spacing w:line="360" w:lineRule="auto"/>
              <w:rPr>
                <w:szCs w:val="21"/>
                <w:lang w:eastAsia="zh-CN"/>
              </w:rPr>
            </w:pPr>
            <w:r>
              <w:rPr>
                <w:szCs w:val="21"/>
                <w:lang w:eastAsia="zh-CN"/>
              </w:rPr>
              <w:t>采集像素：≥2000万像素，测光方式：可达0.1% ，图像采集速度：≥60 幅/秒，提供2x2、4x4的像素混合模式（binning），图像传输速度：3秒（最高分辨率）。</w:t>
            </w:r>
          </w:p>
        </w:tc>
        <w:tc>
          <w:tcPr>
            <w:tcW w:w="2125" w:type="dxa"/>
            <w:vAlign w:val="center"/>
          </w:tcPr>
          <w:p>
            <w:pPr>
              <w:spacing w:line="360" w:lineRule="auto"/>
              <w:jc w:val="both"/>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color w:val="000000"/>
                <w:szCs w:val="21"/>
              </w:rPr>
            </w:pPr>
          </w:p>
        </w:tc>
        <w:tc>
          <w:tcPr>
            <w:tcW w:w="7131" w:type="dxa"/>
            <w:vAlign w:val="center"/>
          </w:tcPr>
          <w:p>
            <w:pPr>
              <w:spacing w:line="360" w:lineRule="auto"/>
              <w:rPr>
                <w:color w:val="000000"/>
                <w:szCs w:val="21"/>
                <w:lang w:eastAsia="zh-CN"/>
              </w:rPr>
            </w:pPr>
            <w:r>
              <w:rPr>
                <w:color w:val="000000"/>
                <w:szCs w:val="21"/>
                <w:lang w:eastAsia="zh-CN"/>
              </w:rPr>
              <w:t>单次视频采集时长≥3分钟。</w:t>
            </w:r>
          </w:p>
        </w:tc>
        <w:tc>
          <w:tcPr>
            <w:tcW w:w="2125" w:type="dxa"/>
            <w:vAlign w:val="center"/>
          </w:tcPr>
          <w:p>
            <w:pPr>
              <w:spacing w:line="360" w:lineRule="auto"/>
              <w:jc w:val="both"/>
              <w:rPr>
                <w:color w:val="000000"/>
                <w:szCs w:val="21"/>
                <w:lang w:val="en-US" w:eastAsia="zh-CN"/>
              </w:rPr>
            </w:pPr>
            <w:r>
              <w:rPr>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31" w:type="dxa"/>
            <w:vAlign w:val="center"/>
          </w:tcPr>
          <w:p>
            <w:pPr>
              <w:spacing w:line="360" w:lineRule="auto"/>
              <w:rPr>
                <w:szCs w:val="21"/>
                <w:lang w:eastAsia="zh-CN"/>
              </w:rPr>
            </w:pPr>
            <w:r>
              <w:rPr>
                <w:szCs w:val="21"/>
                <w:lang w:eastAsia="zh-CN"/>
              </w:rPr>
              <w:t>调节亮度、对比度、伽玛值以及灰度显示范围，并可以单独调节RGB各通道的亮度，方便地对图像添加伪彩色、改变色彩模式以及色阶位数等功能，可以改变图像分辨率、旋转图像等各种操作，支持反转、低通、高通、锐化等滤镜，使图像关注点和各荧光通道获得最佳的显示效果。</w:t>
            </w:r>
          </w:p>
        </w:tc>
        <w:tc>
          <w:tcPr>
            <w:tcW w:w="2125" w:type="dxa"/>
            <w:vAlign w:val="center"/>
          </w:tcPr>
          <w:p>
            <w:pPr>
              <w:spacing w:line="360" w:lineRule="auto"/>
              <w:jc w:val="both"/>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4"/>
              <w:numPr>
                <w:ilvl w:val="0"/>
                <w:numId w:val="8"/>
              </w:numPr>
              <w:spacing w:line="360" w:lineRule="auto"/>
              <w:ind w:firstLineChars="0"/>
              <w:rPr>
                <w:rFonts w:ascii="Times New Roman" w:hAnsi="Times New Roman"/>
                <w:szCs w:val="21"/>
              </w:rPr>
            </w:pPr>
          </w:p>
        </w:tc>
        <w:tc>
          <w:tcPr>
            <w:tcW w:w="9256" w:type="dxa"/>
            <w:gridSpan w:val="2"/>
            <w:shd w:val="clear" w:color="auto" w:fill="D9D9D9"/>
            <w:vAlign w:val="center"/>
          </w:tcPr>
          <w:p>
            <w:pPr>
              <w:spacing w:line="360" w:lineRule="auto"/>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24" w:edGrp="everyone"/>
            <w:r>
              <w:rPr>
                <w:rFonts w:ascii="Times New Roman" w:hAnsi="Times New Roman"/>
                <w:szCs w:val="21"/>
              </w:rPr>
              <w:t>U</w:t>
            </w:r>
          </w:p>
        </w:tc>
        <w:tc>
          <w:tcPr>
            <w:tcW w:w="7131" w:type="dxa"/>
            <w:vAlign w:val="center"/>
          </w:tcPr>
          <w:p>
            <w:pPr>
              <w:spacing w:line="360" w:lineRule="auto"/>
              <w:jc w:val="both"/>
              <w:rPr>
                <w:kern w:val="2"/>
                <w:szCs w:val="21"/>
                <w:lang w:val="en-US" w:eastAsia="zh-CN"/>
              </w:rPr>
            </w:pPr>
            <w:r>
              <w:rPr>
                <w:kern w:val="2"/>
                <w:szCs w:val="21"/>
                <w:lang w:val="en-US" w:eastAsia="zh-CN"/>
              </w:rPr>
              <w:t>可以测量直线长度、矩形面积等多个参数，并把测量结果输出到EXCEL，并于后期分析处理。</w:t>
            </w:r>
          </w:p>
        </w:tc>
        <w:tc>
          <w:tcPr>
            <w:tcW w:w="2125" w:type="dxa"/>
            <w:vAlign w:val="center"/>
          </w:tcPr>
          <w:p>
            <w:pPr>
              <w:spacing w:line="360" w:lineRule="auto"/>
              <w:jc w:val="both"/>
              <w:rPr>
                <w:szCs w:val="21"/>
                <w:lang w:eastAsia="zh-CN"/>
              </w:rPr>
            </w:pPr>
            <w:r>
              <w:rPr>
                <w:szCs w:val="21"/>
                <w:lang w:val="en-US" w:eastAsia="zh-CN"/>
              </w:rPr>
              <w:t>关键</w:t>
            </w:r>
          </w:p>
        </w:tc>
      </w:tr>
      <w:permEnd w:id="24"/>
    </w:tbl>
    <w:p>
      <w:pPr>
        <w:pStyle w:val="34"/>
        <w:numPr>
          <w:ilvl w:val="0"/>
          <w:numId w:val="3"/>
        </w:numPr>
        <w:spacing w:after="158" w:afterLines="50" w:line="360" w:lineRule="auto"/>
        <w:ind w:left="426" w:hanging="426" w:hangingChars="202"/>
        <w:outlineLvl w:val="0"/>
        <w:rPr>
          <w:rFonts w:ascii="Times New Roman" w:hAnsi="Times New Roman"/>
          <w:b/>
        </w:rPr>
      </w:pPr>
      <w:bookmarkStart w:id="28" w:name="_Toc74299963"/>
      <w:bookmarkStart w:id="29" w:name="_Toc522107742"/>
      <w:r>
        <w:rPr>
          <w:rFonts w:ascii="Times New Roman" w:hAnsi="Times New Roman"/>
          <w:b/>
        </w:rPr>
        <w:t>电气、自动控制要求</w:t>
      </w:r>
      <w:bookmarkEnd w:id="28"/>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spacing w:line="360" w:lineRule="auto"/>
              <w:jc w:val="center"/>
              <w:rPr>
                <w:b/>
                <w:szCs w:val="21"/>
              </w:rPr>
            </w:pPr>
            <w:permStart w:id="25" w:edGrp="everyone"/>
            <w:permEnd w:id="25"/>
            <w:r>
              <w:rPr>
                <w:b/>
                <w:szCs w:val="21"/>
              </w:rPr>
              <w:t>编号</w:t>
            </w:r>
          </w:p>
        </w:tc>
        <w:tc>
          <w:tcPr>
            <w:tcW w:w="7128" w:type="dxa"/>
            <w:shd w:val="clear" w:color="auto" w:fill="D9D9D9"/>
            <w:vAlign w:val="center"/>
          </w:tcPr>
          <w:p>
            <w:pPr>
              <w:spacing w:line="360" w:lineRule="auto"/>
              <w:jc w:val="center"/>
              <w:rPr>
                <w:b/>
                <w:szCs w:val="21"/>
                <w:lang w:eastAsia="zh-CN"/>
              </w:rPr>
            </w:pPr>
            <w:r>
              <w:rPr>
                <w:b/>
                <w:szCs w:val="21"/>
                <w:lang w:eastAsia="zh-CN"/>
              </w:rPr>
              <w:t>需求</w:t>
            </w:r>
          </w:p>
        </w:tc>
        <w:tc>
          <w:tcPr>
            <w:tcW w:w="2125"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4"/>
              <w:numPr>
                <w:ilvl w:val="2"/>
                <w:numId w:val="9"/>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26" w:edGrp="everyone"/>
          </w:p>
        </w:tc>
        <w:tc>
          <w:tcPr>
            <w:tcW w:w="7128" w:type="dxa"/>
            <w:vAlign w:val="center"/>
          </w:tcPr>
          <w:p>
            <w:pPr>
              <w:spacing w:line="360" w:lineRule="auto"/>
              <w:jc w:val="both"/>
              <w:rPr>
                <w:i/>
                <w:szCs w:val="21"/>
                <w:lang w:eastAsia="zh-CN"/>
              </w:rPr>
            </w:pPr>
            <w:r>
              <w:rPr>
                <w:iCs/>
                <w:szCs w:val="21"/>
                <w:lang w:eastAsia="zh-CN"/>
              </w:rPr>
              <w:t>软件具备中英文界面可选，界面可自定义。</w:t>
            </w:r>
          </w:p>
        </w:tc>
        <w:tc>
          <w:tcPr>
            <w:tcW w:w="2125" w:type="dxa"/>
            <w:vAlign w:val="center"/>
          </w:tcPr>
          <w:p>
            <w:pPr>
              <w:spacing w:line="360" w:lineRule="auto"/>
              <w:jc w:val="both"/>
              <w:rPr>
                <w:szCs w:val="21"/>
                <w:lang w:eastAsia="zh-CN"/>
              </w:rPr>
            </w:pPr>
            <w:r>
              <w:rPr>
                <w:szCs w:val="21"/>
                <w:lang w:val="en-US"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4"/>
              <w:numPr>
                <w:ilvl w:val="2"/>
                <w:numId w:val="9"/>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27" w:edGrp="everyone"/>
          </w:p>
        </w:tc>
        <w:tc>
          <w:tcPr>
            <w:tcW w:w="7128" w:type="dxa"/>
            <w:vAlign w:val="center"/>
          </w:tcPr>
          <w:p>
            <w:pPr>
              <w:spacing w:line="360" w:lineRule="auto"/>
              <w:jc w:val="both"/>
              <w:rPr>
                <w:szCs w:val="21"/>
                <w:lang w:eastAsia="zh-CN"/>
              </w:rPr>
            </w:pPr>
            <w:r>
              <w:rPr>
                <w:iCs/>
                <w:szCs w:val="21"/>
                <w:lang w:eastAsia="zh-CN"/>
              </w:rPr>
              <w:t>显微镜厂家同品牌件：与成像系统完美兼容，可实时预览，自动/手动曝光，添加标尺及测量，调整图像直方图。</w:t>
            </w:r>
          </w:p>
        </w:tc>
        <w:tc>
          <w:tcPr>
            <w:tcW w:w="2125" w:type="dxa"/>
            <w:vAlign w:val="center"/>
          </w:tcPr>
          <w:p>
            <w:pPr>
              <w:spacing w:line="360" w:lineRule="auto"/>
              <w:jc w:val="both"/>
              <w:rPr>
                <w:szCs w:val="21"/>
                <w:lang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color w:val="000000"/>
                <w:szCs w:val="21"/>
              </w:rPr>
            </w:pPr>
          </w:p>
        </w:tc>
        <w:tc>
          <w:tcPr>
            <w:tcW w:w="7128" w:type="dxa"/>
            <w:vAlign w:val="center"/>
          </w:tcPr>
          <w:p>
            <w:pPr>
              <w:spacing w:line="360" w:lineRule="auto"/>
              <w:jc w:val="both"/>
              <w:rPr>
                <w:iCs/>
                <w:color w:val="000000"/>
                <w:szCs w:val="21"/>
                <w:lang w:eastAsia="zh-CN"/>
              </w:rPr>
            </w:pPr>
            <w:r>
              <w:rPr>
                <w:iCs/>
                <w:color w:val="000000"/>
                <w:szCs w:val="21"/>
                <w:lang w:eastAsia="zh-CN"/>
              </w:rPr>
              <w:t>主机配置至少为处理器十一代i7，1T机械硬盘+512G固态硬盘/1T固态硬盘，4G独显,GTX1650，内存16G（单根），可扩展至32G。</w:t>
            </w:r>
          </w:p>
        </w:tc>
        <w:tc>
          <w:tcPr>
            <w:tcW w:w="2125" w:type="dxa"/>
            <w:vAlign w:val="center"/>
          </w:tcPr>
          <w:p>
            <w:pPr>
              <w:spacing w:line="360" w:lineRule="auto"/>
              <w:jc w:val="both"/>
              <w:rPr>
                <w:color w:val="000000"/>
                <w:szCs w:val="21"/>
                <w:lang w:val="en-US" w:eastAsia="zh-CN"/>
              </w:rPr>
            </w:pPr>
            <w:r>
              <w:rPr>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color w:val="000000"/>
                <w:szCs w:val="21"/>
              </w:rPr>
            </w:pPr>
          </w:p>
        </w:tc>
        <w:tc>
          <w:tcPr>
            <w:tcW w:w="7128" w:type="dxa"/>
            <w:vAlign w:val="center"/>
          </w:tcPr>
          <w:p>
            <w:pPr>
              <w:spacing w:line="360" w:lineRule="auto"/>
              <w:jc w:val="both"/>
              <w:rPr>
                <w:iCs/>
                <w:color w:val="000000"/>
                <w:szCs w:val="21"/>
                <w:lang w:eastAsia="zh-CN"/>
              </w:rPr>
            </w:pPr>
            <w:r>
              <w:rPr>
                <w:iCs/>
                <w:color w:val="000000"/>
                <w:szCs w:val="21"/>
                <w:lang w:eastAsia="zh-CN"/>
              </w:rPr>
              <w:t>显示屏至少23.8寸，240HZ,2K高清。</w:t>
            </w:r>
          </w:p>
        </w:tc>
        <w:tc>
          <w:tcPr>
            <w:tcW w:w="2125" w:type="dxa"/>
            <w:vAlign w:val="center"/>
          </w:tcPr>
          <w:p>
            <w:pPr>
              <w:spacing w:line="360" w:lineRule="auto"/>
              <w:jc w:val="both"/>
              <w:rPr>
                <w:color w:val="000000"/>
                <w:szCs w:val="21"/>
                <w:lang w:val="en-US" w:eastAsia="zh-CN"/>
              </w:rPr>
            </w:pPr>
            <w:r>
              <w:rPr>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color w:val="000000"/>
                <w:szCs w:val="21"/>
              </w:rPr>
            </w:pPr>
          </w:p>
        </w:tc>
        <w:tc>
          <w:tcPr>
            <w:tcW w:w="7128" w:type="dxa"/>
            <w:vAlign w:val="center"/>
          </w:tcPr>
          <w:p>
            <w:pPr>
              <w:spacing w:line="360" w:lineRule="auto"/>
              <w:jc w:val="both"/>
              <w:rPr>
                <w:iCs/>
                <w:color w:val="000000"/>
                <w:szCs w:val="21"/>
                <w:lang w:eastAsia="zh-CN"/>
              </w:rPr>
            </w:pPr>
            <w:r>
              <w:rPr>
                <w:iCs/>
                <w:color w:val="000000"/>
                <w:szCs w:val="21"/>
                <w:lang w:eastAsia="zh-CN"/>
              </w:rPr>
              <w:t>计算机正版配套系统，Windows10及正版OFFICE2016。</w:t>
            </w:r>
          </w:p>
        </w:tc>
        <w:tc>
          <w:tcPr>
            <w:tcW w:w="2125" w:type="dxa"/>
            <w:vAlign w:val="center"/>
          </w:tcPr>
          <w:p>
            <w:pPr>
              <w:spacing w:line="360" w:lineRule="auto"/>
              <w:jc w:val="both"/>
              <w:rPr>
                <w:color w:val="000000"/>
                <w:szCs w:val="21"/>
                <w:lang w:val="en-US" w:eastAsia="zh-CN"/>
              </w:rPr>
            </w:pPr>
            <w:r>
              <w:rPr>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color w:val="000000"/>
                <w:szCs w:val="21"/>
              </w:rPr>
            </w:pPr>
          </w:p>
        </w:tc>
        <w:tc>
          <w:tcPr>
            <w:tcW w:w="7128" w:type="dxa"/>
            <w:vAlign w:val="center"/>
          </w:tcPr>
          <w:p>
            <w:pPr>
              <w:spacing w:line="360" w:lineRule="auto"/>
              <w:jc w:val="both"/>
              <w:rPr>
                <w:iCs/>
                <w:color w:val="000000"/>
                <w:szCs w:val="21"/>
                <w:lang w:eastAsia="zh-CN"/>
              </w:rPr>
            </w:pPr>
            <w:r>
              <w:rPr>
                <w:iCs/>
                <w:szCs w:val="21"/>
                <w:lang w:eastAsia="zh-CN"/>
              </w:rPr>
              <w:t>仪器软件具有至少</w:t>
            </w:r>
            <w:r>
              <w:rPr>
                <w:iCs/>
                <w:szCs w:val="21"/>
                <w:lang w:val="en-US" w:eastAsia="zh-CN"/>
              </w:rPr>
              <w:t>3</w:t>
            </w:r>
            <w:r>
              <w:rPr>
                <w:iCs/>
                <w:szCs w:val="21"/>
                <w:lang w:eastAsia="zh-CN"/>
              </w:rPr>
              <w:t>级用户分级权限管理及密码管理的功能，仪器软件每级权限应可以设置多个用户，并有用户分级管理功能，每个等级拥有相应的可设置权限。</w:t>
            </w:r>
          </w:p>
        </w:tc>
        <w:tc>
          <w:tcPr>
            <w:tcW w:w="2125" w:type="dxa"/>
            <w:vAlign w:val="center"/>
          </w:tcPr>
          <w:p>
            <w:pPr>
              <w:spacing w:line="360" w:lineRule="auto"/>
              <w:jc w:val="both"/>
              <w:rPr>
                <w:color w:val="000000"/>
                <w:szCs w:val="21"/>
                <w:lang w:val="en-US" w:eastAsia="zh-CN"/>
              </w:rPr>
            </w:pPr>
            <w:r>
              <w:rPr>
                <w:rFonts w:hint="eastAsia"/>
                <w:color w:val="000000"/>
                <w:szCs w:val="21"/>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color w:val="000000"/>
                <w:szCs w:val="21"/>
              </w:rPr>
            </w:pPr>
          </w:p>
        </w:tc>
        <w:tc>
          <w:tcPr>
            <w:tcW w:w="7128" w:type="dxa"/>
            <w:vAlign w:val="center"/>
          </w:tcPr>
          <w:p>
            <w:pPr>
              <w:spacing w:line="360" w:lineRule="auto"/>
              <w:jc w:val="both"/>
              <w:rPr>
                <w:iCs/>
                <w:szCs w:val="21"/>
                <w:lang w:eastAsia="zh-CN"/>
              </w:rPr>
            </w:pPr>
            <w:r>
              <w:rPr>
                <w:rFonts w:hint="eastAsia"/>
                <w:iCs/>
                <w:szCs w:val="21"/>
                <w:lang w:eastAsia="zh-CN"/>
              </w:rPr>
              <w:t>仪器软件每级权限应可以设置多个用户，并有用户分级管理功能，每个等级拥有相应的可设置权限</w:t>
            </w:r>
          </w:p>
        </w:tc>
        <w:tc>
          <w:tcPr>
            <w:tcW w:w="2125" w:type="dxa"/>
            <w:vAlign w:val="center"/>
          </w:tcPr>
          <w:p>
            <w:pPr>
              <w:spacing w:line="360" w:lineRule="auto"/>
              <w:jc w:val="both"/>
              <w:rPr>
                <w:color w:val="000000"/>
                <w:szCs w:val="21"/>
                <w:lang w:val="en-US" w:eastAsia="zh-CN"/>
              </w:rPr>
            </w:pPr>
            <w:r>
              <w:rPr>
                <w:rFonts w:hint="eastAsia"/>
                <w:color w:val="000000"/>
                <w:szCs w:val="21"/>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color w:val="000000"/>
                <w:szCs w:val="21"/>
              </w:rPr>
            </w:pPr>
          </w:p>
        </w:tc>
        <w:tc>
          <w:tcPr>
            <w:tcW w:w="7128" w:type="dxa"/>
            <w:vAlign w:val="center"/>
          </w:tcPr>
          <w:p>
            <w:pPr>
              <w:spacing w:line="360" w:lineRule="auto"/>
              <w:jc w:val="both"/>
              <w:rPr>
                <w:iCs/>
                <w:szCs w:val="21"/>
                <w:lang w:eastAsia="zh-CN"/>
              </w:rPr>
            </w:pPr>
            <w:r>
              <w:rPr>
                <w:szCs w:val="21"/>
                <w:lang w:eastAsia="zh-CN"/>
              </w:rPr>
              <w:t>系统应可以为每个用户创建唯一的用户名和密码</w:t>
            </w:r>
          </w:p>
        </w:tc>
        <w:tc>
          <w:tcPr>
            <w:tcW w:w="2125" w:type="dxa"/>
            <w:vAlign w:val="center"/>
          </w:tcPr>
          <w:p>
            <w:pPr>
              <w:spacing w:line="360" w:lineRule="auto"/>
              <w:jc w:val="both"/>
              <w:rPr>
                <w:color w:val="000000"/>
                <w:szCs w:val="21"/>
                <w:lang w:val="en-US" w:eastAsia="zh-CN"/>
              </w:rPr>
            </w:pPr>
            <w:r>
              <w:rPr>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color w:val="000000"/>
                <w:szCs w:val="21"/>
              </w:rPr>
            </w:pPr>
          </w:p>
        </w:tc>
        <w:tc>
          <w:tcPr>
            <w:tcW w:w="7128" w:type="dxa"/>
            <w:vAlign w:val="center"/>
          </w:tcPr>
          <w:p>
            <w:pPr>
              <w:spacing w:line="360" w:lineRule="auto"/>
              <w:jc w:val="both"/>
              <w:rPr>
                <w:iCs/>
                <w:szCs w:val="21"/>
                <w:lang w:eastAsia="zh-CN"/>
              </w:rPr>
            </w:pPr>
            <w:r>
              <w:rPr>
                <w:szCs w:val="21"/>
                <w:lang w:eastAsia="zh-CN"/>
              </w:rPr>
              <w:t>系统应不允许两个或多个用户拥有相同的用户名</w:t>
            </w:r>
          </w:p>
        </w:tc>
        <w:tc>
          <w:tcPr>
            <w:tcW w:w="2125" w:type="dxa"/>
            <w:vAlign w:val="center"/>
          </w:tcPr>
          <w:p>
            <w:pPr>
              <w:spacing w:line="360" w:lineRule="auto"/>
              <w:jc w:val="both"/>
              <w:rPr>
                <w:color w:val="000000"/>
                <w:szCs w:val="21"/>
                <w:lang w:val="en-US" w:eastAsia="zh-CN"/>
              </w:rPr>
            </w:pPr>
            <w:r>
              <w:rPr>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color w:val="000000"/>
                <w:szCs w:val="21"/>
              </w:rPr>
            </w:pPr>
          </w:p>
        </w:tc>
        <w:tc>
          <w:tcPr>
            <w:tcW w:w="7128" w:type="dxa"/>
            <w:vAlign w:val="center"/>
          </w:tcPr>
          <w:p>
            <w:pPr>
              <w:spacing w:line="360" w:lineRule="auto"/>
              <w:jc w:val="both"/>
              <w:rPr>
                <w:iCs/>
                <w:szCs w:val="21"/>
                <w:lang w:eastAsia="zh-CN"/>
              </w:rPr>
            </w:pPr>
            <w:r>
              <w:rPr>
                <w:szCs w:val="21"/>
                <w:lang w:eastAsia="zh-CN"/>
              </w:rPr>
              <w:t>应有权限功能防止系统时间被更改</w:t>
            </w:r>
          </w:p>
        </w:tc>
        <w:tc>
          <w:tcPr>
            <w:tcW w:w="2125" w:type="dxa"/>
            <w:vAlign w:val="center"/>
          </w:tcPr>
          <w:p>
            <w:pPr>
              <w:spacing w:line="360" w:lineRule="auto"/>
              <w:jc w:val="both"/>
              <w:rPr>
                <w:color w:val="000000"/>
                <w:szCs w:val="21"/>
                <w:lang w:val="en-US" w:eastAsia="zh-CN"/>
              </w:rPr>
            </w:pPr>
            <w:r>
              <w:rPr>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color w:val="000000"/>
                <w:szCs w:val="21"/>
              </w:rPr>
            </w:pPr>
          </w:p>
        </w:tc>
        <w:tc>
          <w:tcPr>
            <w:tcW w:w="7128" w:type="dxa"/>
            <w:vAlign w:val="center"/>
          </w:tcPr>
          <w:p>
            <w:pPr>
              <w:spacing w:line="360" w:lineRule="auto"/>
              <w:jc w:val="both"/>
              <w:rPr>
                <w:iCs/>
                <w:szCs w:val="21"/>
                <w:lang w:eastAsia="zh-CN"/>
              </w:rPr>
            </w:pPr>
            <w:r>
              <w:rPr>
                <w:szCs w:val="21"/>
                <w:lang w:eastAsia="zh-CN"/>
              </w:rPr>
              <w:t>用户在密码输入时，电脑显示器上应不显示实际密码（比如密码会以</w:t>
            </w:r>
            <w:r>
              <w:rPr>
                <w:rFonts w:hint="eastAsia"/>
                <w:szCs w:val="21"/>
                <w:lang w:eastAsia="zh-CN"/>
              </w:rPr>
              <w:t>关键</w:t>
            </w:r>
            <w:r>
              <w:rPr>
                <w:szCs w:val="21"/>
                <w:lang w:eastAsia="zh-CN"/>
              </w:rPr>
              <w:t>或其他符合显示）</w:t>
            </w:r>
          </w:p>
        </w:tc>
        <w:tc>
          <w:tcPr>
            <w:tcW w:w="2125" w:type="dxa"/>
            <w:vAlign w:val="center"/>
          </w:tcPr>
          <w:p>
            <w:pPr>
              <w:spacing w:line="360" w:lineRule="auto"/>
              <w:jc w:val="both"/>
              <w:rPr>
                <w:color w:val="000000"/>
                <w:szCs w:val="21"/>
                <w:lang w:val="en-US" w:eastAsia="zh-CN"/>
              </w:rPr>
            </w:pPr>
            <w:r>
              <w:rPr>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color w:val="000000"/>
                <w:szCs w:val="21"/>
              </w:rPr>
            </w:pPr>
          </w:p>
        </w:tc>
        <w:tc>
          <w:tcPr>
            <w:tcW w:w="7128" w:type="dxa"/>
            <w:vAlign w:val="center"/>
          </w:tcPr>
          <w:p>
            <w:pPr>
              <w:spacing w:line="360" w:lineRule="auto"/>
              <w:jc w:val="both"/>
              <w:rPr>
                <w:iCs/>
                <w:szCs w:val="21"/>
                <w:lang w:eastAsia="zh-CN"/>
              </w:rPr>
            </w:pPr>
            <w:r>
              <w:rPr>
                <w:szCs w:val="21"/>
                <w:lang w:eastAsia="zh-CN"/>
              </w:rPr>
              <w:t>系统管理员应可以重置密码</w:t>
            </w:r>
          </w:p>
        </w:tc>
        <w:tc>
          <w:tcPr>
            <w:tcW w:w="2125" w:type="dxa"/>
            <w:vAlign w:val="center"/>
          </w:tcPr>
          <w:p>
            <w:pPr>
              <w:spacing w:line="360" w:lineRule="auto"/>
              <w:jc w:val="both"/>
              <w:rPr>
                <w:color w:val="000000"/>
                <w:szCs w:val="21"/>
                <w:lang w:val="en-US" w:eastAsia="zh-CN"/>
              </w:rPr>
            </w:pPr>
            <w:r>
              <w:rPr>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color w:val="000000"/>
                <w:szCs w:val="21"/>
              </w:rPr>
            </w:pPr>
          </w:p>
        </w:tc>
        <w:tc>
          <w:tcPr>
            <w:tcW w:w="7128" w:type="dxa"/>
            <w:vAlign w:val="center"/>
          </w:tcPr>
          <w:p>
            <w:pPr>
              <w:spacing w:line="360" w:lineRule="auto"/>
              <w:jc w:val="both"/>
              <w:rPr>
                <w:iCs/>
                <w:szCs w:val="21"/>
                <w:lang w:eastAsia="zh-CN"/>
              </w:rPr>
            </w:pPr>
            <w:r>
              <w:rPr>
                <w:szCs w:val="21"/>
                <w:lang w:eastAsia="zh-CN"/>
              </w:rPr>
              <w:t>系统应可以设置密码最小长度为8位</w:t>
            </w:r>
          </w:p>
        </w:tc>
        <w:tc>
          <w:tcPr>
            <w:tcW w:w="2125" w:type="dxa"/>
            <w:vAlign w:val="center"/>
          </w:tcPr>
          <w:p>
            <w:pPr>
              <w:spacing w:line="360" w:lineRule="auto"/>
              <w:jc w:val="both"/>
              <w:rPr>
                <w:color w:val="000000"/>
                <w:szCs w:val="21"/>
                <w:lang w:val="en-US" w:eastAsia="zh-CN"/>
              </w:rPr>
            </w:pPr>
            <w:r>
              <w:rPr>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color w:val="000000"/>
                <w:szCs w:val="21"/>
              </w:rPr>
            </w:pPr>
          </w:p>
        </w:tc>
        <w:tc>
          <w:tcPr>
            <w:tcW w:w="7128" w:type="dxa"/>
            <w:vAlign w:val="center"/>
          </w:tcPr>
          <w:p>
            <w:pPr>
              <w:spacing w:line="360" w:lineRule="auto"/>
              <w:jc w:val="both"/>
              <w:rPr>
                <w:iCs/>
                <w:szCs w:val="21"/>
                <w:lang w:eastAsia="zh-CN"/>
              </w:rPr>
            </w:pPr>
            <w:r>
              <w:rPr>
                <w:szCs w:val="21"/>
                <w:lang w:eastAsia="zh-CN"/>
              </w:rPr>
              <w:t>应有安全保护以防止未授权的用户账号和密码进行使用，比如</w:t>
            </w:r>
            <w:r>
              <w:rPr>
                <w:rFonts w:hint="eastAsia"/>
                <w:szCs w:val="21"/>
                <w:lang w:eastAsia="zh-CN"/>
              </w:rPr>
              <w:t>5</w:t>
            </w:r>
            <w:r>
              <w:rPr>
                <w:szCs w:val="21"/>
                <w:lang w:eastAsia="zh-CN"/>
              </w:rPr>
              <w:t>次无效登录尝试后将锁定账户等</w:t>
            </w:r>
          </w:p>
        </w:tc>
        <w:tc>
          <w:tcPr>
            <w:tcW w:w="2125" w:type="dxa"/>
            <w:vAlign w:val="center"/>
          </w:tcPr>
          <w:p>
            <w:pPr>
              <w:spacing w:line="360" w:lineRule="auto"/>
              <w:jc w:val="both"/>
              <w:rPr>
                <w:color w:val="000000"/>
                <w:szCs w:val="21"/>
                <w:lang w:val="en-US" w:eastAsia="zh-CN"/>
              </w:rPr>
            </w:pPr>
            <w:r>
              <w:rPr>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color w:val="000000"/>
                <w:szCs w:val="21"/>
              </w:rPr>
            </w:pPr>
          </w:p>
        </w:tc>
        <w:tc>
          <w:tcPr>
            <w:tcW w:w="7128" w:type="dxa"/>
            <w:vAlign w:val="center"/>
          </w:tcPr>
          <w:p>
            <w:pPr>
              <w:spacing w:line="360" w:lineRule="auto"/>
              <w:jc w:val="both"/>
              <w:rPr>
                <w:iCs/>
                <w:szCs w:val="21"/>
                <w:lang w:eastAsia="zh-CN"/>
              </w:rPr>
            </w:pPr>
            <w:r>
              <w:rPr>
                <w:szCs w:val="21"/>
                <w:lang w:eastAsia="zh-CN"/>
              </w:rPr>
              <w:t>系统管理员应可以激活锁住的账户</w:t>
            </w:r>
          </w:p>
        </w:tc>
        <w:tc>
          <w:tcPr>
            <w:tcW w:w="2125" w:type="dxa"/>
            <w:vAlign w:val="center"/>
          </w:tcPr>
          <w:p>
            <w:pPr>
              <w:spacing w:line="360" w:lineRule="auto"/>
              <w:jc w:val="both"/>
              <w:rPr>
                <w:color w:val="000000"/>
                <w:szCs w:val="21"/>
                <w:lang w:val="en-US" w:eastAsia="zh-CN"/>
              </w:rPr>
            </w:pPr>
            <w:r>
              <w:rPr>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color w:val="000000"/>
                <w:szCs w:val="21"/>
              </w:rPr>
            </w:pPr>
          </w:p>
        </w:tc>
        <w:tc>
          <w:tcPr>
            <w:tcW w:w="7128" w:type="dxa"/>
            <w:vAlign w:val="center"/>
          </w:tcPr>
          <w:p>
            <w:pPr>
              <w:spacing w:line="360" w:lineRule="auto"/>
              <w:jc w:val="both"/>
              <w:rPr>
                <w:iCs/>
                <w:szCs w:val="21"/>
                <w:lang w:eastAsia="zh-CN"/>
              </w:rPr>
            </w:pPr>
            <w:r>
              <w:rPr>
                <w:szCs w:val="21"/>
                <w:lang w:eastAsia="zh-CN"/>
              </w:rPr>
              <w:t>系统必须具有超时强制退出要求重新登录的功能。</w:t>
            </w:r>
          </w:p>
        </w:tc>
        <w:tc>
          <w:tcPr>
            <w:tcW w:w="2125" w:type="dxa"/>
            <w:vAlign w:val="center"/>
          </w:tcPr>
          <w:p>
            <w:pPr>
              <w:spacing w:line="360" w:lineRule="auto"/>
              <w:jc w:val="both"/>
              <w:rPr>
                <w:color w:val="000000"/>
                <w:szCs w:val="21"/>
                <w:lang w:val="en-US" w:eastAsia="zh-CN"/>
              </w:rPr>
            </w:pPr>
            <w:r>
              <w:rPr>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color w:val="000000"/>
                <w:szCs w:val="21"/>
              </w:rPr>
            </w:pPr>
          </w:p>
        </w:tc>
        <w:tc>
          <w:tcPr>
            <w:tcW w:w="7128" w:type="dxa"/>
            <w:vAlign w:val="center"/>
          </w:tcPr>
          <w:p>
            <w:pPr>
              <w:spacing w:line="360" w:lineRule="auto"/>
              <w:jc w:val="both"/>
              <w:rPr>
                <w:iCs/>
                <w:szCs w:val="21"/>
                <w:lang w:eastAsia="zh-CN"/>
              </w:rPr>
            </w:pPr>
            <w:r>
              <w:rPr>
                <w:szCs w:val="21"/>
                <w:lang w:eastAsia="zh-CN"/>
              </w:rPr>
              <w:t>系统应可以允许用户和管理员更改自己的密码</w:t>
            </w:r>
          </w:p>
        </w:tc>
        <w:tc>
          <w:tcPr>
            <w:tcW w:w="2125" w:type="dxa"/>
            <w:vAlign w:val="center"/>
          </w:tcPr>
          <w:p>
            <w:pPr>
              <w:spacing w:line="360" w:lineRule="auto"/>
              <w:jc w:val="both"/>
              <w:rPr>
                <w:color w:val="000000"/>
                <w:szCs w:val="21"/>
                <w:lang w:val="en-US" w:eastAsia="zh-CN"/>
              </w:rPr>
            </w:pPr>
            <w:r>
              <w:rPr>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color w:val="000000"/>
                <w:szCs w:val="21"/>
              </w:rPr>
            </w:pPr>
          </w:p>
        </w:tc>
        <w:tc>
          <w:tcPr>
            <w:tcW w:w="7128" w:type="dxa"/>
            <w:vAlign w:val="center"/>
          </w:tcPr>
          <w:p>
            <w:pPr>
              <w:spacing w:line="360" w:lineRule="auto"/>
              <w:jc w:val="both"/>
              <w:rPr>
                <w:szCs w:val="21"/>
                <w:lang w:eastAsia="zh-CN"/>
              </w:rPr>
            </w:pPr>
            <w:r>
              <w:rPr>
                <w:szCs w:val="21"/>
                <w:lang w:eastAsia="zh-CN"/>
              </w:rPr>
              <w:t>系统应可设置密码效期，如3个月</w:t>
            </w:r>
          </w:p>
        </w:tc>
        <w:tc>
          <w:tcPr>
            <w:tcW w:w="2125" w:type="dxa"/>
            <w:vAlign w:val="center"/>
          </w:tcPr>
          <w:p>
            <w:pPr>
              <w:spacing w:line="360" w:lineRule="auto"/>
              <w:jc w:val="both"/>
              <w:rPr>
                <w:color w:val="000000"/>
                <w:szCs w:val="21"/>
                <w:lang w:val="en-US" w:eastAsia="zh-CN"/>
              </w:rPr>
            </w:pPr>
            <w:r>
              <w:rPr>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color w:val="000000"/>
                <w:szCs w:val="21"/>
              </w:rPr>
            </w:pPr>
          </w:p>
        </w:tc>
        <w:tc>
          <w:tcPr>
            <w:tcW w:w="7128" w:type="dxa"/>
            <w:vAlign w:val="center"/>
          </w:tcPr>
          <w:p>
            <w:pPr>
              <w:spacing w:line="360" w:lineRule="auto"/>
              <w:jc w:val="both"/>
              <w:rPr>
                <w:szCs w:val="21"/>
                <w:lang w:eastAsia="zh-CN"/>
              </w:rPr>
            </w:pPr>
            <w:r>
              <w:rPr>
                <w:lang w:eastAsia="zh-CN"/>
              </w:rPr>
              <w:t>系统存储容量满足所有电子记录可存储至产品有效期后一年</w:t>
            </w:r>
          </w:p>
        </w:tc>
        <w:tc>
          <w:tcPr>
            <w:tcW w:w="2125" w:type="dxa"/>
            <w:vAlign w:val="center"/>
          </w:tcPr>
          <w:p>
            <w:pPr>
              <w:spacing w:line="360" w:lineRule="auto"/>
              <w:jc w:val="both"/>
              <w:rPr>
                <w:color w:val="000000"/>
                <w:szCs w:val="21"/>
                <w:lang w:val="en-US" w:eastAsia="zh-CN"/>
              </w:rPr>
            </w:pPr>
            <w:r>
              <w:rPr>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color w:val="000000"/>
                <w:szCs w:val="21"/>
              </w:rPr>
            </w:pPr>
          </w:p>
        </w:tc>
        <w:tc>
          <w:tcPr>
            <w:tcW w:w="7128" w:type="dxa"/>
            <w:vAlign w:val="center"/>
          </w:tcPr>
          <w:p>
            <w:pPr>
              <w:spacing w:line="360" w:lineRule="auto"/>
              <w:jc w:val="both"/>
              <w:rPr>
                <w:szCs w:val="21"/>
                <w:lang w:eastAsia="zh-CN"/>
              </w:rPr>
            </w:pPr>
            <w:r>
              <w:rPr>
                <w:rFonts w:hint="eastAsia"/>
                <w:iCs/>
                <w:szCs w:val="21"/>
                <w:lang w:eastAsia="zh-CN"/>
              </w:rPr>
              <w:t>审计追踪记录应自动存储且不可被删除或更改，可查询、输出、备份恢复、打印</w:t>
            </w:r>
          </w:p>
        </w:tc>
        <w:tc>
          <w:tcPr>
            <w:tcW w:w="2125" w:type="dxa"/>
            <w:vAlign w:val="center"/>
          </w:tcPr>
          <w:p>
            <w:pPr>
              <w:spacing w:line="360" w:lineRule="auto"/>
              <w:jc w:val="both"/>
              <w:rPr>
                <w:color w:val="000000"/>
                <w:szCs w:val="21"/>
                <w:lang w:val="en-US" w:eastAsia="zh-CN"/>
              </w:rPr>
            </w:pPr>
            <w:r>
              <w:rPr>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color w:val="000000"/>
                <w:szCs w:val="21"/>
              </w:rPr>
            </w:pPr>
          </w:p>
        </w:tc>
        <w:tc>
          <w:tcPr>
            <w:tcW w:w="7128" w:type="dxa"/>
            <w:vAlign w:val="center"/>
          </w:tcPr>
          <w:p>
            <w:pPr>
              <w:spacing w:line="360" w:lineRule="auto"/>
              <w:jc w:val="both"/>
              <w:rPr>
                <w:szCs w:val="21"/>
                <w:lang w:eastAsia="zh-CN"/>
              </w:rPr>
            </w:pPr>
            <w:r>
              <w:rPr>
                <w:rFonts w:hint="eastAsia"/>
                <w:iCs/>
                <w:szCs w:val="21"/>
                <w:lang w:eastAsia="zh-CN"/>
              </w:rPr>
              <w:t>电子记录可自动存储为不可修改格式，可查询、输出、备份恢复、打印</w:t>
            </w:r>
          </w:p>
        </w:tc>
        <w:tc>
          <w:tcPr>
            <w:tcW w:w="2125" w:type="dxa"/>
            <w:vAlign w:val="center"/>
          </w:tcPr>
          <w:p>
            <w:pPr>
              <w:spacing w:line="360" w:lineRule="auto"/>
              <w:jc w:val="both"/>
              <w:rPr>
                <w:color w:val="000000"/>
                <w:szCs w:val="21"/>
                <w:lang w:val="en-US" w:eastAsia="zh-CN"/>
              </w:rPr>
            </w:pPr>
            <w:r>
              <w:rPr>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color w:val="000000"/>
                <w:szCs w:val="21"/>
              </w:rPr>
            </w:pPr>
          </w:p>
        </w:tc>
        <w:tc>
          <w:tcPr>
            <w:tcW w:w="7128" w:type="dxa"/>
            <w:vAlign w:val="center"/>
          </w:tcPr>
          <w:p>
            <w:pPr>
              <w:spacing w:line="360" w:lineRule="auto"/>
              <w:jc w:val="both"/>
              <w:rPr>
                <w:iCs/>
                <w:color w:val="000000"/>
                <w:szCs w:val="21"/>
                <w:lang w:eastAsia="zh-CN"/>
              </w:rPr>
            </w:pPr>
            <w:r>
              <w:rPr>
                <w:iCs/>
                <w:szCs w:val="21"/>
                <w:lang w:eastAsia="zh-CN"/>
              </w:rPr>
              <w:t>供应商提供系统及程序备份盘及备份恢复说明。</w:t>
            </w:r>
          </w:p>
        </w:tc>
        <w:tc>
          <w:tcPr>
            <w:tcW w:w="2125" w:type="dxa"/>
            <w:vAlign w:val="center"/>
          </w:tcPr>
          <w:p>
            <w:pPr>
              <w:spacing w:line="360" w:lineRule="auto"/>
              <w:jc w:val="both"/>
              <w:rPr>
                <w:color w:val="000000"/>
                <w:szCs w:val="21"/>
                <w:lang w:val="en-US" w:eastAsia="zh-CN"/>
              </w:rPr>
            </w:pPr>
            <w:r>
              <w:rPr>
                <w:szCs w:val="21"/>
                <w:lang w:val="en-US" w:eastAsia="zh-CN"/>
              </w:rPr>
              <w:t>*</w:t>
            </w:r>
            <w:r>
              <w:rPr>
                <w:color w:val="000000"/>
                <w:szCs w:val="21"/>
                <w:lang w:val="en-US" w:eastAsia="zh-CN"/>
              </w:rPr>
              <w:t>关键</w:t>
            </w:r>
          </w:p>
        </w:tc>
      </w:tr>
      <w:permEnd w:id="27"/>
    </w:tbl>
    <w:p>
      <w:pPr>
        <w:pStyle w:val="34"/>
        <w:numPr>
          <w:ilvl w:val="0"/>
          <w:numId w:val="3"/>
        </w:numPr>
        <w:spacing w:after="158" w:afterLines="50" w:line="360" w:lineRule="auto"/>
        <w:ind w:left="426" w:hanging="426" w:hangingChars="202"/>
        <w:outlineLvl w:val="0"/>
        <w:rPr>
          <w:rFonts w:ascii="Times New Roman" w:hAnsi="Times New Roman"/>
          <w:b/>
        </w:rPr>
      </w:pPr>
      <w:bookmarkStart w:id="30" w:name="_Toc74299964"/>
      <w:r>
        <w:rPr>
          <w:rFonts w:ascii="Times New Roman" w:hAnsi="Times New Roman"/>
          <w:b/>
        </w:rPr>
        <w:t>安全要求</w:t>
      </w:r>
      <w:bookmarkEnd w:id="29"/>
      <w:bookmarkEnd w:id="30"/>
    </w:p>
    <w:p>
      <w:pPr>
        <w:pStyle w:val="36"/>
        <w:spacing w:before="0" w:line="360" w:lineRule="auto"/>
        <w:jc w:val="left"/>
        <w:rPr>
          <w:i/>
          <w:szCs w:val="21"/>
          <w:lang w:eastAsia="zh-CN"/>
        </w:rPr>
      </w:pPr>
      <w:permStart w:id="28" w:edGrp="everyone"/>
    </w:p>
    <w:tbl>
      <w:tblPr>
        <w:tblStyle w:val="23"/>
        <w:tblW w:w="10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3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spacing w:line="360" w:lineRule="auto"/>
              <w:jc w:val="center"/>
              <w:rPr>
                <w:b/>
                <w:szCs w:val="21"/>
              </w:rPr>
            </w:pPr>
            <w:r>
              <w:rPr>
                <w:b/>
                <w:szCs w:val="21"/>
              </w:rPr>
              <w:t>编</w:t>
            </w:r>
            <w:permEnd w:id="28"/>
            <w:r>
              <w:rPr>
                <w:b/>
                <w:szCs w:val="21"/>
              </w:rPr>
              <w:t>号</w:t>
            </w:r>
          </w:p>
        </w:tc>
        <w:tc>
          <w:tcPr>
            <w:tcW w:w="7132" w:type="dxa"/>
            <w:shd w:val="clear" w:color="auto" w:fill="D9D9D9"/>
            <w:vAlign w:val="center"/>
          </w:tcPr>
          <w:p>
            <w:pPr>
              <w:spacing w:line="360" w:lineRule="auto"/>
              <w:jc w:val="center"/>
              <w:rPr>
                <w:b/>
                <w:szCs w:val="21"/>
                <w:lang w:eastAsia="zh-CN"/>
              </w:rPr>
            </w:pPr>
            <w:r>
              <w:rPr>
                <w:b/>
                <w:szCs w:val="21"/>
                <w:lang w:eastAsia="zh-CN"/>
              </w:rPr>
              <w:t>需求</w:t>
            </w:r>
          </w:p>
        </w:tc>
        <w:tc>
          <w:tcPr>
            <w:tcW w:w="2125"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4"/>
              <w:numPr>
                <w:ilvl w:val="0"/>
                <w:numId w:val="10"/>
              </w:numPr>
              <w:spacing w:line="360" w:lineRule="auto"/>
              <w:ind w:firstLineChars="0"/>
              <w:rPr>
                <w:rFonts w:ascii="Times New Roman" w:hAnsi="Times New Roman"/>
                <w:szCs w:val="21"/>
              </w:rPr>
            </w:pPr>
          </w:p>
        </w:tc>
        <w:tc>
          <w:tcPr>
            <w:tcW w:w="9257" w:type="dxa"/>
            <w:gridSpan w:val="2"/>
            <w:shd w:val="clear" w:color="auto" w:fill="D9D9D9"/>
            <w:vAlign w:val="center"/>
          </w:tcPr>
          <w:p>
            <w:pPr>
              <w:spacing w:line="360" w:lineRule="auto"/>
              <w:jc w:val="both"/>
              <w:rPr>
                <w:szCs w:val="21"/>
                <w:lang w:eastAsia="zh-CN"/>
              </w:rPr>
            </w:pPr>
            <w:r>
              <w:rPr>
                <w:szCs w:val="21"/>
                <w:lang w:eastAsia="zh-CN"/>
              </w:rPr>
              <w:t>安全防护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pct10" w:color="auto" w:fill="auto"/>
            <w:vAlign w:val="center"/>
          </w:tcPr>
          <w:p>
            <w:pPr>
              <w:pStyle w:val="34"/>
              <w:numPr>
                <w:ilvl w:val="0"/>
                <w:numId w:val="7"/>
              </w:numPr>
              <w:spacing w:line="360" w:lineRule="auto"/>
              <w:ind w:left="470" w:hanging="120" w:firstLineChars="0"/>
              <w:rPr>
                <w:rFonts w:ascii="Times New Roman" w:hAnsi="Times New Roman"/>
                <w:szCs w:val="21"/>
              </w:rPr>
            </w:pPr>
            <w:permStart w:id="29" w:edGrp="everyone"/>
          </w:p>
        </w:tc>
        <w:tc>
          <w:tcPr>
            <w:tcW w:w="7132" w:type="dxa"/>
            <w:vAlign w:val="center"/>
          </w:tcPr>
          <w:p>
            <w:pPr>
              <w:spacing w:line="360" w:lineRule="auto"/>
              <w:jc w:val="both"/>
              <w:rPr>
                <w:szCs w:val="21"/>
                <w:lang w:eastAsia="zh-CN"/>
              </w:rPr>
            </w:pPr>
            <w:r>
              <w:rPr>
                <w:szCs w:val="21"/>
                <w:lang w:eastAsia="zh-CN"/>
              </w:rPr>
              <w:t>显微镜的防尘防水能力应达到IP63及以上。</w:t>
            </w:r>
          </w:p>
        </w:tc>
        <w:tc>
          <w:tcPr>
            <w:tcW w:w="2125" w:type="dxa"/>
            <w:vAlign w:val="center"/>
          </w:tcPr>
          <w:p>
            <w:pPr>
              <w:spacing w:line="360" w:lineRule="auto"/>
              <w:jc w:val="both"/>
              <w:rPr>
                <w:szCs w:val="21"/>
              </w:rPr>
            </w:pPr>
            <w:r>
              <w:rPr>
                <w:szCs w:val="21"/>
                <w:lang w:val="en-US"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4"/>
              <w:numPr>
                <w:ilvl w:val="0"/>
                <w:numId w:val="10"/>
              </w:numPr>
              <w:spacing w:line="360" w:lineRule="auto"/>
              <w:ind w:firstLineChars="0"/>
              <w:rPr>
                <w:rFonts w:ascii="Times New Roman" w:hAnsi="Times New Roman"/>
                <w:szCs w:val="21"/>
              </w:rPr>
            </w:pPr>
          </w:p>
        </w:tc>
        <w:tc>
          <w:tcPr>
            <w:tcW w:w="7132" w:type="dxa"/>
            <w:shd w:val="clear" w:color="auto" w:fill="D9D9D9"/>
            <w:vAlign w:val="center"/>
          </w:tcPr>
          <w:p>
            <w:pPr>
              <w:spacing w:line="360" w:lineRule="auto"/>
              <w:jc w:val="both"/>
              <w:rPr>
                <w:szCs w:val="21"/>
                <w:lang w:eastAsia="zh-CN"/>
              </w:rPr>
            </w:pPr>
            <w:r>
              <w:rPr>
                <w:szCs w:val="21"/>
                <w:lang w:eastAsia="zh-CN"/>
              </w:rPr>
              <w:t>电气保护</w:t>
            </w:r>
          </w:p>
        </w:tc>
        <w:tc>
          <w:tcPr>
            <w:tcW w:w="2125" w:type="dxa"/>
            <w:shd w:val="clear" w:color="auto" w:fill="D9D9D9"/>
            <w:vAlign w:val="center"/>
          </w:tcPr>
          <w:p>
            <w:pPr>
              <w:spacing w:line="360" w:lineRule="auto"/>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spacing w:line="360" w:lineRule="auto"/>
              <w:ind w:left="709" w:firstLine="0" w:firstLineChars="0"/>
              <w:rPr>
                <w:rFonts w:ascii="Times New Roman" w:hAnsi="Times New Roman"/>
                <w:szCs w:val="21"/>
              </w:rPr>
            </w:pPr>
            <w:permStart w:id="30" w:edGrp="everyone"/>
          </w:p>
        </w:tc>
        <w:tc>
          <w:tcPr>
            <w:tcW w:w="7132" w:type="dxa"/>
            <w:vAlign w:val="center"/>
          </w:tcPr>
          <w:p>
            <w:pPr>
              <w:spacing w:line="360" w:lineRule="auto"/>
              <w:jc w:val="both"/>
              <w:rPr>
                <w:szCs w:val="21"/>
                <w:lang w:eastAsia="zh-CN"/>
              </w:rPr>
            </w:pPr>
            <w:r>
              <w:rPr>
                <w:szCs w:val="21"/>
              </w:rPr>
              <w:t>N/A</w:t>
            </w:r>
          </w:p>
        </w:tc>
        <w:tc>
          <w:tcPr>
            <w:tcW w:w="2125" w:type="dxa"/>
            <w:vAlign w:val="center"/>
          </w:tcPr>
          <w:p>
            <w:pPr>
              <w:spacing w:line="360" w:lineRule="auto"/>
              <w:jc w:val="both"/>
              <w:rPr>
                <w:szCs w:val="21"/>
                <w:lang w:eastAsia="zh-CN"/>
              </w:rPr>
            </w:pPr>
            <w:r>
              <w:rPr>
                <w:szCs w:val="21"/>
                <w:lang w:val="en-US" w:eastAsia="zh-CN"/>
              </w:rPr>
              <w:t>关键</w:t>
            </w:r>
          </w:p>
        </w:tc>
      </w:tr>
      <w:permEnd w:id="30"/>
    </w:tbl>
    <w:p>
      <w:pPr>
        <w:spacing w:line="360" w:lineRule="auto"/>
        <w:rPr>
          <w:szCs w:val="21"/>
          <w:lang w:eastAsia="zh-CN"/>
        </w:rPr>
      </w:pPr>
    </w:p>
    <w:p>
      <w:pPr>
        <w:pStyle w:val="34"/>
        <w:numPr>
          <w:ilvl w:val="0"/>
          <w:numId w:val="3"/>
        </w:numPr>
        <w:spacing w:after="158" w:afterLines="50" w:line="360" w:lineRule="auto"/>
        <w:ind w:left="426" w:hanging="426" w:hangingChars="202"/>
        <w:outlineLvl w:val="0"/>
        <w:rPr>
          <w:rFonts w:ascii="Times New Roman" w:hAnsi="Times New Roman"/>
          <w:b/>
        </w:rPr>
      </w:pPr>
      <w:bookmarkStart w:id="31" w:name="_Toc522107743"/>
      <w:bookmarkStart w:id="32" w:name="_Toc74299965"/>
      <w:r>
        <w:rPr>
          <w:rFonts w:ascii="Times New Roman" w:hAnsi="Times New Roman"/>
          <w:b/>
        </w:rPr>
        <w:t>文件要求</w:t>
      </w:r>
      <w:bookmarkEnd w:id="31"/>
      <w:bookmarkEnd w:id="32"/>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spacing w:line="360" w:lineRule="auto"/>
              <w:jc w:val="center"/>
              <w:rPr>
                <w:b/>
                <w:szCs w:val="21"/>
              </w:rPr>
            </w:pPr>
            <w:permStart w:id="31" w:edGrp="everyone"/>
            <w:permEnd w:id="31"/>
            <w:r>
              <w:rPr>
                <w:b/>
                <w:szCs w:val="21"/>
              </w:rPr>
              <w:t>编号</w:t>
            </w:r>
          </w:p>
        </w:tc>
        <w:tc>
          <w:tcPr>
            <w:tcW w:w="7128" w:type="dxa"/>
            <w:shd w:val="clear" w:color="auto" w:fill="D9D9D9"/>
            <w:vAlign w:val="center"/>
          </w:tcPr>
          <w:p>
            <w:pPr>
              <w:spacing w:line="360" w:lineRule="auto"/>
              <w:jc w:val="center"/>
              <w:rPr>
                <w:b/>
                <w:szCs w:val="21"/>
                <w:lang w:eastAsia="zh-CN"/>
              </w:rPr>
            </w:pPr>
            <w:r>
              <w:rPr>
                <w:b/>
                <w:szCs w:val="21"/>
                <w:lang w:eastAsia="zh-CN"/>
              </w:rPr>
              <w:t>需求</w:t>
            </w:r>
          </w:p>
        </w:tc>
        <w:tc>
          <w:tcPr>
            <w:tcW w:w="2125"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32" w:edGrp="everyone"/>
          </w:p>
        </w:tc>
        <w:tc>
          <w:tcPr>
            <w:tcW w:w="7128" w:type="dxa"/>
            <w:vAlign w:val="center"/>
          </w:tcPr>
          <w:p>
            <w:pPr>
              <w:spacing w:line="360" w:lineRule="auto"/>
              <w:jc w:val="both"/>
              <w:rPr>
                <w:szCs w:val="21"/>
                <w:lang w:eastAsia="zh-CN"/>
              </w:rPr>
            </w:pPr>
            <w:r>
              <w:rPr>
                <w:szCs w:val="21"/>
                <w:lang w:eastAsia="zh-CN"/>
              </w:rPr>
              <w:t>响应文件、合同及订单及设备交付计划表。提交时限：设备开箱验收</w:t>
            </w:r>
          </w:p>
        </w:tc>
        <w:tc>
          <w:tcPr>
            <w:tcW w:w="2125" w:type="dxa"/>
            <w:vAlign w:val="center"/>
          </w:tcPr>
          <w:p>
            <w:pPr>
              <w:spacing w:line="360" w:lineRule="auto"/>
              <w:jc w:val="both"/>
              <w:rPr>
                <w:szCs w:val="21"/>
                <w:lang w:eastAsia="zh-CN"/>
              </w:rPr>
            </w:pPr>
            <w:r>
              <w:rPr>
                <w:szCs w:val="21"/>
                <w:lang w:val="en-US"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33" w:edGrp="everyone"/>
          </w:p>
        </w:tc>
        <w:tc>
          <w:tcPr>
            <w:tcW w:w="7128" w:type="dxa"/>
            <w:vAlign w:val="center"/>
          </w:tcPr>
          <w:p>
            <w:pPr>
              <w:spacing w:line="360" w:lineRule="auto"/>
              <w:jc w:val="both"/>
              <w:rPr>
                <w:szCs w:val="21"/>
                <w:lang w:eastAsia="zh-CN"/>
              </w:rPr>
            </w:pPr>
            <w:r>
              <w:rPr>
                <w:szCs w:val="21"/>
                <w:lang w:eastAsia="zh-CN"/>
              </w:rPr>
              <w:t>卖方发运清单及相关检验报告(设备开箱验收时提交)。</w:t>
            </w:r>
          </w:p>
        </w:tc>
        <w:tc>
          <w:tcPr>
            <w:tcW w:w="2125" w:type="dxa"/>
            <w:vAlign w:val="center"/>
          </w:tcPr>
          <w:p>
            <w:pPr>
              <w:spacing w:line="360" w:lineRule="auto"/>
              <w:jc w:val="both"/>
              <w:rPr>
                <w:szCs w:val="21"/>
                <w:lang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lang w:eastAsia="zh-CN"/>
              </w:rPr>
              <w:t>设计选型文件：设备详细设计说明、功能说明、配置清单与说明（DQ开始前完成审批）。</w:t>
            </w:r>
          </w:p>
        </w:tc>
        <w:tc>
          <w:tcPr>
            <w:tcW w:w="2125" w:type="dxa"/>
            <w:vAlign w:val="center"/>
          </w:tcPr>
          <w:p>
            <w:pPr>
              <w:spacing w:line="360" w:lineRule="auto"/>
              <w:jc w:val="both"/>
              <w:rPr>
                <w:szCs w:val="21"/>
                <w:lang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szCs w:val="21"/>
                <w:lang w:eastAsia="zh-CN"/>
              </w:rPr>
              <w:t>图纸：实物图；各种验证、维修等活动所需的电子版及打印版系统布局图、设备尺寸图、设备局部图（与工艺、功能相关的细节图）、注释参考等；P&amp;ID图、控制原理图；图纸清单。</w:t>
            </w:r>
            <w:r>
              <w:rPr>
                <w:szCs w:val="21"/>
              </w:rPr>
              <w:t>提交时限：不晚于IQ开始前</w:t>
            </w:r>
            <w:r>
              <w:rPr>
                <w:szCs w:val="21"/>
                <w:lang w:eastAsia="zh-CN"/>
              </w:rPr>
              <w:t>。</w:t>
            </w:r>
          </w:p>
        </w:tc>
        <w:tc>
          <w:tcPr>
            <w:tcW w:w="2125" w:type="dxa"/>
            <w:vAlign w:val="center"/>
          </w:tcPr>
          <w:p>
            <w:pPr>
              <w:spacing w:line="360" w:lineRule="auto"/>
              <w:jc w:val="both"/>
              <w:rPr>
                <w:szCs w:val="21"/>
                <w:lang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szCs w:val="21"/>
                <w:lang w:eastAsia="zh-CN"/>
              </w:rPr>
              <w:t>零配件、部件、元件清单：包括编号、对应厂家名称、生产地、规格及必要说明。提交时限：不晚于IQ开始前。</w:t>
            </w:r>
          </w:p>
        </w:tc>
        <w:tc>
          <w:tcPr>
            <w:tcW w:w="2125" w:type="dxa"/>
            <w:vAlign w:val="center"/>
          </w:tcPr>
          <w:p>
            <w:pPr>
              <w:spacing w:line="360" w:lineRule="auto"/>
              <w:jc w:val="both"/>
              <w:rPr>
                <w:szCs w:val="21"/>
                <w:lang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szCs w:val="21"/>
                <w:lang w:eastAsia="zh-CN"/>
              </w:rPr>
              <w:t>设备制造文件：工厂检测报告、材质报告及合格证、出厂合格证、各种标示。提交时限：不晚于IQ开始前</w:t>
            </w:r>
          </w:p>
        </w:tc>
        <w:tc>
          <w:tcPr>
            <w:tcW w:w="2125" w:type="dxa"/>
            <w:vAlign w:val="center"/>
          </w:tcPr>
          <w:p>
            <w:pPr>
              <w:spacing w:line="360" w:lineRule="auto"/>
              <w:jc w:val="both"/>
              <w:rPr>
                <w:szCs w:val="21"/>
                <w:lang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lang w:eastAsia="zh-CN"/>
              </w:rPr>
              <w:t>设备操作手册（SOP）：语言为中文，应说明校准周期，并能提供校准服务</w:t>
            </w:r>
            <w:r>
              <w:rPr>
                <w:szCs w:val="21"/>
                <w:lang w:eastAsia="zh-CN"/>
              </w:rPr>
              <w:t>(设备开箱验收时提交)</w:t>
            </w:r>
            <w:r>
              <w:rPr>
                <w:lang w:eastAsia="zh-CN"/>
              </w:rPr>
              <w:t>。</w:t>
            </w:r>
          </w:p>
        </w:tc>
        <w:tc>
          <w:tcPr>
            <w:tcW w:w="2125" w:type="dxa"/>
            <w:vAlign w:val="center"/>
          </w:tcPr>
          <w:p>
            <w:pPr>
              <w:spacing w:line="360" w:lineRule="auto"/>
              <w:jc w:val="both"/>
              <w:rPr>
                <w:szCs w:val="21"/>
                <w:lang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lang w:eastAsia="zh-CN"/>
              </w:rPr>
              <w:t>厂家提供（具有计量资质的厂家或第三方）校验报告及计量证书，并提供计量资质证明</w:t>
            </w:r>
            <w:r>
              <w:rPr>
                <w:szCs w:val="21"/>
                <w:lang w:eastAsia="zh-CN"/>
              </w:rPr>
              <w:t>（不晚于IQ开始前提交）</w:t>
            </w:r>
            <w:r>
              <w:rPr>
                <w:lang w:eastAsia="zh-CN"/>
              </w:rPr>
              <w:t>。</w:t>
            </w:r>
          </w:p>
        </w:tc>
        <w:tc>
          <w:tcPr>
            <w:tcW w:w="2125" w:type="dxa"/>
            <w:vAlign w:val="center"/>
          </w:tcPr>
          <w:p>
            <w:pPr>
              <w:spacing w:line="360" w:lineRule="auto"/>
              <w:jc w:val="both"/>
              <w:rPr>
                <w:szCs w:val="21"/>
                <w:lang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lang w:eastAsia="zh-CN"/>
              </w:rPr>
            </w:pPr>
            <w:r>
              <w:rPr>
                <w:lang w:eastAsia="zh-CN"/>
              </w:rPr>
              <w:t>安全报告、材质证书（写明材料有效期）</w:t>
            </w:r>
            <w:r>
              <w:rPr>
                <w:szCs w:val="21"/>
                <w:lang w:eastAsia="zh-CN"/>
              </w:rPr>
              <w:t>(设备开箱验收时提交)</w:t>
            </w:r>
            <w:r>
              <w:rPr>
                <w:lang w:eastAsia="zh-CN"/>
              </w:rPr>
              <w:t>。</w:t>
            </w:r>
          </w:p>
        </w:tc>
        <w:tc>
          <w:tcPr>
            <w:tcW w:w="2125" w:type="dxa"/>
            <w:vAlign w:val="center"/>
          </w:tcPr>
          <w:p>
            <w:pPr>
              <w:spacing w:line="360" w:lineRule="auto"/>
              <w:jc w:val="both"/>
              <w:rPr>
                <w:szCs w:val="21"/>
                <w:lang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lang w:eastAsia="zh-CN"/>
              </w:rPr>
            </w:pPr>
            <w:r>
              <w:rPr>
                <w:szCs w:val="21"/>
                <w:lang w:eastAsia="zh-CN"/>
              </w:rPr>
              <w:t>调试文件：调试计划（调试说明书、调试进度报告、调试清单、验收测试和启动程序、保修信息、运行和维护手册、培训计划、再调试计划等），总测试计划，检查计划，检测清单，检查清单，各测试报告，调试总结报告等。</w:t>
            </w:r>
            <w:r>
              <w:rPr>
                <w:szCs w:val="21"/>
              </w:rPr>
              <w:t>提交时限：不晚于IQ开始前</w:t>
            </w:r>
          </w:p>
        </w:tc>
        <w:tc>
          <w:tcPr>
            <w:tcW w:w="2125" w:type="dxa"/>
            <w:vAlign w:val="center"/>
          </w:tcPr>
          <w:p>
            <w:pPr>
              <w:spacing w:line="360" w:lineRule="auto"/>
              <w:jc w:val="both"/>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lang w:eastAsia="zh-CN"/>
              </w:rPr>
            </w:pPr>
            <w:r>
              <w:rPr>
                <w:szCs w:val="21"/>
                <w:lang w:eastAsia="zh-CN"/>
              </w:rPr>
              <w:t>使用操作说明书及维护保养说明（即运行及维护手册）3份。提交时限：设备开箱验收</w:t>
            </w:r>
          </w:p>
        </w:tc>
        <w:tc>
          <w:tcPr>
            <w:tcW w:w="2125" w:type="dxa"/>
            <w:vAlign w:val="center"/>
          </w:tcPr>
          <w:p>
            <w:pPr>
              <w:spacing w:line="360" w:lineRule="auto"/>
              <w:jc w:val="both"/>
              <w:rPr>
                <w:szCs w:val="21"/>
                <w:lang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szCs w:val="21"/>
                <w:lang w:eastAsia="zh-CN"/>
              </w:rPr>
            </w:pPr>
            <w:r>
              <w:rPr>
                <w:szCs w:val="21"/>
                <w:lang w:eastAsia="zh-CN"/>
              </w:rPr>
              <w:t>提供设备及其零部件使用寿命清单。提交时限：设备开箱验收</w:t>
            </w:r>
          </w:p>
        </w:tc>
        <w:tc>
          <w:tcPr>
            <w:tcW w:w="2125" w:type="dxa"/>
            <w:vAlign w:val="center"/>
          </w:tcPr>
          <w:p>
            <w:pPr>
              <w:spacing w:line="360" w:lineRule="auto"/>
              <w:jc w:val="both"/>
              <w:rPr>
                <w:szCs w:val="21"/>
                <w:lang w:eastAsia="zh-CN"/>
              </w:rPr>
            </w:pPr>
            <w:r>
              <w:rPr>
                <w:szCs w:val="21"/>
                <w:lang w:val="en-US" w:eastAsia="zh-CN"/>
              </w:rPr>
              <w:t>关键</w:t>
            </w:r>
          </w:p>
        </w:tc>
      </w:tr>
      <w:permEnd w:id="33"/>
    </w:tbl>
    <w:p>
      <w:pPr>
        <w:spacing w:line="360" w:lineRule="auto"/>
        <w:rPr>
          <w:szCs w:val="21"/>
          <w:lang w:eastAsia="zh-CN"/>
        </w:rPr>
      </w:pPr>
    </w:p>
    <w:p>
      <w:pPr>
        <w:pStyle w:val="34"/>
        <w:numPr>
          <w:ilvl w:val="0"/>
          <w:numId w:val="3"/>
        </w:numPr>
        <w:spacing w:after="158" w:afterLines="50" w:line="360" w:lineRule="auto"/>
        <w:ind w:left="426" w:hanging="426" w:hangingChars="202"/>
        <w:outlineLvl w:val="0"/>
        <w:rPr>
          <w:rFonts w:ascii="Times New Roman" w:hAnsi="Times New Roman"/>
          <w:b/>
        </w:rPr>
      </w:pPr>
      <w:bookmarkStart w:id="33" w:name="_Toc74299966"/>
      <w:r>
        <w:rPr>
          <w:rFonts w:ascii="Times New Roman" w:hAnsi="Times New Roman"/>
          <w:b/>
          <w:szCs w:val="21"/>
        </w:rPr>
        <w:t>服务要求</w:t>
      </w:r>
      <w:bookmarkEnd w:id="33"/>
    </w:p>
    <w:p>
      <w:pPr>
        <w:pStyle w:val="36"/>
        <w:spacing w:before="0" w:line="360" w:lineRule="auto"/>
        <w:jc w:val="left"/>
        <w:rPr>
          <w:i/>
          <w:szCs w:val="21"/>
          <w:lang w:eastAsia="zh-CN"/>
        </w:rPr>
      </w:pPr>
      <w:permStart w:id="34"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spacing w:line="360" w:lineRule="auto"/>
              <w:jc w:val="center"/>
              <w:rPr>
                <w:b/>
                <w:szCs w:val="21"/>
              </w:rPr>
            </w:pPr>
            <w:r>
              <w:rPr>
                <w:b/>
                <w:szCs w:val="21"/>
              </w:rPr>
              <w:t>编</w:t>
            </w:r>
            <w:permEnd w:id="34"/>
            <w:r>
              <w:rPr>
                <w:b/>
                <w:szCs w:val="21"/>
              </w:rPr>
              <w:t>号</w:t>
            </w:r>
          </w:p>
        </w:tc>
        <w:tc>
          <w:tcPr>
            <w:tcW w:w="7128" w:type="dxa"/>
            <w:shd w:val="clear" w:color="auto" w:fill="D9D9D9"/>
            <w:vAlign w:val="center"/>
          </w:tcPr>
          <w:p>
            <w:pPr>
              <w:spacing w:line="360" w:lineRule="auto"/>
              <w:jc w:val="center"/>
              <w:rPr>
                <w:b/>
                <w:szCs w:val="21"/>
                <w:lang w:eastAsia="zh-CN"/>
              </w:rPr>
            </w:pPr>
            <w:r>
              <w:rPr>
                <w:b/>
                <w:szCs w:val="21"/>
                <w:lang w:eastAsia="zh-CN"/>
              </w:rPr>
              <w:t>需求</w:t>
            </w:r>
          </w:p>
        </w:tc>
        <w:tc>
          <w:tcPr>
            <w:tcW w:w="2125"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4"/>
              <w:numPr>
                <w:ilvl w:val="0"/>
                <w:numId w:val="11"/>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35" w:edGrp="everyone"/>
          </w:p>
        </w:tc>
        <w:tc>
          <w:tcPr>
            <w:tcW w:w="7128" w:type="dxa"/>
            <w:vAlign w:val="center"/>
          </w:tcPr>
          <w:p>
            <w:pPr>
              <w:spacing w:line="360"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vAlign w:val="center"/>
          </w:tcPr>
          <w:p>
            <w:pPr>
              <w:spacing w:line="360" w:lineRule="auto"/>
              <w:jc w:val="both"/>
              <w:rPr>
                <w:szCs w:val="21"/>
                <w:lang w:eastAsia="zh-CN"/>
              </w:rPr>
            </w:pPr>
            <w:r>
              <w:rPr>
                <w:szCs w:val="21"/>
                <w:lang w:val="en-US"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36" w:edGrp="everyone"/>
          </w:p>
        </w:tc>
        <w:tc>
          <w:tcPr>
            <w:tcW w:w="7128" w:type="dxa"/>
            <w:vAlign w:val="center"/>
          </w:tcPr>
          <w:p>
            <w:pPr>
              <w:spacing w:line="360"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vAlign w:val="center"/>
          </w:tcPr>
          <w:p>
            <w:pPr>
              <w:spacing w:line="360" w:lineRule="auto"/>
              <w:jc w:val="both"/>
              <w:rPr>
                <w:szCs w:val="21"/>
                <w:lang w:eastAsia="zh-CN"/>
              </w:rPr>
            </w:pPr>
            <w:r>
              <w:rPr>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37" w:edGrp="everyone"/>
          </w:p>
        </w:tc>
        <w:tc>
          <w:tcPr>
            <w:tcW w:w="7128" w:type="dxa"/>
            <w:vAlign w:val="center"/>
          </w:tcPr>
          <w:p>
            <w:pPr>
              <w:spacing w:line="360"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spacing w:line="360" w:lineRule="auto"/>
              <w:jc w:val="both"/>
              <w:rPr>
                <w:szCs w:val="21"/>
                <w:lang w:eastAsia="zh-CN"/>
              </w:rPr>
            </w:pPr>
            <w:r>
              <w:rPr>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4"/>
              <w:numPr>
                <w:ilvl w:val="0"/>
                <w:numId w:val="11"/>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38" w:edGrp="everyone"/>
          </w:p>
        </w:tc>
        <w:tc>
          <w:tcPr>
            <w:tcW w:w="7128" w:type="dxa"/>
            <w:vAlign w:val="center"/>
          </w:tcPr>
          <w:p>
            <w:pPr>
              <w:spacing w:line="360" w:lineRule="auto"/>
              <w:jc w:val="both"/>
              <w:rPr>
                <w:szCs w:val="21"/>
                <w:lang w:eastAsia="zh-CN"/>
              </w:rPr>
            </w:pPr>
            <w:r>
              <w:rPr>
                <w:lang w:eastAsia="zh-CN"/>
              </w:rPr>
              <w:t>设备运输在运输途中需做好防护措施，不得有任何损伤。</w:t>
            </w:r>
          </w:p>
        </w:tc>
        <w:tc>
          <w:tcPr>
            <w:tcW w:w="2125" w:type="dxa"/>
            <w:vAlign w:val="center"/>
          </w:tcPr>
          <w:p>
            <w:pPr>
              <w:spacing w:line="360" w:lineRule="auto"/>
              <w:jc w:val="both"/>
              <w:rPr>
                <w:szCs w:val="21"/>
                <w:lang w:eastAsia="zh-CN"/>
              </w:rPr>
            </w:pPr>
            <w:r>
              <w:rPr>
                <w:szCs w:val="21"/>
                <w:lang w:val="en-US"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4"/>
              <w:numPr>
                <w:ilvl w:val="0"/>
                <w:numId w:val="11"/>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39" w:edGrp="everyone"/>
          </w:p>
        </w:tc>
        <w:tc>
          <w:tcPr>
            <w:tcW w:w="7128" w:type="dxa"/>
            <w:vAlign w:val="center"/>
          </w:tcPr>
          <w:p>
            <w:pPr>
              <w:spacing w:line="360" w:lineRule="auto"/>
              <w:jc w:val="both"/>
              <w:rPr>
                <w:szCs w:val="21"/>
                <w:lang w:eastAsia="zh-CN"/>
              </w:rPr>
            </w:pPr>
            <w:r>
              <w:rPr>
                <w:szCs w:val="21"/>
                <w:lang w:eastAsia="zh-CN"/>
              </w:rPr>
              <w:t>验证包括验证计划、系统评估、DQ、IQ、OQ、文件与服务，供应商必须派出具备该类系统验证经验，且熟悉验证相关文件编写及验证工作实施的验证工程师开展验证工作。供应商协助完成PQ。</w:t>
            </w:r>
          </w:p>
        </w:tc>
        <w:tc>
          <w:tcPr>
            <w:tcW w:w="2125" w:type="dxa"/>
            <w:vAlign w:val="center"/>
          </w:tcPr>
          <w:p>
            <w:pPr>
              <w:spacing w:line="360" w:lineRule="auto"/>
              <w:jc w:val="both"/>
              <w:rPr>
                <w:szCs w:val="21"/>
                <w:lang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szCs w:val="21"/>
                <w:lang w:eastAsia="zh-CN"/>
              </w:rPr>
              <w:t>响应方按GMP规范完成所有验证工作，各验证工作开始前验证方案需经过本公司相关部门审核，并经质量保证部批准。</w:t>
            </w:r>
          </w:p>
        </w:tc>
        <w:tc>
          <w:tcPr>
            <w:tcW w:w="2125" w:type="dxa"/>
            <w:vAlign w:val="center"/>
          </w:tcPr>
          <w:p>
            <w:pPr>
              <w:spacing w:line="360" w:lineRule="auto"/>
              <w:jc w:val="both"/>
              <w:rPr>
                <w:szCs w:val="21"/>
                <w:lang w:val="en-US" w:eastAsia="zh-CN"/>
              </w:rPr>
            </w:pPr>
            <w:r>
              <w:rPr>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40" w:edGrp="everyone"/>
          </w:p>
        </w:tc>
        <w:tc>
          <w:tcPr>
            <w:tcW w:w="7128" w:type="dxa"/>
            <w:vAlign w:val="center"/>
          </w:tcPr>
          <w:p>
            <w:pPr>
              <w:spacing w:line="360" w:lineRule="auto"/>
              <w:jc w:val="both"/>
              <w:rPr>
                <w:szCs w:val="21"/>
                <w:lang w:eastAsia="zh-CN"/>
              </w:rPr>
            </w:pPr>
            <w:r>
              <w:rPr>
                <w:szCs w:val="21"/>
                <w:lang w:eastAsia="zh-CN"/>
              </w:rPr>
              <w:t>验证工作应按时保质完成，供应商需提供验证工作计划表。</w:t>
            </w:r>
          </w:p>
        </w:tc>
        <w:tc>
          <w:tcPr>
            <w:tcW w:w="2125" w:type="dxa"/>
            <w:vAlign w:val="center"/>
          </w:tcPr>
          <w:p>
            <w:pPr>
              <w:spacing w:line="360" w:lineRule="auto"/>
              <w:jc w:val="both"/>
              <w:rPr>
                <w:szCs w:val="21"/>
                <w:lang w:eastAsia="zh-CN"/>
              </w:rPr>
            </w:pPr>
            <w:r>
              <w:rPr>
                <w:szCs w:val="21"/>
                <w:lang w:val="en-US"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41" w:edGrp="everyone"/>
          </w:p>
        </w:tc>
        <w:tc>
          <w:tcPr>
            <w:tcW w:w="7128" w:type="dxa"/>
            <w:vAlign w:val="center"/>
          </w:tcPr>
          <w:p>
            <w:pPr>
              <w:spacing w:line="360" w:lineRule="auto"/>
              <w:jc w:val="both"/>
              <w:rPr>
                <w:lang w:eastAsia="zh-CN"/>
              </w:rPr>
            </w:pPr>
            <w:r>
              <w:rPr>
                <w:szCs w:val="21"/>
                <w:lang w:eastAsia="zh-CN"/>
              </w:rPr>
              <w:t>验证项目应包含法规要求的测试项目，以及本公司提出的测试项目。</w:t>
            </w:r>
          </w:p>
        </w:tc>
        <w:tc>
          <w:tcPr>
            <w:tcW w:w="2125" w:type="dxa"/>
            <w:vAlign w:val="center"/>
          </w:tcPr>
          <w:p>
            <w:pPr>
              <w:spacing w:line="360" w:lineRule="auto"/>
              <w:jc w:val="both"/>
              <w:rPr>
                <w:szCs w:val="21"/>
                <w:lang w:eastAsia="zh-CN"/>
              </w:rPr>
            </w:pPr>
            <w:r>
              <w:rPr>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42" w:edGrp="everyone"/>
          </w:p>
        </w:tc>
        <w:tc>
          <w:tcPr>
            <w:tcW w:w="7128" w:type="dxa"/>
            <w:vAlign w:val="center"/>
          </w:tcPr>
          <w:p>
            <w:pPr>
              <w:spacing w:line="360" w:lineRule="auto"/>
              <w:rPr>
                <w:szCs w:val="21"/>
                <w:lang w:eastAsia="zh-CN"/>
              </w:rPr>
            </w:pPr>
            <w:r>
              <w:rPr>
                <w:szCs w:val="21"/>
                <w:lang w:eastAsia="zh-CN"/>
              </w:rPr>
              <w:t>验证工作完成后，验证记录经本公司相关部门审核，并经质量保证部批准。</w:t>
            </w:r>
          </w:p>
        </w:tc>
        <w:tc>
          <w:tcPr>
            <w:tcW w:w="2125" w:type="dxa"/>
            <w:vAlign w:val="center"/>
          </w:tcPr>
          <w:p>
            <w:pPr>
              <w:spacing w:line="360" w:lineRule="auto"/>
              <w:jc w:val="both"/>
              <w:rPr>
                <w:szCs w:val="21"/>
                <w:lang w:eastAsia="zh-CN"/>
              </w:rPr>
            </w:pPr>
            <w:r>
              <w:rPr>
                <w:szCs w:val="21"/>
                <w:lang w:val="en-US"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43" w:edGrp="everyone"/>
          </w:p>
        </w:tc>
        <w:tc>
          <w:tcPr>
            <w:tcW w:w="7128" w:type="dxa"/>
            <w:vAlign w:val="center"/>
          </w:tcPr>
          <w:p>
            <w:pPr>
              <w:spacing w:line="360" w:lineRule="auto"/>
              <w:jc w:val="both"/>
              <w:rPr>
                <w:lang w:eastAsia="zh-CN"/>
              </w:rPr>
            </w:pPr>
            <w:r>
              <w:rPr>
                <w:lang w:eastAsia="zh-CN"/>
              </w:rPr>
              <w:t>验收前，验证工作已成功完成，验证最终报告已经本公司相关部门审核，并经质量保证部批准。</w:t>
            </w:r>
          </w:p>
        </w:tc>
        <w:tc>
          <w:tcPr>
            <w:tcW w:w="2125" w:type="dxa"/>
            <w:vAlign w:val="center"/>
          </w:tcPr>
          <w:p>
            <w:pPr>
              <w:spacing w:line="360" w:lineRule="auto"/>
              <w:jc w:val="both"/>
              <w:rPr>
                <w:szCs w:val="21"/>
                <w:lang w:eastAsia="zh-CN"/>
              </w:rPr>
            </w:pPr>
            <w:r>
              <w:rPr>
                <w:szCs w:val="21"/>
                <w:lang w:val="en-US"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4"/>
              <w:numPr>
                <w:ilvl w:val="0"/>
                <w:numId w:val="11"/>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44" w:edGrp="everyone"/>
          </w:p>
        </w:tc>
        <w:tc>
          <w:tcPr>
            <w:tcW w:w="7128" w:type="dxa"/>
            <w:vAlign w:val="center"/>
          </w:tcPr>
          <w:p>
            <w:pPr>
              <w:spacing w:line="360" w:lineRule="auto"/>
              <w:jc w:val="both"/>
              <w:rPr>
                <w:szCs w:val="21"/>
                <w:lang w:eastAsia="zh-CN"/>
              </w:rPr>
            </w:pPr>
            <w:r>
              <w:rPr>
                <w:lang w:eastAsia="zh-CN"/>
              </w:rPr>
              <w:t>设备保质期从确认验收的阶段就开始计算。</w:t>
            </w:r>
          </w:p>
        </w:tc>
        <w:tc>
          <w:tcPr>
            <w:tcW w:w="2125" w:type="dxa"/>
            <w:vAlign w:val="center"/>
          </w:tcPr>
          <w:p>
            <w:pPr>
              <w:spacing w:line="360" w:lineRule="auto"/>
              <w:jc w:val="both"/>
              <w:rPr>
                <w:szCs w:val="21"/>
                <w:lang w:eastAsia="zh-CN"/>
              </w:rPr>
            </w:pPr>
            <w:r>
              <w:rPr>
                <w:szCs w:val="21"/>
                <w:lang w:val="en-US"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45" w:edGrp="everyone"/>
          </w:p>
        </w:tc>
        <w:tc>
          <w:tcPr>
            <w:tcW w:w="7128" w:type="dxa"/>
            <w:vAlign w:val="center"/>
          </w:tcPr>
          <w:p>
            <w:pPr>
              <w:spacing w:line="360" w:lineRule="auto"/>
              <w:jc w:val="both"/>
              <w:rPr>
                <w:szCs w:val="21"/>
                <w:lang w:eastAsia="zh-CN"/>
              </w:rPr>
            </w:pPr>
            <w:r>
              <w:rPr>
                <w:lang w:eastAsia="zh-CN"/>
              </w:rPr>
              <w:t>设备质保期为两年，两年内免费保修，两年后应提供良好的售后服务。</w:t>
            </w:r>
          </w:p>
        </w:tc>
        <w:tc>
          <w:tcPr>
            <w:tcW w:w="2125" w:type="dxa"/>
            <w:vAlign w:val="center"/>
          </w:tcPr>
          <w:p>
            <w:pPr>
              <w:spacing w:line="360" w:lineRule="auto"/>
              <w:jc w:val="both"/>
              <w:rPr>
                <w:szCs w:val="21"/>
                <w:lang w:eastAsia="zh-CN"/>
              </w:rPr>
            </w:pPr>
            <w:r>
              <w:rPr>
                <w:szCs w:val="21"/>
                <w:lang w:val="en-US"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46" w:edGrp="everyone"/>
          </w:p>
        </w:tc>
        <w:tc>
          <w:tcPr>
            <w:tcW w:w="7128" w:type="dxa"/>
            <w:vAlign w:val="center"/>
          </w:tcPr>
          <w:p>
            <w:pPr>
              <w:spacing w:line="360" w:lineRule="auto"/>
              <w:jc w:val="both"/>
              <w:rPr>
                <w:szCs w:val="21"/>
                <w:lang w:eastAsia="zh-CN"/>
              </w:rPr>
            </w:pPr>
            <w:r>
              <w:rPr>
                <w:szCs w:val="21"/>
                <w:lang w:eastAsia="zh-CN"/>
              </w:rPr>
              <w:t>售后服务必须响应及时，要求设备出现须厂家维修的故障后，应在4小时内明确答复，当电话沟通无法解决时，须24小时内派人至现场解决。</w:t>
            </w:r>
          </w:p>
        </w:tc>
        <w:tc>
          <w:tcPr>
            <w:tcW w:w="2125" w:type="dxa"/>
            <w:vAlign w:val="center"/>
          </w:tcPr>
          <w:p>
            <w:pPr>
              <w:spacing w:line="360" w:lineRule="auto"/>
              <w:jc w:val="both"/>
              <w:rPr>
                <w:szCs w:val="21"/>
                <w:lang w:eastAsia="zh-CN"/>
              </w:rPr>
            </w:pPr>
            <w:r>
              <w:rPr>
                <w:szCs w:val="21"/>
                <w:lang w:val="en-US"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47" w:edGrp="everyone"/>
          </w:p>
        </w:tc>
        <w:tc>
          <w:tcPr>
            <w:tcW w:w="7128" w:type="dxa"/>
            <w:vAlign w:val="center"/>
          </w:tcPr>
          <w:p>
            <w:pPr>
              <w:spacing w:line="360" w:lineRule="auto"/>
              <w:jc w:val="both"/>
              <w:rPr>
                <w:szCs w:val="21"/>
                <w:lang w:eastAsia="zh-CN"/>
              </w:rPr>
            </w:pPr>
            <w:r>
              <w:rPr>
                <w:lang w:eastAsia="zh-CN"/>
              </w:rPr>
              <w:t>两年免费保修期后，厂家应终生提供及时的维修、维护，厂家应定期回访，解决设备运行当中可能出现的疑问，排除潜在故障，使设备保持良好工作状态。</w:t>
            </w:r>
          </w:p>
        </w:tc>
        <w:tc>
          <w:tcPr>
            <w:tcW w:w="2125" w:type="dxa"/>
            <w:vAlign w:val="center"/>
          </w:tcPr>
          <w:p>
            <w:pPr>
              <w:spacing w:line="360" w:lineRule="auto"/>
              <w:jc w:val="both"/>
              <w:rPr>
                <w:szCs w:val="21"/>
                <w:lang w:eastAsia="zh-CN"/>
              </w:rPr>
            </w:pPr>
            <w:r>
              <w:rPr>
                <w:szCs w:val="21"/>
                <w:lang w:val="en-US"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48" w:edGrp="everyone"/>
          </w:p>
        </w:tc>
        <w:tc>
          <w:tcPr>
            <w:tcW w:w="7128" w:type="dxa"/>
            <w:vAlign w:val="center"/>
          </w:tcPr>
          <w:p>
            <w:pPr>
              <w:spacing w:line="360" w:lineRule="auto"/>
              <w:jc w:val="both"/>
              <w:rPr>
                <w:szCs w:val="21"/>
                <w:lang w:eastAsia="zh-CN"/>
              </w:rPr>
            </w:pPr>
            <w:r>
              <w:rPr>
                <w:szCs w:val="21"/>
                <w:lang w:eastAsia="zh-CN"/>
              </w:rPr>
              <w:t>厂家应提供合格的备件，用于设备相应部件的维修、更换。</w:t>
            </w:r>
          </w:p>
        </w:tc>
        <w:tc>
          <w:tcPr>
            <w:tcW w:w="2125" w:type="dxa"/>
            <w:vAlign w:val="center"/>
          </w:tcPr>
          <w:p>
            <w:pPr>
              <w:spacing w:line="360" w:lineRule="auto"/>
              <w:jc w:val="both"/>
              <w:rPr>
                <w:szCs w:val="21"/>
                <w:lang w:eastAsia="zh-CN"/>
              </w:rPr>
            </w:pPr>
            <w:r>
              <w:rPr>
                <w:szCs w:val="21"/>
                <w:lang w:val="en-US"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4"/>
              <w:numPr>
                <w:ilvl w:val="0"/>
                <w:numId w:val="11"/>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49" w:edGrp="everyone"/>
          </w:p>
        </w:tc>
        <w:tc>
          <w:tcPr>
            <w:tcW w:w="7128" w:type="dxa"/>
            <w:vAlign w:val="center"/>
          </w:tcPr>
          <w:p>
            <w:pPr>
              <w:spacing w:line="360" w:lineRule="auto"/>
              <w:jc w:val="both"/>
              <w:rPr>
                <w:szCs w:val="21"/>
                <w:lang w:eastAsia="zh-CN"/>
              </w:rPr>
            </w:pPr>
            <w:r>
              <w:rPr>
                <w:szCs w:val="21"/>
                <w:lang w:eastAsia="zh-CN"/>
              </w:rPr>
              <w:t>货物到达买方使用现场后，由买卖双方共同验收，卖方工程师免费为买方提供调试。</w:t>
            </w:r>
          </w:p>
        </w:tc>
        <w:tc>
          <w:tcPr>
            <w:tcW w:w="2125" w:type="dxa"/>
            <w:vAlign w:val="center"/>
          </w:tcPr>
          <w:p>
            <w:pPr>
              <w:spacing w:line="360" w:lineRule="auto"/>
              <w:jc w:val="both"/>
              <w:rPr>
                <w:szCs w:val="21"/>
                <w:lang w:eastAsia="zh-CN"/>
              </w:rPr>
            </w:pPr>
            <w:r>
              <w:rPr>
                <w:szCs w:val="21"/>
                <w:lang w:val="en-US"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ermStart w:id="50" w:edGrp="everyone"/>
          </w:p>
        </w:tc>
        <w:tc>
          <w:tcPr>
            <w:tcW w:w="7128" w:type="dxa"/>
            <w:vAlign w:val="center"/>
          </w:tcPr>
          <w:p>
            <w:pPr>
              <w:spacing w:line="360" w:lineRule="auto"/>
              <w:jc w:val="both"/>
              <w:rPr>
                <w:szCs w:val="21"/>
                <w:lang w:eastAsia="zh-CN"/>
              </w:rPr>
            </w:pPr>
            <w:r>
              <w:rPr>
                <w:szCs w:val="21"/>
                <w:lang w:eastAsia="zh-CN"/>
              </w:rPr>
              <w:t>供应商进厂安装需遵守安全和施工规定。</w:t>
            </w:r>
          </w:p>
        </w:tc>
        <w:tc>
          <w:tcPr>
            <w:tcW w:w="2125" w:type="dxa"/>
            <w:vAlign w:val="center"/>
          </w:tcPr>
          <w:p>
            <w:pPr>
              <w:spacing w:line="360" w:lineRule="auto"/>
              <w:jc w:val="both"/>
              <w:rPr>
                <w:szCs w:val="21"/>
                <w:lang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szCs w:val="21"/>
                <w:lang w:eastAsia="zh-CN"/>
              </w:rPr>
              <w:t>确认验收合格后，买卖双方签订验收报告。</w:t>
            </w:r>
          </w:p>
        </w:tc>
        <w:tc>
          <w:tcPr>
            <w:tcW w:w="2125" w:type="dxa"/>
            <w:vAlign w:val="center"/>
          </w:tcPr>
          <w:p>
            <w:pPr>
              <w:spacing w:line="360" w:lineRule="auto"/>
              <w:jc w:val="both"/>
              <w:rPr>
                <w:szCs w:val="21"/>
                <w:lang w:eastAsia="zh-CN"/>
              </w:rPr>
            </w:pPr>
            <w:r>
              <w:rPr>
                <w:szCs w:val="21"/>
                <w:lang w:val="en-US" w:eastAsia="zh-CN"/>
              </w:rPr>
              <w:t>关键</w:t>
            </w:r>
          </w:p>
        </w:tc>
      </w:tr>
      <w:permEnd w:id="50"/>
    </w:tbl>
    <w:p>
      <w:pPr>
        <w:spacing w:line="360" w:lineRule="auto"/>
      </w:pP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PMingLiU">
    <w:panose1 w:val="02020500000000000000"/>
    <w:charset w:val="88"/>
    <w:family w:val="auto"/>
    <w:pitch w:val="default"/>
    <w:sig w:usb0="A00002FF" w:usb1="28CFFCFA" w:usb2="00000016" w:usb3="00000000" w:csb0="00100001"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82943692">
    <w:nsid w:val="16D341CC"/>
    <w:multiLevelType w:val="multilevel"/>
    <w:tmpl w:val="16D341CC"/>
    <w:lvl w:ilvl="0" w:tentative="1">
      <w:start w:val="1"/>
      <w:numFmt w:val="decimal"/>
      <w:lvlText w:val="URS %1"/>
      <w:lvlJc w:val="left"/>
      <w:pPr>
        <w:ind w:left="1554"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2468"/>
    <w:rsid w:val="00044DFD"/>
    <w:rsid w:val="000467C2"/>
    <w:rsid w:val="00046B5E"/>
    <w:rsid w:val="00046E7A"/>
    <w:rsid w:val="00047038"/>
    <w:rsid w:val="00047BA8"/>
    <w:rsid w:val="00047CAF"/>
    <w:rsid w:val="00053A4C"/>
    <w:rsid w:val="00054BB1"/>
    <w:rsid w:val="00055ED6"/>
    <w:rsid w:val="00056478"/>
    <w:rsid w:val="000564E7"/>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0A6F"/>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2AEB"/>
    <w:rsid w:val="000B417D"/>
    <w:rsid w:val="000B45E0"/>
    <w:rsid w:val="000B4EC4"/>
    <w:rsid w:val="000B5888"/>
    <w:rsid w:val="000C0A41"/>
    <w:rsid w:val="000C0DD3"/>
    <w:rsid w:val="000C0FA5"/>
    <w:rsid w:val="000C3C81"/>
    <w:rsid w:val="000C41B6"/>
    <w:rsid w:val="000C7137"/>
    <w:rsid w:val="000D112B"/>
    <w:rsid w:val="000D1A79"/>
    <w:rsid w:val="000D2CC2"/>
    <w:rsid w:val="000D3B24"/>
    <w:rsid w:val="000D43C9"/>
    <w:rsid w:val="000D517D"/>
    <w:rsid w:val="000D5BCC"/>
    <w:rsid w:val="000D6D1E"/>
    <w:rsid w:val="000D6FF9"/>
    <w:rsid w:val="000D7C49"/>
    <w:rsid w:val="000E0DDB"/>
    <w:rsid w:val="000E17B5"/>
    <w:rsid w:val="000E2CB8"/>
    <w:rsid w:val="000E41B5"/>
    <w:rsid w:val="000E51FF"/>
    <w:rsid w:val="000E5684"/>
    <w:rsid w:val="000E5B57"/>
    <w:rsid w:val="000F0D08"/>
    <w:rsid w:val="000F2CD3"/>
    <w:rsid w:val="000F36B9"/>
    <w:rsid w:val="000F3A00"/>
    <w:rsid w:val="000F4E03"/>
    <w:rsid w:val="000F606A"/>
    <w:rsid w:val="000F6D71"/>
    <w:rsid w:val="000F706D"/>
    <w:rsid w:val="000F7F9C"/>
    <w:rsid w:val="00100F65"/>
    <w:rsid w:val="0010110F"/>
    <w:rsid w:val="001018A7"/>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201"/>
    <w:rsid w:val="00115728"/>
    <w:rsid w:val="001163FC"/>
    <w:rsid w:val="00116B7F"/>
    <w:rsid w:val="00116F39"/>
    <w:rsid w:val="00117A01"/>
    <w:rsid w:val="00121B6E"/>
    <w:rsid w:val="00122051"/>
    <w:rsid w:val="00124244"/>
    <w:rsid w:val="00124E69"/>
    <w:rsid w:val="00125895"/>
    <w:rsid w:val="00125CC1"/>
    <w:rsid w:val="001273B0"/>
    <w:rsid w:val="0012788F"/>
    <w:rsid w:val="00127CB8"/>
    <w:rsid w:val="001313C3"/>
    <w:rsid w:val="00132F4C"/>
    <w:rsid w:val="00134C68"/>
    <w:rsid w:val="00135FD6"/>
    <w:rsid w:val="001363E4"/>
    <w:rsid w:val="001374CF"/>
    <w:rsid w:val="001435E7"/>
    <w:rsid w:val="00143952"/>
    <w:rsid w:val="001442AB"/>
    <w:rsid w:val="0014477D"/>
    <w:rsid w:val="00144D00"/>
    <w:rsid w:val="00145034"/>
    <w:rsid w:val="00145DC7"/>
    <w:rsid w:val="00145F74"/>
    <w:rsid w:val="00146568"/>
    <w:rsid w:val="0014665F"/>
    <w:rsid w:val="0014727C"/>
    <w:rsid w:val="00150BCC"/>
    <w:rsid w:val="001541A9"/>
    <w:rsid w:val="001549D1"/>
    <w:rsid w:val="00154CD3"/>
    <w:rsid w:val="001560AD"/>
    <w:rsid w:val="0015633E"/>
    <w:rsid w:val="0015752C"/>
    <w:rsid w:val="0016077F"/>
    <w:rsid w:val="00161486"/>
    <w:rsid w:val="0016194A"/>
    <w:rsid w:val="00161F7F"/>
    <w:rsid w:val="00162A78"/>
    <w:rsid w:val="0016358D"/>
    <w:rsid w:val="00163A08"/>
    <w:rsid w:val="00163F00"/>
    <w:rsid w:val="00164CDC"/>
    <w:rsid w:val="00164E0D"/>
    <w:rsid w:val="00166311"/>
    <w:rsid w:val="00166478"/>
    <w:rsid w:val="00167B0E"/>
    <w:rsid w:val="00170A18"/>
    <w:rsid w:val="00171A51"/>
    <w:rsid w:val="00173EE2"/>
    <w:rsid w:val="001746E7"/>
    <w:rsid w:val="001757AB"/>
    <w:rsid w:val="00175E15"/>
    <w:rsid w:val="001769A8"/>
    <w:rsid w:val="001814FA"/>
    <w:rsid w:val="00181516"/>
    <w:rsid w:val="001815A9"/>
    <w:rsid w:val="00182A27"/>
    <w:rsid w:val="00184DDD"/>
    <w:rsid w:val="00184FFD"/>
    <w:rsid w:val="00185449"/>
    <w:rsid w:val="00186314"/>
    <w:rsid w:val="00187B04"/>
    <w:rsid w:val="00190000"/>
    <w:rsid w:val="001929C2"/>
    <w:rsid w:val="00192B8F"/>
    <w:rsid w:val="00193D66"/>
    <w:rsid w:val="00194BB7"/>
    <w:rsid w:val="001952BE"/>
    <w:rsid w:val="001A1989"/>
    <w:rsid w:val="001A1DE7"/>
    <w:rsid w:val="001A331A"/>
    <w:rsid w:val="001A3BB0"/>
    <w:rsid w:val="001A4947"/>
    <w:rsid w:val="001A64C0"/>
    <w:rsid w:val="001A685F"/>
    <w:rsid w:val="001A7EB6"/>
    <w:rsid w:val="001A7FE4"/>
    <w:rsid w:val="001B0278"/>
    <w:rsid w:val="001B2390"/>
    <w:rsid w:val="001B28C8"/>
    <w:rsid w:val="001B2E7A"/>
    <w:rsid w:val="001B4654"/>
    <w:rsid w:val="001B628E"/>
    <w:rsid w:val="001C017B"/>
    <w:rsid w:val="001C239E"/>
    <w:rsid w:val="001C2D7E"/>
    <w:rsid w:val="001D1FA0"/>
    <w:rsid w:val="001D32D4"/>
    <w:rsid w:val="001D3C96"/>
    <w:rsid w:val="001D4383"/>
    <w:rsid w:val="001D4742"/>
    <w:rsid w:val="001D474B"/>
    <w:rsid w:val="001D4791"/>
    <w:rsid w:val="001D48B0"/>
    <w:rsid w:val="001D520A"/>
    <w:rsid w:val="001D5549"/>
    <w:rsid w:val="001D7B04"/>
    <w:rsid w:val="001D7F00"/>
    <w:rsid w:val="001E0376"/>
    <w:rsid w:val="001E13E0"/>
    <w:rsid w:val="001E2B2B"/>
    <w:rsid w:val="001E353E"/>
    <w:rsid w:val="001E3CBE"/>
    <w:rsid w:val="001E5657"/>
    <w:rsid w:val="001E5F94"/>
    <w:rsid w:val="001E6AA3"/>
    <w:rsid w:val="001E744F"/>
    <w:rsid w:val="001E7D00"/>
    <w:rsid w:val="001F065A"/>
    <w:rsid w:val="001F1FE7"/>
    <w:rsid w:val="001F25DD"/>
    <w:rsid w:val="001F3552"/>
    <w:rsid w:val="001F473D"/>
    <w:rsid w:val="001F4BFD"/>
    <w:rsid w:val="001F7405"/>
    <w:rsid w:val="001F7E95"/>
    <w:rsid w:val="001F7F21"/>
    <w:rsid w:val="00201487"/>
    <w:rsid w:val="00201AEC"/>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3FD3"/>
    <w:rsid w:val="00224129"/>
    <w:rsid w:val="00225DD2"/>
    <w:rsid w:val="00226988"/>
    <w:rsid w:val="002279A2"/>
    <w:rsid w:val="00227A0D"/>
    <w:rsid w:val="00231240"/>
    <w:rsid w:val="002320D9"/>
    <w:rsid w:val="00234C07"/>
    <w:rsid w:val="002355FF"/>
    <w:rsid w:val="002367A6"/>
    <w:rsid w:val="00236BE9"/>
    <w:rsid w:val="00237E6C"/>
    <w:rsid w:val="00240A09"/>
    <w:rsid w:val="00240B1E"/>
    <w:rsid w:val="00241437"/>
    <w:rsid w:val="00245088"/>
    <w:rsid w:val="00253242"/>
    <w:rsid w:val="00254300"/>
    <w:rsid w:val="002547BF"/>
    <w:rsid w:val="002548CA"/>
    <w:rsid w:val="0025531B"/>
    <w:rsid w:val="002560F9"/>
    <w:rsid w:val="00257517"/>
    <w:rsid w:val="00257F32"/>
    <w:rsid w:val="00257FA9"/>
    <w:rsid w:val="00261CD0"/>
    <w:rsid w:val="00261F30"/>
    <w:rsid w:val="002637FB"/>
    <w:rsid w:val="00263CB5"/>
    <w:rsid w:val="0026571F"/>
    <w:rsid w:val="00265D0A"/>
    <w:rsid w:val="0027137F"/>
    <w:rsid w:val="002723D2"/>
    <w:rsid w:val="002732E5"/>
    <w:rsid w:val="002745D9"/>
    <w:rsid w:val="00274823"/>
    <w:rsid w:val="0027577D"/>
    <w:rsid w:val="00275F43"/>
    <w:rsid w:val="002810E3"/>
    <w:rsid w:val="00282EAA"/>
    <w:rsid w:val="0028309C"/>
    <w:rsid w:val="0028384D"/>
    <w:rsid w:val="0028525D"/>
    <w:rsid w:val="002860DB"/>
    <w:rsid w:val="00286CE5"/>
    <w:rsid w:val="0029023F"/>
    <w:rsid w:val="002913B7"/>
    <w:rsid w:val="00291541"/>
    <w:rsid w:val="00291C5E"/>
    <w:rsid w:val="002924C2"/>
    <w:rsid w:val="00293E83"/>
    <w:rsid w:val="00295859"/>
    <w:rsid w:val="0029741F"/>
    <w:rsid w:val="00297DDC"/>
    <w:rsid w:val="002A18C8"/>
    <w:rsid w:val="002A3183"/>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063C"/>
    <w:rsid w:val="002D2477"/>
    <w:rsid w:val="002D2AAB"/>
    <w:rsid w:val="002D5C03"/>
    <w:rsid w:val="002D691F"/>
    <w:rsid w:val="002D6A50"/>
    <w:rsid w:val="002D6D1C"/>
    <w:rsid w:val="002E1D21"/>
    <w:rsid w:val="002E3B36"/>
    <w:rsid w:val="002E59BF"/>
    <w:rsid w:val="002E63F6"/>
    <w:rsid w:val="002E6649"/>
    <w:rsid w:val="002E69A1"/>
    <w:rsid w:val="002F1C5E"/>
    <w:rsid w:val="002F1D63"/>
    <w:rsid w:val="002F2A0D"/>
    <w:rsid w:val="002F340E"/>
    <w:rsid w:val="002F4392"/>
    <w:rsid w:val="002F4641"/>
    <w:rsid w:val="002F4B22"/>
    <w:rsid w:val="00302176"/>
    <w:rsid w:val="00302AF8"/>
    <w:rsid w:val="003038B5"/>
    <w:rsid w:val="00304F96"/>
    <w:rsid w:val="00306131"/>
    <w:rsid w:val="00307DB0"/>
    <w:rsid w:val="00310AAB"/>
    <w:rsid w:val="00311B2C"/>
    <w:rsid w:val="00311EE4"/>
    <w:rsid w:val="0031318B"/>
    <w:rsid w:val="003137B7"/>
    <w:rsid w:val="003148D1"/>
    <w:rsid w:val="00314CFF"/>
    <w:rsid w:val="00315038"/>
    <w:rsid w:val="00315C3E"/>
    <w:rsid w:val="00316EEF"/>
    <w:rsid w:val="003172B7"/>
    <w:rsid w:val="003208D9"/>
    <w:rsid w:val="00321298"/>
    <w:rsid w:val="00321D97"/>
    <w:rsid w:val="00323423"/>
    <w:rsid w:val="003240E5"/>
    <w:rsid w:val="00324B23"/>
    <w:rsid w:val="003257E0"/>
    <w:rsid w:val="00325FFA"/>
    <w:rsid w:val="00330D16"/>
    <w:rsid w:val="00330FFF"/>
    <w:rsid w:val="00333C91"/>
    <w:rsid w:val="0033695C"/>
    <w:rsid w:val="00341B2F"/>
    <w:rsid w:val="0034281C"/>
    <w:rsid w:val="00342915"/>
    <w:rsid w:val="00344B04"/>
    <w:rsid w:val="00345847"/>
    <w:rsid w:val="00346A1E"/>
    <w:rsid w:val="00346B97"/>
    <w:rsid w:val="00347576"/>
    <w:rsid w:val="00347772"/>
    <w:rsid w:val="00347A51"/>
    <w:rsid w:val="00347B19"/>
    <w:rsid w:val="003531FA"/>
    <w:rsid w:val="0035416F"/>
    <w:rsid w:val="003549FE"/>
    <w:rsid w:val="00355AAC"/>
    <w:rsid w:val="00355D7D"/>
    <w:rsid w:val="00360931"/>
    <w:rsid w:val="00360AC8"/>
    <w:rsid w:val="003647CA"/>
    <w:rsid w:val="00370514"/>
    <w:rsid w:val="0037056A"/>
    <w:rsid w:val="0037176A"/>
    <w:rsid w:val="003726DF"/>
    <w:rsid w:val="00372AFD"/>
    <w:rsid w:val="0037345A"/>
    <w:rsid w:val="00373FFA"/>
    <w:rsid w:val="0037455F"/>
    <w:rsid w:val="00376C31"/>
    <w:rsid w:val="00380685"/>
    <w:rsid w:val="00380EB7"/>
    <w:rsid w:val="003810F5"/>
    <w:rsid w:val="00381C39"/>
    <w:rsid w:val="00381CF6"/>
    <w:rsid w:val="0038326A"/>
    <w:rsid w:val="0038367F"/>
    <w:rsid w:val="00384A6E"/>
    <w:rsid w:val="00387B81"/>
    <w:rsid w:val="00391016"/>
    <w:rsid w:val="00393529"/>
    <w:rsid w:val="00393B6A"/>
    <w:rsid w:val="003946C3"/>
    <w:rsid w:val="00395CE1"/>
    <w:rsid w:val="00395D47"/>
    <w:rsid w:val="00396425"/>
    <w:rsid w:val="003967EB"/>
    <w:rsid w:val="003970BE"/>
    <w:rsid w:val="00397C18"/>
    <w:rsid w:val="003A04A8"/>
    <w:rsid w:val="003A1311"/>
    <w:rsid w:val="003A2AA7"/>
    <w:rsid w:val="003A2EC5"/>
    <w:rsid w:val="003A3AAC"/>
    <w:rsid w:val="003A4CAE"/>
    <w:rsid w:val="003A5103"/>
    <w:rsid w:val="003A6DFE"/>
    <w:rsid w:val="003A6FCD"/>
    <w:rsid w:val="003B096A"/>
    <w:rsid w:val="003B0B6A"/>
    <w:rsid w:val="003B1FF2"/>
    <w:rsid w:val="003B2104"/>
    <w:rsid w:val="003B354C"/>
    <w:rsid w:val="003B355B"/>
    <w:rsid w:val="003B4A5D"/>
    <w:rsid w:val="003B5047"/>
    <w:rsid w:val="003B6E29"/>
    <w:rsid w:val="003B73AB"/>
    <w:rsid w:val="003B7D88"/>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6D2E"/>
    <w:rsid w:val="003E748F"/>
    <w:rsid w:val="003F0D3F"/>
    <w:rsid w:val="003F3F47"/>
    <w:rsid w:val="003F6E0C"/>
    <w:rsid w:val="004003A8"/>
    <w:rsid w:val="0040240E"/>
    <w:rsid w:val="00402756"/>
    <w:rsid w:val="00403E54"/>
    <w:rsid w:val="00405B3A"/>
    <w:rsid w:val="004065F0"/>
    <w:rsid w:val="004074DC"/>
    <w:rsid w:val="00407A28"/>
    <w:rsid w:val="004111CC"/>
    <w:rsid w:val="004122A3"/>
    <w:rsid w:val="00412AA8"/>
    <w:rsid w:val="00416E8B"/>
    <w:rsid w:val="00420273"/>
    <w:rsid w:val="00420AA0"/>
    <w:rsid w:val="0042116C"/>
    <w:rsid w:val="00422109"/>
    <w:rsid w:val="00422D19"/>
    <w:rsid w:val="00422DFE"/>
    <w:rsid w:val="00424D83"/>
    <w:rsid w:val="00424E29"/>
    <w:rsid w:val="00424F23"/>
    <w:rsid w:val="00426F8A"/>
    <w:rsid w:val="00427D22"/>
    <w:rsid w:val="00427E2D"/>
    <w:rsid w:val="00430E84"/>
    <w:rsid w:val="00431348"/>
    <w:rsid w:val="00432568"/>
    <w:rsid w:val="00436C7C"/>
    <w:rsid w:val="00437440"/>
    <w:rsid w:val="00440378"/>
    <w:rsid w:val="00442B53"/>
    <w:rsid w:val="00443256"/>
    <w:rsid w:val="00444D2D"/>
    <w:rsid w:val="004510B1"/>
    <w:rsid w:val="00451C5D"/>
    <w:rsid w:val="00451D74"/>
    <w:rsid w:val="00452E73"/>
    <w:rsid w:val="00455656"/>
    <w:rsid w:val="004565EF"/>
    <w:rsid w:val="00457FF9"/>
    <w:rsid w:val="004601ED"/>
    <w:rsid w:val="00460711"/>
    <w:rsid w:val="0046108B"/>
    <w:rsid w:val="00467616"/>
    <w:rsid w:val="00467AE6"/>
    <w:rsid w:val="00467EC9"/>
    <w:rsid w:val="00470E59"/>
    <w:rsid w:val="00472ACF"/>
    <w:rsid w:val="00477791"/>
    <w:rsid w:val="00480286"/>
    <w:rsid w:val="00480C3B"/>
    <w:rsid w:val="00480FE3"/>
    <w:rsid w:val="00481C94"/>
    <w:rsid w:val="00484A8D"/>
    <w:rsid w:val="00485AB6"/>
    <w:rsid w:val="00486A4E"/>
    <w:rsid w:val="00486B09"/>
    <w:rsid w:val="0049139F"/>
    <w:rsid w:val="004938F4"/>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2F8C"/>
    <w:rsid w:val="004C42AE"/>
    <w:rsid w:val="004C49B0"/>
    <w:rsid w:val="004C4F53"/>
    <w:rsid w:val="004C4F7F"/>
    <w:rsid w:val="004C592E"/>
    <w:rsid w:val="004D050F"/>
    <w:rsid w:val="004D0E3A"/>
    <w:rsid w:val="004D1A73"/>
    <w:rsid w:val="004D48C2"/>
    <w:rsid w:val="004D5865"/>
    <w:rsid w:val="004D67B1"/>
    <w:rsid w:val="004D7128"/>
    <w:rsid w:val="004D751D"/>
    <w:rsid w:val="004E05C2"/>
    <w:rsid w:val="004E0B02"/>
    <w:rsid w:val="004E0C0D"/>
    <w:rsid w:val="004E205A"/>
    <w:rsid w:val="004E255F"/>
    <w:rsid w:val="004E4C2D"/>
    <w:rsid w:val="004F0539"/>
    <w:rsid w:val="004F10A4"/>
    <w:rsid w:val="004F2961"/>
    <w:rsid w:val="004F342E"/>
    <w:rsid w:val="004F4C63"/>
    <w:rsid w:val="004F5AE6"/>
    <w:rsid w:val="004F5C19"/>
    <w:rsid w:val="004F7B6A"/>
    <w:rsid w:val="0050090F"/>
    <w:rsid w:val="0050208D"/>
    <w:rsid w:val="0050284B"/>
    <w:rsid w:val="00502F99"/>
    <w:rsid w:val="00504B71"/>
    <w:rsid w:val="0050608E"/>
    <w:rsid w:val="00507991"/>
    <w:rsid w:val="00507C94"/>
    <w:rsid w:val="00507EB2"/>
    <w:rsid w:val="00510111"/>
    <w:rsid w:val="00511AB4"/>
    <w:rsid w:val="005120CB"/>
    <w:rsid w:val="00512690"/>
    <w:rsid w:val="00512A4E"/>
    <w:rsid w:val="0051413E"/>
    <w:rsid w:val="00514EA4"/>
    <w:rsid w:val="00516BB4"/>
    <w:rsid w:val="00517A5D"/>
    <w:rsid w:val="00517E1E"/>
    <w:rsid w:val="005203E3"/>
    <w:rsid w:val="005217E8"/>
    <w:rsid w:val="005220FE"/>
    <w:rsid w:val="00523B5E"/>
    <w:rsid w:val="005247DE"/>
    <w:rsid w:val="00530B8F"/>
    <w:rsid w:val="00531434"/>
    <w:rsid w:val="00531754"/>
    <w:rsid w:val="00534840"/>
    <w:rsid w:val="00534D08"/>
    <w:rsid w:val="005366E5"/>
    <w:rsid w:val="00536973"/>
    <w:rsid w:val="00536C6B"/>
    <w:rsid w:val="0053754B"/>
    <w:rsid w:val="00544652"/>
    <w:rsid w:val="005459D4"/>
    <w:rsid w:val="0054625B"/>
    <w:rsid w:val="00547E83"/>
    <w:rsid w:val="00551539"/>
    <w:rsid w:val="00552EFE"/>
    <w:rsid w:val="00554ABB"/>
    <w:rsid w:val="0055552D"/>
    <w:rsid w:val="00555668"/>
    <w:rsid w:val="0055679E"/>
    <w:rsid w:val="00556E38"/>
    <w:rsid w:val="0056090D"/>
    <w:rsid w:val="00561E9C"/>
    <w:rsid w:val="00561EA7"/>
    <w:rsid w:val="0056302A"/>
    <w:rsid w:val="00563B27"/>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77E"/>
    <w:rsid w:val="005A6821"/>
    <w:rsid w:val="005B2393"/>
    <w:rsid w:val="005B2681"/>
    <w:rsid w:val="005B7087"/>
    <w:rsid w:val="005B750A"/>
    <w:rsid w:val="005C2B89"/>
    <w:rsid w:val="005C2FA7"/>
    <w:rsid w:val="005C386F"/>
    <w:rsid w:val="005C3F0E"/>
    <w:rsid w:val="005C42AC"/>
    <w:rsid w:val="005C4D05"/>
    <w:rsid w:val="005C506B"/>
    <w:rsid w:val="005C71BF"/>
    <w:rsid w:val="005C723D"/>
    <w:rsid w:val="005C7601"/>
    <w:rsid w:val="005D1094"/>
    <w:rsid w:val="005D1F33"/>
    <w:rsid w:val="005D3394"/>
    <w:rsid w:val="005D3989"/>
    <w:rsid w:val="005D42FF"/>
    <w:rsid w:val="005D6CF7"/>
    <w:rsid w:val="005D77A9"/>
    <w:rsid w:val="005D7F05"/>
    <w:rsid w:val="005E2725"/>
    <w:rsid w:val="005E624A"/>
    <w:rsid w:val="005E65FA"/>
    <w:rsid w:val="005F19CE"/>
    <w:rsid w:val="005F1B29"/>
    <w:rsid w:val="005F28F4"/>
    <w:rsid w:val="005F2A02"/>
    <w:rsid w:val="005F2EB4"/>
    <w:rsid w:val="005F43BB"/>
    <w:rsid w:val="005F503E"/>
    <w:rsid w:val="005F6A08"/>
    <w:rsid w:val="005F6CB3"/>
    <w:rsid w:val="005F7612"/>
    <w:rsid w:val="005F7663"/>
    <w:rsid w:val="005F7D63"/>
    <w:rsid w:val="00607170"/>
    <w:rsid w:val="00607408"/>
    <w:rsid w:val="00610AEE"/>
    <w:rsid w:val="00615DA1"/>
    <w:rsid w:val="00616BAC"/>
    <w:rsid w:val="00620598"/>
    <w:rsid w:val="00620FEC"/>
    <w:rsid w:val="006214DC"/>
    <w:rsid w:val="006215E2"/>
    <w:rsid w:val="0062168F"/>
    <w:rsid w:val="006221A2"/>
    <w:rsid w:val="00627113"/>
    <w:rsid w:val="00627B8B"/>
    <w:rsid w:val="00630FE1"/>
    <w:rsid w:val="0063106D"/>
    <w:rsid w:val="006312FF"/>
    <w:rsid w:val="00632136"/>
    <w:rsid w:val="00632C67"/>
    <w:rsid w:val="006331B6"/>
    <w:rsid w:val="00633310"/>
    <w:rsid w:val="00633315"/>
    <w:rsid w:val="006366CC"/>
    <w:rsid w:val="00637738"/>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0DD"/>
    <w:rsid w:val="006730F2"/>
    <w:rsid w:val="00673EB3"/>
    <w:rsid w:val="00676C20"/>
    <w:rsid w:val="00680BE8"/>
    <w:rsid w:val="00686409"/>
    <w:rsid w:val="00686D19"/>
    <w:rsid w:val="0068777F"/>
    <w:rsid w:val="00693018"/>
    <w:rsid w:val="0069718C"/>
    <w:rsid w:val="00697EBD"/>
    <w:rsid w:val="006A0059"/>
    <w:rsid w:val="006A1195"/>
    <w:rsid w:val="006A252E"/>
    <w:rsid w:val="006A7425"/>
    <w:rsid w:val="006B058A"/>
    <w:rsid w:val="006B1299"/>
    <w:rsid w:val="006B26BE"/>
    <w:rsid w:val="006B26D9"/>
    <w:rsid w:val="006B310C"/>
    <w:rsid w:val="006B3232"/>
    <w:rsid w:val="006B664C"/>
    <w:rsid w:val="006C1125"/>
    <w:rsid w:val="006C1C83"/>
    <w:rsid w:val="006C3E78"/>
    <w:rsid w:val="006C54E6"/>
    <w:rsid w:val="006C5762"/>
    <w:rsid w:val="006C690D"/>
    <w:rsid w:val="006D0286"/>
    <w:rsid w:val="006D149F"/>
    <w:rsid w:val="006D3396"/>
    <w:rsid w:val="006D5330"/>
    <w:rsid w:val="006D5AFF"/>
    <w:rsid w:val="006E050C"/>
    <w:rsid w:val="006E152B"/>
    <w:rsid w:val="006E36D1"/>
    <w:rsid w:val="006E4002"/>
    <w:rsid w:val="006E4CF6"/>
    <w:rsid w:val="006E4DB6"/>
    <w:rsid w:val="006E605A"/>
    <w:rsid w:val="006E622E"/>
    <w:rsid w:val="006E7938"/>
    <w:rsid w:val="006E79FB"/>
    <w:rsid w:val="006F229A"/>
    <w:rsid w:val="006F3BB9"/>
    <w:rsid w:val="006F4AA6"/>
    <w:rsid w:val="007007FA"/>
    <w:rsid w:val="007026D5"/>
    <w:rsid w:val="007036CA"/>
    <w:rsid w:val="007041CB"/>
    <w:rsid w:val="00705090"/>
    <w:rsid w:val="00705102"/>
    <w:rsid w:val="00705DDB"/>
    <w:rsid w:val="0070675E"/>
    <w:rsid w:val="00706A0E"/>
    <w:rsid w:val="00706FE2"/>
    <w:rsid w:val="00710573"/>
    <w:rsid w:val="00710808"/>
    <w:rsid w:val="007116CB"/>
    <w:rsid w:val="0071211E"/>
    <w:rsid w:val="00712B1B"/>
    <w:rsid w:val="0071622D"/>
    <w:rsid w:val="007168CC"/>
    <w:rsid w:val="007176BB"/>
    <w:rsid w:val="007177D3"/>
    <w:rsid w:val="00717811"/>
    <w:rsid w:val="00720A17"/>
    <w:rsid w:val="00720D4B"/>
    <w:rsid w:val="00723108"/>
    <w:rsid w:val="00723481"/>
    <w:rsid w:val="00723A0F"/>
    <w:rsid w:val="00726CB6"/>
    <w:rsid w:val="00727255"/>
    <w:rsid w:val="0072779B"/>
    <w:rsid w:val="00727CCF"/>
    <w:rsid w:val="0073446D"/>
    <w:rsid w:val="007349FF"/>
    <w:rsid w:val="00734B45"/>
    <w:rsid w:val="00736FFB"/>
    <w:rsid w:val="00740080"/>
    <w:rsid w:val="0074167B"/>
    <w:rsid w:val="00741A30"/>
    <w:rsid w:val="00747553"/>
    <w:rsid w:val="007504DC"/>
    <w:rsid w:val="0075142F"/>
    <w:rsid w:val="00751965"/>
    <w:rsid w:val="007524EF"/>
    <w:rsid w:val="00752689"/>
    <w:rsid w:val="007529DB"/>
    <w:rsid w:val="00755EF1"/>
    <w:rsid w:val="00756D1D"/>
    <w:rsid w:val="00760886"/>
    <w:rsid w:val="00761488"/>
    <w:rsid w:val="007615CA"/>
    <w:rsid w:val="00761ADD"/>
    <w:rsid w:val="00762B3A"/>
    <w:rsid w:val="00765D6E"/>
    <w:rsid w:val="00765D7E"/>
    <w:rsid w:val="007674B6"/>
    <w:rsid w:val="00770E90"/>
    <w:rsid w:val="00771FB5"/>
    <w:rsid w:val="00772C42"/>
    <w:rsid w:val="0077302F"/>
    <w:rsid w:val="00773661"/>
    <w:rsid w:val="00774A61"/>
    <w:rsid w:val="00774E08"/>
    <w:rsid w:val="00774E72"/>
    <w:rsid w:val="0077746F"/>
    <w:rsid w:val="007775FE"/>
    <w:rsid w:val="00780A5F"/>
    <w:rsid w:val="0078244F"/>
    <w:rsid w:val="007830F3"/>
    <w:rsid w:val="00784913"/>
    <w:rsid w:val="00785B90"/>
    <w:rsid w:val="0078639C"/>
    <w:rsid w:val="007913D3"/>
    <w:rsid w:val="007932DD"/>
    <w:rsid w:val="0079512C"/>
    <w:rsid w:val="0079790C"/>
    <w:rsid w:val="007A102A"/>
    <w:rsid w:val="007A15E6"/>
    <w:rsid w:val="007A194B"/>
    <w:rsid w:val="007A26A1"/>
    <w:rsid w:val="007A4BCD"/>
    <w:rsid w:val="007A5714"/>
    <w:rsid w:val="007A5EFA"/>
    <w:rsid w:val="007A60D5"/>
    <w:rsid w:val="007A6821"/>
    <w:rsid w:val="007A75EF"/>
    <w:rsid w:val="007B03B6"/>
    <w:rsid w:val="007B1257"/>
    <w:rsid w:val="007B33CC"/>
    <w:rsid w:val="007B4133"/>
    <w:rsid w:val="007B49F4"/>
    <w:rsid w:val="007B7AB4"/>
    <w:rsid w:val="007C2405"/>
    <w:rsid w:val="007C2A54"/>
    <w:rsid w:val="007C2B69"/>
    <w:rsid w:val="007C2DC1"/>
    <w:rsid w:val="007C3B05"/>
    <w:rsid w:val="007C3C5E"/>
    <w:rsid w:val="007C3D25"/>
    <w:rsid w:val="007C4998"/>
    <w:rsid w:val="007C668F"/>
    <w:rsid w:val="007C66C2"/>
    <w:rsid w:val="007C723F"/>
    <w:rsid w:val="007C778D"/>
    <w:rsid w:val="007D030F"/>
    <w:rsid w:val="007D07D6"/>
    <w:rsid w:val="007D18A6"/>
    <w:rsid w:val="007D1CA0"/>
    <w:rsid w:val="007D2DF5"/>
    <w:rsid w:val="007D3DB1"/>
    <w:rsid w:val="007D4994"/>
    <w:rsid w:val="007D4BB3"/>
    <w:rsid w:val="007D4F6E"/>
    <w:rsid w:val="007D5ECD"/>
    <w:rsid w:val="007D61CA"/>
    <w:rsid w:val="007D67E5"/>
    <w:rsid w:val="007D6DCF"/>
    <w:rsid w:val="007D6F0D"/>
    <w:rsid w:val="007D7963"/>
    <w:rsid w:val="007E2488"/>
    <w:rsid w:val="007E3532"/>
    <w:rsid w:val="007E5FE3"/>
    <w:rsid w:val="007E64DF"/>
    <w:rsid w:val="007E657D"/>
    <w:rsid w:val="007E7119"/>
    <w:rsid w:val="007E71BB"/>
    <w:rsid w:val="007E7B90"/>
    <w:rsid w:val="007E7C13"/>
    <w:rsid w:val="007F2464"/>
    <w:rsid w:val="007F3ADD"/>
    <w:rsid w:val="007F4A64"/>
    <w:rsid w:val="007F4ADE"/>
    <w:rsid w:val="007F5542"/>
    <w:rsid w:val="007F5A5A"/>
    <w:rsid w:val="007F5EDC"/>
    <w:rsid w:val="00800AFD"/>
    <w:rsid w:val="00800C1B"/>
    <w:rsid w:val="00800FF6"/>
    <w:rsid w:val="0080239D"/>
    <w:rsid w:val="0080345E"/>
    <w:rsid w:val="00803CF3"/>
    <w:rsid w:val="00806EAB"/>
    <w:rsid w:val="00810E52"/>
    <w:rsid w:val="00811CA7"/>
    <w:rsid w:val="0081636E"/>
    <w:rsid w:val="0082112E"/>
    <w:rsid w:val="00822F2B"/>
    <w:rsid w:val="00823D9A"/>
    <w:rsid w:val="00823E42"/>
    <w:rsid w:val="00827672"/>
    <w:rsid w:val="00827EA4"/>
    <w:rsid w:val="008301D6"/>
    <w:rsid w:val="008305B7"/>
    <w:rsid w:val="00830C78"/>
    <w:rsid w:val="00830FB9"/>
    <w:rsid w:val="00833C7A"/>
    <w:rsid w:val="00834968"/>
    <w:rsid w:val="00834B53"/>
    <w:rsid w:val="00835003"/>
    <w:rsid w:val="00840298"/>
    <w:rsid w:val="00840F5E"/>
    <w:rsid w:val="00841BE4"/>
    <w:rsid w:val="00844A36"/>
    <w:rsid w:val="00845A53"/>
    <w:rsid w:val="00847E8C"/>
    <w:rsid w:val="008505E1"/>
    <w:rsid w:val="008508D1"/>
    <w:rsid w:val="00850B19"/>
    <w:rsid w:val="00852488"/>
    <w:rsid w:val="008526FE"/>
    <w:rsid w:val="0085405E"/>
    <w:rsid w:val="008560AC"/>
    <w:rsid w:val="008571DD"/>
    <w:rsid w:val="0085772E"/>
    <w:rsid w:val="00860344"/>
    <w:rsid w:val="00860E2C"/>
    <w:rsid w:val="0086487D"/>
    <w:rsid w:val="00864BC6"/>
    <w:rsid w:val="00865EE6"/>
    <w:rsid w:val="00870D23"/>
    <w:rsid w:val="00872B72"/>
    <w:rsid w:val="00873022"/>
    <w:rsid w:val="00876384"/>
    <w:rsid w:val="00876468"/>
    <w:rsid w:val="008767E1"/>
    <w:rsid w:val="00876CC7"/>
    <w:rsid w:val="0087751F"/>
    <w:rsid w:val="008823E4"/>
    <w:rsid w:val="008837C4"/>
    <w:rsid w:val="008849F3"/>
    <w:rsid w:val="00884E78"/>
    <w:rsid w:val="008861C7"/>
    <w:rsid w:val="0088673B"/>
    <w:rsid w:val="00887265"/>
    <w:rsid w:val="00887500"/>
    <w:rsid w:val="008905AD"/>
    <w:rsid w:val="008920F2"/>
    <w:rsid w:val="0089348A"/>
    <w:rsid w:val="00893ABF"/>
    <w:rsid w:val="00893B5B"/>
    <w:rsid w:val="00894E9F"/>
    <w:rsid w:val="00895424"/>
    <w:rsid w:val="00896CEC"/>
    <w:rsid w:val="008A06BC"/>
    <w:rsid w:val="008A0AA3"/>
    <w:rsid w:val="008A0EAA"/>
    <w:rsid w:val="008A149F"/>
    <w:rsid w:val="008A19FD"/>
    <w:rsid w:val="008A1A25"/>
    <w:rsid w:val="008A4E05"/>
    <w:rsid w:val="008A56DB"/>
    <w:rsid w:val="008A6CFC"/>
    <w:rsid w:val="008A7AC8"/>
    <w:rsid w:val="008B2125"/>
    <w:rsid w:val="008B25D4"/>
    <w:rsid w:val="008B38E5"/>
    <w:rsid w:val="008B58C4"/>
    <w:rsid w:val="008B5AAB"/>
    <w:rsid w:val="008B6CD2"/>
    <w:rsid w:val="008B7087"/>
    <w:rsid w:val="008B72DD"/>
    <w:rsid w:val="008C050B"/>
    <w:rsid w:val="008C1132"/>
    <w:rsid w:val="008C1698"/>
    <w:rsid w:val="008C302A"/>
    <w:rsid w:val="008C3E42"/>
    <w:rsid w:val="008C4B72"/>
    <w:rsid w:val="008C5279"/>
    <w:rsid w:val="008C527D"/>
    <w:rsid w:val="008C59E4"/>
    <w:rsid w:val="008C5C9F"/>
    <w:rsid w:val="008C6773"/>
    <w:rsid w:val="008C72BB"/>
    <w:rsid w:val="008D140C"/>
    <w:rsid w:val="008D2BAE"/>
    <w:rsid w:val="008D2C9E"/>
    <w:rsid w:val="008D364B"/>
    <w:rsid w:val="008D41F5"/>
    <w:rsid w:val="008D521F"/>
    <w:rsid w:val="008D5C06"/>
    <w:rsid w:val="008D6227"/>
    <w:rsid w:val="008D7A8B"/>
    <w:rsid w:val="008E41D3"/>
    <w:rsid w:val="008E43F1"/>
    <w:rsid w:val="008E49F0"/>
    <w:rsid w:val="008E594F"/>
    <w:rsid w:val="008E7312"/>
    <w:rsid w:val="008F297F"/>
    <w:rsid w:val="008F30C4"/>
    <w:rsid w:val="008F447E"/>
    <w:rsid w:val="00904BA9"/>
    <w:rsid w:val="00904E7E"/>
    <w:rsid w:val="0091086B"/>
    <w:rsid w:val="00911129"/>
    <w:rsid w:val="00912EA3"/>
    <w:rsid w:val="00914B6E"/>
    <w:rsid w:val="009156A2"/>
    <w:rsid w:val="0091579A"/>
    <w:rsid w:val="0091615D"/>
    <w:rsid w:val="00923F7E"/>
    <w:rsid w:val="00924C96"/>
    <w:rsid w:val="00925030"/>
    <w:rsid w:val="0092550E"/>
    <w:rsid w:val="00925B2A"/>
    <w:rsid w:val="00925B32"/>
    <w:rsid w:val="0093093D"/>
    <w:rsid w:val="00930A64"/>
    <w:rsid w:val="00930BE5"/>
    <w:rsid w:val="00931403"/>
    <w:rsid w:val="0093382F"/>
    <w:rsid w:val="00934991"/>
    <w:rsid w:val="009351A7"/>
    <w:rsid w:val="009426B9"/>
    <w:rsid w:val="00944E85"/>
    <w:rsid w:val="0094634C"/>
    <w:rsid w:val="009463AB"/>
    <w:rsid w:val="009464FE"/>
    <w:rsid w:val="00950239"/>
    <w:rsid w:val="00950332"/>
    <w:rsid w:val="00950B07"/>
    <w:rsid w:val="009550D8"/>
    <w:rsid w:val="00955899"/>
    <w:rsid w:val="00955A03"/>
    <w:rsid w:val="00956B65"/>
    <w:rsid w:val="0096203D"/>
    <w:rsid w:val="0096224A"/>
    <w:rsid w:val="00963289"/>
    <w:rsid w:val="0096436C"/>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555E"/>
    <w:rsid w:val="00977437"/>
    <w:rsid w:val="00977C89"/>
    <w:rsid w:val="00980AB3"/>
    <w:rsid w:val="0098204C"/>
    <w:rsid w:val="00983EEB"/>
    <w:rsid w:val="009848CB"/>
    <w:rsid w:val="00984D10"/>
    <w:rsid w:val="0098600B"/>
    <w:rsid w:val="009861C1"/>
    <w:rsid w:val="00986C3D"/>
    <w:rsid w:val="00987177"/>
    <w:rsid w:val="009879D3"/>
    <w:rsid w:val="00987F11"/>
    <w:rsid w:val="009902DD"/>
    <w:rsid w:val="0099128D"/>
    <w:rsid w:val="009917F1"/>
    <w:rsid w:val="00991E37"/>
    <w:rsid w:val="00991E74"/>
    <w:rsid w:val="009926A6"/>
    <w:rsid w:val="0099415E"/>
    <w:rsid w:val="009948BF"/>
    <w:rsid w:val="00996C4A"/>
    <w:rsid w:val="00997844"/>
    <w:rsid w:val="009978C2"/>
    <w:rsid w:val="009A345F"/>
    <w:rsid w:val="009A3926"/>
    <w:rsid w:val="009A4AE5"/>
    <w:rsid w:val="009A5218"/>
    <w:rsid w:val="009A6806"/>
    <w:rsid w:val="009A6E37"/>
    <w:rsid w:val="009A768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0A32"/>
    <w:rsid w:val="009F183D"/>
    <w:rsid w:val="009F4200"/>
    <w:rsid w:val="009F4933"/>
    <w:rsid w:val="009F5FD0"/>
    <w:rsid w:val="009F6356"/>
    <w:rsid w:val="009F6DD5"/>
    <w:rsid w:val="009F7B12"/>
    <w:rsid w:val="00A020A2"/>
    <w:rsid w:val="00A0297B"/>
    <w:rsid w:val="00A0358E"/>
    <w:rsid w:val="00A049F9"/>
    <w:rsid w:val="00A0529B"/>
    <w:rsid w:val="00A0766F"/>
    <w:rsid w:val="00A10713"/>
    <w:rsid w:val="00A1252C"/>
    <w:rsid w:val="00A13B8B"/>
    <w:rsid w:val="00A151B7"/>
    <w:rsid w:val="00A20968"/>
    <w:rsid w:val="00A20F5E"/>
    <w:rsid w:val="00A21225"/>
    <w:rsid w:val="00A2139C"/>
    <w:rsid w:val="00A218F9"/>
    <w:rsid w:val="00A21E37"/>
    <w:rsid w:val="00A23314"/>
    <w:rsid w:val="00A235BB"/>
    <w:rsid w:val="00A23F10"/>
    <w:rsid w:val="00A23F72"/>
    <w:rsid w:val="00A252BF"/>
    <w:rsid w:val="00A26AB8"/>
    <w:rsid w:val="00A322BF"/>
    <w:rsid w:val="00A3372A"/>
    <w:rsid w:val="00A3373F"/>
    <w:rsid w:val="00A33F51"/>
    <w:rsid w:val="00A349DF"/>
    <w:rsid w:val="00A40311"/>
    <w:rsid w:val="00A41032"/>
    <w:rsid w:val="00A4106C"/>
    <w:rsid w:val="00A428E7"/>
    <w:rsid w:val="00A43E49"/>
    <w:rsid w:val="00A44018"/>
    <w:rsid w:val="00A44F82"/>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5781A"/>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5F71"/>
    <w:rsid w:val="00A76AEE"/>
    <w:rsid w:val="00A801B4"/>
    <w:rsid w:val="00A8199F"/>
    <w:rsid w:val="00A82075"/>
    <w:rsid w:val="00A82192"/>
    <w:rsid w:val="00A857AB"/>
    <w:rsid w:val="00A86ABC"/>
    <w:rsid w:val="00A90009"/>
    <w:rsid w:val="00A9152F"/>
    <w:rsid w:val="00A927A4"/>
    <w:rsid w:val="00A94ADC"/>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808"/>
    <w:rsid w:val="00AC2BFD"/>
    <w:rsid w:val="00AC4DDD"/>
    <w:rsid w:val="00AC5A43"/>
    <w:rsid w:val="00AC5D2C"/>
    <w:rsid w:val="00AC6B6D"/>
    <w:rsid w:val="00AD3559"/>
    <w:rsid w:val="00AD3B05"/>
    <w:rsid w:val="00AD3C8E"/>
    <w:rsid w:val="00AD470D"/>
    <w:rsid w:val="00AD5193"/>
    <w:rsid w:val="00AD7390"/>
    <w:rsid w:val="00AD7E6F"/>
    <w:rsid w:val="00AE1680"/>
    <w:rsid w:val="00AE1BD8"/>
    <w:rsid w:val="00AE2817"/>
    <w:rsid w:val="00AE304B"/>
    <w:rsid w:val="00AE3D3E"/>
    <w:rsid w:val="00AE49B2"/>
    <w:rsid w:val="00AE6BEB"/>
    <w:rsid w:val="00AE7789"/>
    <w:rsid w:val="00AF32EA"/>
    <w:rsid w:val="00AF3DED"/>
    <w:rsid w:val="00AF48B1"/>
    <w:rsid w:val="00AF4FB8"/>
    <w:rsid w:val="00AF5E63"/>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1762F"/>
    <w:rsid w:val="00B2079A"/>
    <w:rsid w:val="00B20AE9"/>
    <w:rsid w:val="00B20EBF"/>
    <w:rsid w:val="00B23B08"/>
    <w:rsid w:val="00B24F44"/>
    <w:rsid w:val="00B25428"/>
    <w:rsid w:val="00B255BB"/>
    <w:rsid w:val="00B25E24"/>
    <w:rsid w:val="00B2609A"/>
    <w:rsid w:val="00B301B1"/>
    <w:rsid w:val="00B3313A"/>
    <w:rsid w:val="00B33E3C"/>
    <w:rsid w:val="00B353E7"/>
    <w:rsid w:val="00B35759"/>
    <w:rsid w:val="00B3619A"/>
    <w:rsid w:val="00B365B7"/>
    <w:rsid w:val="00B404E9"/>
    <w:rsid w:val="00B40BCA"/>
    <w:rsid w:val="00B42980"/>
    <w:rsid w:val="00B4308D"/>
    <w:rsid w:val="00B440DA"/>
    <w:rsid w:val="00B4415A"/>
    <w:rsid w:val="00B47B88"/>
    <w:rsid w:val="00B503CD"/>
    <w:rsid w:val="00B53B51"/>
    <w:rsid w:val="00B548AB"/>
    <w:rsid w:val="00B54BBE"/>
    <w:rsid w:val="00B553F8"/>
    <w:rsid w:val="00B560B6"/>
    <w:rsid w:val="00B5630E"/>
    <w:rsid w:val="00B60E04"/>
    <w:rsid w:val="00B62FB6"/>
    <w:rsid w:val="00B635BF"/>
    <w:rsid w:val="00B63F49"/>
    <w:rsid w:val="00B7050A"/>
    <w:rsid w:val="00B70904"/>
    <w:rsid w:val="00B709DF"/>
    <w:rsid w:val="00B70A42"/>
    <w:rsid w:val="00B74791"/>
    <w:rsid w:val="00B76AF9"/>
    <w:rsid w:val="00B8115B"/>
    <w:rsid w:val="00B81AE2"/>
    <w:rsid w:val="00B82D30"/>
    <w:rsid w:val="00B87F62"/>
    <w:rsid w:val="00B914A4"/>
    <w:rsid w:val="00B92497"/>
    <w:rsid w:val="00B92D41"/>
    <w:rsid w:val="00B93679"/>
    <w:rsid w:val="00B93902"/>
    <w:rsid w:val="00B9422D"/>
    <w:rsid w:val="00B95A1D"/>
    <w:rsid w:val="00B9634B"/>
    <w:rsid w:val="00BA5072"/>
    <w:rsid w:val="00BA5B65"/>
    <w:rsid w:val="00BA71E4"/>
    <w:rsid w:val="00BA7BFE"/>
    <w:rsid w:val="00BB01EE"/>
    <w:rsid w:val="00BB0ECA"/>
    <w:rsid w:val="00BB246B"/>
    <w:rsid w:val="00BB4F49"/>
    <w:rsid w:val="00BB60F7"/>
    <w:rsid w:val="00BB6B2D"/>
    <w:rsid w:val="00BB7375"/>
    <w:rsid w:val="00BC0500"/>
    <w:rsid w:val="00BC222A"/>
    <w:rsid w:val="00BC44F5"/>
    <w:rsid w:val="00BC500B"/>
    <w:rsid w:val="00BC547C"/>
    <w:rsid w:val="00BC6B29"/>
    <w:rsid w:val="00BC798C"/>
    <w:rsid w:val="00BC7D11"/>
    <w:rsid w:val="00BD00FD"/>
    <w:rsid w:val="00BD15A2"/>
    <w:rsid w:val="00BD2153"/>
    <w:rsid w:val="00BD337A"/>
    <w:rsid w:val="00BD558D"/>
    <w:rsid w:val="00BD5CC3"/>
    <w:rsid w:val="00BE1AD0"/>
    <w:rsid w:val="00BE1F47"/>
    <w:rsid w:val="00BE24AD"/>
    <w:rsid w:val="00BE2787"/>
    <w:rsid w:val="00BE4C20"/>
    <w:rsid w:val="00BE51BB"/>
    <w:rsid w:val="00BE7ECD"/>
    <w:rsid w:val="00BF13C0"/>
    <w:rsid w:val="00BF1682"/>
    <w:rsid w:val="00BF241A"/>
    <w:rsid w:val="00BF3AFB"/>
    <w:rsid w:val="00BF3DD2"/>
    <w:rsid w:val="00BF4344"/>
    <w:rsid w:val="00BF6970"/>
    <w:rsid w:val="00BF69C6"/>
    <w:rsid w:val="00C005D8"/>
    <w:rsid w:val="00C02F31"/>
    <w:rsid w:val="00C04DA5"/>
    <w:rsid w:val="00C050FC"/>
    <w:rsid w:val="00C05D40"/>
    <w:rsid w:val="00C06811"/>
    <w:rsid w:val="00C11905"/>
    <w:rsid w:val="00C131E9"/>
    <w:rsid w:val="00C14462"/>
    <w:rsid w:val="00C16542"/>
    <w:rsid w:val="00C20FA1"/>
    <w:rsid w:val="00C22382"/>
    <w:rsid w:val="00C2355B"/>
    <w:rsid w:val="00C26191"/>
    <w:rsid w:val="00C274A6"/>
    <w:rsid w:val="00C303E1"/>
    <w:rsid w:val="00C319C1"/>
    <w:rsid w:val="00C32F3A"/>
    <w:rsid w:val="00C34201"/>
    <w:rsid w:val="00C35A38"/>
    <w:rsid w:val="00C35EC9"/>
    <w:rsid w:val="00C36807"/>
    <w:rsid w:val="00C37392"/>
    <w:rsid w:val="00C41545"/>
    <w:rsid w:val="00C4209D"/>
    <w:rsid w:val="00C432B3"/>
    <w:rsid w:val="00C43F8D"/>
    <w:rsid w:val="00C44097"/>
    <w:rsid w:val="00C443A0"/>
    <w:rsid w:val="00C455F9"/>
    <w:rsid w:val="00C4738F"/>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0600"/>
    <w:rsid w:val="00C913A1"/>
    <w:rsid w:val="00C950D6"/>
    <w:rsid w:val="00C96209"/>
    <w:rsid w:val="00C97646"/>
    <w:rsid w:val="00C97672"/>
    <w:rsid w:val="00CA55BD"/>
    <w:rsid w:val="00CA5C24"/>
    <w:rsid w:val="00CB0837"/>
    <w:rsid w:val="00CB2BFA"/>
    <w:rsid w:val="00CB3888"/>
    <w:rsid w:val="00CB400E"/>
    <w:rsid w:val="00CB48F6"/>
    <w:rsid w:val="00CB5F04"/>
    <w:rsid w:val="00CB67F1"/>
    <w:rsid w:val="00CB7DC8"/>
    <w:rsid w:val="00CC0EC0"/>
    <w:rsid w:val="00CC1543"/>
    <w:rsid w:val="00CC34DB"/>
    <w:rsid w:val="00CC3543"/>
    <w:rsid w:val="00CC51AC"/>
    <w:rsid w:val="00CC609D"/>
    <w:rsid w:val="00CC7044"/>
    <w:rsid w:val="00CD11FF"/>
    <w:rsid w:val="00CD15E7"/>
    <w:rsid w:val="00CD251B"/>
    <w:rsid w:val="00CE07A9"/>
    <w:rsid w:val="00CE1012"/>
    <w:rsid w:val="00CE419E"/>
    <w:rsid w:val="00CE5011"/>
    <w:rsid w:val="00CE574A"/>
    <w:rsid w:val="00CE5DC5"/>
    <w:rsid w:val="00CE629E"/>
    <w:rsid w:val="00CE66CE"/>
    <w:rsid w:val="00CE755E"/>
    <w:rsid w:val="00CE77AA"/>
    <w:rsid w:val="00CE7B59"/>
    <w:rsid w:val="00CF352C"/>
    <w:rsid w:val="00CF3B43"/>
    <w:rsid w:val="00CF4570"/>
    <w:rsid w:val="00CF58EE"/>
    <w:rsid w:val="00D00811"/>
    <w:rsid w:val="00D02A43"/>
    <w:rsid w:val="00D04518"/>
    <w:rsid w:val="00D05489"/>
    <w:rsid w:val="00D05CA1"/>
    <w:rsid w:val="00D061CB"/>
    <w:rsid w:val="00D07612"/>
    <w:rsid w:val="00D0796C"/>
    <w:rsid w:val="00D07B7D"/>
    <w:rsid w:val="00D07DA3"/>
    <w:rsid w:val="00D11A35"/>
    <w:rsid w:val="00D11FE9"/>
    <w:rsid w:val="00D13130"/>
    <w:rsid w:val="00D146D4"/>
    <w:rsid w:val="00D14B3C"/>
    <w:rsid w:val="00D14BA5"/>
    <w:rsid w:val="00D15D9D"/>
    <w:rsid w:val="00D16580"/>
    <w:rsid w:val="00D20E20"/>
    <w:rsid w:val="00D21C3A"/>
    <w:rsid w:val="00D228DA"/>
    <w:rsid w:val="00D22E01"/>
    <w:rsid w:val="00D23130"/>
    <w:rsid w:val="00D238A5"/>
    <w:rsid w:val="00D24621"/>
    <w:rsid w:val="00D2600F"/>
    <w:rsid w:val="00D30A88"/>
    <w:rsid w:val="00D30EEA"/>
    <w:rsid w:val="00D31534"/>
    <w:rsid w:val="00D32C1F"/>
    <w:rsid w:val="00D33C5A"/>
    <w:rsid w:val="00D33FC2"/>
    <w:rsid w:val="00D37394"/>
    <w:rsid w:val="00D459DC"/>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53F"/>
    <w:rsid w:val="00D746C0"/>
    <w:rsid w:val="00D74723"/>
    <w:rsid w:val="00D76091"/>
    <w:rsid w:val="00D76B9C"/>
    <w:rsid w:val="00D76D82"/>
    <w:rsid w:val="00D77D65"/>
    <w:rsid w:val="00D80448"/>
    <w:rsid w:val="00D80C4F"/>
    <w:rsid w:val="00D8149F"/>
    <w:rsid w:val="00D814FB"/>
    <w:rsid w:val="00D817E4"/>
    <w:rsid w:val="00D83D95"/>
    <w:rsid w:val="00D90293"/>
    <w:rsid w:val="00D90496"/>
    <w:rsid w:val="00D917BC"/>
    <w:rsid w:val="00D91CF7"/>
    <w:rsid w:val="00D942DE"/>
    <w:rsid w:val="00D9491E"/>
    <w:rsid w:val="00DA070D"/>
    <w:rsid w:val="00DA3B2F"/>
    <w:rsid w:val="00DA4731"/>
    <w:rsid w:val="00DA5040"/>
    <w:rsid w:val="00DA6727"/>
    <w:rsid w:val="00DA7D5F"/>
    <w:rsid w:val="00DB053E"/>
    <w:rsid w:val="00DB11B2"/>
    <w:rsid w:val="00DB161E"/>
    <w:rsid w:val="00DB31B5"/>
    <w:rsid w:val="00DB4745"/>
    <w:rsid w:val="00DB5BBA"/>
    <w:rsid w:val="00DB644F"/>
    <w:rsid w:val="00DC03DB"/>
    <w:rsid w:val="00DC1206"/>
    <w:rsid w:val="00DC2BE8"/>
    <w:rsid w:val="00DC2BEC"/>
    <w:rsid w:val="00DC3256"/>
    <w:rsid w:val="00DC35A6"/>
    <w:rsid w:val="00DD090A"/>
    <w:rsid w:val="00DD2421"/>
    <w:rsid w:val="00DD3222"/>
    <w:rsid w:val="00DD3D81"/>
    <w:rsid w:val="00DD44FE"/>
    <w:rsid w:val="00DD4B92"/>
    <w:rsid w:val="00DD571C"/>
    <w:rsid w:val="00DD64E1"/>
    <w:rsid w:val="00DE039A"/>
    <w:rsid w:val="00DE0403"/>
    <w:rsid w:val="00DE4811"/>
    <w:rsid w:val="00DE5458"/>
    <w:rsid w:val="00DE5C7E"/>
    <w:rsid w:val="00DE5EE6"/>
    <w:rsid w:val="00DE6024"/>
    <w:rsid w:val="00DE77EA"/>
    <w:rsid w:val="00DF0ABA"/>
    <w:rsid w:val="00DF1EEE"/>
    <w:rsid w:val="00DF3C94"/>
    <w:rsid w:val="00DF49A3"/>
    <w:rsid w:val="00DF6C58"/>
    <w:rsid w:val="00E001C1"/>
    <w:rsid w:val="00E039F3"/>
    <w:rsid w:val="00E03C30"/>
    <w:rsid w:val="00E078BD"/>
    <w:rsid w:val="00E078F8"/>
    <w:rsid w:val="00E1142B"/>
    <w:rsid w:val="00E11F10"/>
    <w:rsid w:val="00E15726"/>
    <w:rsid w:val="00E157E4"/>
    <w:rsid w:val="00E15950"/>
    <w:rsid w:val="00E16522"/>
    <w:rsid w:val="00E1750C"/>
    <w:rsid w:val="00E178A6"/>
    <w:rsid w:val="00E20545"/>
    <w:rsid w:val="00E223C6"/>
    <w:rsid w:val="00E2443D"/>
    <w:rsid w:val="00E24789"/>
    <w:rsid w:val="00E252CB"/>
    <w:rsid w:val="00E26615"/>
    <w:rsid w:val="00E26F37"/>
    <w:rsid w:val="00E26FBF"/>
    <w:rsid w:val="00E27B72"/>
    <w:rsid w:val="00E27CD9"/>
    <w:rsid w:val="00E33928"/>
    <w:rsid w:val="00E33C90"/>
    <w:rsid w:val="00E34D15"/>
    <w:rsid w:val="00E35222"/>
    <w:rsid w:val="00E35E86"/>
    <w:rsid w:val="00E36B45"/>
    <w:rsid w:val="00E37BF1"/>
    <w:rsid w:val="00E428B3"/>
    <w:rsid w:val="00E44D19"/>
    <w:rsid w:val="00E44FCE"/>
    <w:rsid w:val="00E51372"/>
    <w:rsid w:val="00E518E0"/>
    <w:rsid w:val="00E51CAF"/>
    <w:rsid w:val="00E51E95"/>
    <w:rsid w:val="00E51F9D"/>
    <w:rsid w:val="00E5202F"/>
    <w:rsid w:val="00E5211A"/>
    <w:rsid w:val="00E53A9F"/>
    <w:rsid w:val="00E549AF"/>
    <w:rsid w:val="00E60540"/>
    <w:rsid w:val="00E61C74"/>
    <w:rsid w:val="00E63D8F"/>
    <w:rsid w:val="00E706B6"/>
    <w:rsid w:val="00E75AF5"/>
    <w:rsid w:val="00E76FF1"/>
    <w:rsid w:val="00E774FE"/>
    <w:rsid w:val="00E809A0"/>
    <w:rsid w:val="00E80AF7"/>
    <w:rsid w:val="00E82AF7"/>
    <w:rsid w:val="00E84407"/>
    <w:rsid w:val="00E85E54"/>
    <w:rsid w:val="00E86146"/>
    <w:rsid w:val="00E86A76"/>
    <w:rsid w:val="00E86AFD"/>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2B9"/>
    <w:rsid w:val="00EE05EE"/>
    <w:rsid w:val="00EE0AE2"/>
    <w:rsid w:val="00EE1242"/>
    <w:rsid w:val="00EE35B4"/>
    <w:rsid w:val="00EE5643"/>
    <w:rsid w:val="00EE7CEC"/>
    <w:rsid w:val="00EF056E"/>
    <w:rsid w:val="00EF09B3"/>
    <w:rsid w:val="00EF0A3E"/>
    <w:rsid w:val="00EF0BB3"/>
    <w:rsid w:val="00EF4AA5"/>
    <w:rsid w:val="00EF5EC6"/>
    <w:rsid w:val="00EF646F"/>
    <w:rsid w:val="00EF74D1"/>
    <w:rsid w:val="00EF7906"/>
    <w:rsid w:val="00EF791E"/>
    <w:rsid w:val="00EF7A63"/>
    <w:rsid w:val="00F00D58"/>
    <w:rsid w:val="00F00F97"/>
    <w:rsid w:val="00F0226C"/>
    <w:rsid w:val="00F02522"/>
    <w:rsid w:val="00F02AE0"/>
    <w:rsid w:val="00F02BFF"/>
    <w:rsid w:val="00F034DC"/>
    <w:rsid w:val="00F03953"/>
    <w:rsid w:val="00F04841"/>
    <w:rsid w:val="00F0579A"/>
    <w:rsid w:val="00F0674D"/>
    <w:rsid w:val="00F06F4A"/>
    <w:rsid w:val="00F10287"/>
    <w:rsid w:val="00F10C82"/>
    <w:rsid w:val="00F13B2E"/>
    <w:rsid w:val="00F176A0"/>
    <w:rsid w:val="00F20174"/>
    <w:rsid w:val="00F20663"/>
    <w:rsid w:val="00F22098"/>
    <w:rsid w:val="00F223BC"/>
    <w:rsid w:val="00F23780"/>
    <w:rsid w:val="00F26185"/>
    <w:rsid w:val="00F3178C"/>
    <w:rsid w:val="00F33DE5"/>
    <w:rsid w:val="00F3459D"/>
    <w:rsid w:val="00F34B8F"/>
    <w:rsid w:val="00F36D7F"/>
    <w:rsid w:val="00F37186"/>
    <w:rsid w:val="00F403B1"/>
    <w:rsid w:val="00F42FCF"/>
    <w:rsid w:val="00F44A83"/>
    <w:rsid w:val="00F50F3C"/>
    <w:rsid w:val="00F51743"/>
    <w:rsid w:val="00F529D4"/>
    <w:rsid w:val="00F54F27"/>
    <w:rsid w:val="00F55FC8"/>
    <w:rsid w:val="00F604E3"/>
    <w:rsid w:val="00F610E6"/>
    <w:rsid w:val="00F61FCC"/>
    <w:rsid w:val="00F64E74"/>
    <w:rsid w:val="00F66036"/>
    <w:rsid w:val="00F6689D"/>
    <w:rsid w:val="00F67E23"/>
    <w:rsid w:val="00F703D1"/>
    <w:rsid w:val="00F71601"/>
    <w:rsid w:val="00F72BF5"/>
    <w:rsid w:val="00F72C75"/>
    <w:rsid w:val="00F74033"/>
    <w:rsid w:val="00F74E23"/>
    <w:rsid w:val="00F759EB"/>
    <w:rsid w:val="00F7675F"/>
    <w:rsid w:val="00F772F7"/>
    <w:rsid w:val="00F81334"/>
    <w:rsid w:val="00F81A81"/>
    <w:rsid w:val="00F81CC5"/>
    <w:rsid w:val="00F828A5"/>
    <w:rsid w:val="00F8760D"/>
    <w:rsid w:val="00F87AAD"/>
    <w:rsid w:val="00F9174C"/>
    <w:rsid w:val="00F91D5C"/>
    <w:rsid w:val="00F92097"/>
    <w:rsid w:val="00F951DB"/>
    <w:rsid w:val="00F9574A"/>
    <w:rsid w:val="00F957AA"/>
    <w:rsid w:val="00F95D64"/>
    <w:rsid w:val="00F96731"/>
    <w:rsid w:val="00F9793B"/>
    <w:rsid w:val="00FA0EAA"/>
    <w:rsid w:val="00FA0F53"/>
    <w:rsid w:val="00FA1DA9"/>
    <w:rsid w:val="00FA3809"/>
    <w:rsid w:val="00FA3A95"/>
    <w:rsid w:val="00FA6D7E"/>
    <w:rsid w:val="00FB020D"/>
    <w:rsid w:val="00FB04D7"/>
    <w:rsid w:val="00FB3F33"/>
    <w:rsid w:val="00FB43E4"/>
    <w:rsid w:val="00FB4889"/>
    <w:rsid w:val="00FB676C"/>
    <w:rsid w:val="00FB67CC"/>
    <w:rsid w:val="00FB728E"/>
    <w:rsid w:val="00FC0ADE"/>
    <w:rsid w:val="00FC0FF1"/>
    <w:rsid w:val="00FC1FC4"/>
    <w:rsid w:val="00FC1FDF"/>
    <w:rsid w:val="00FC3360"/>
    <w:rsid w:val="00FC3E27"/>
    <w:rsid w:val="00FC493B"/>
    <w:rsid w:val="00FC4BFE"/>
    <w:rsid w:val="00FC63E5"/>
    <w:rsid w:val="00FD0E54"/>
    <w:rsid w:val="00FD2B71"/>
    <w:rsid w:val="00FD3576"/>
    <w:rsid w:val="00FD3628"/>
    <w:rsid w:val="00FD466A"/>
    <w:rsid w:val="00FD52D6"/>
    <w:rsid w:val="00FD56FC"/>
    <w:rsid w:val="00FD752B"/>
    <w:rsid w:val="00FD7BCB"/>
    <w:rsid w:val="00FD7DD7"/>
    <w:rsid w:val="00FD7EB3"/>
    <w:rsid w:val="00FE033E"/>
    <w:rsid w:val="00FE0D2F"/>
    <w:rsid w:val="00FE31C6"/>
    <w:rsid w:val="00FE4A65"/>
    <w:rsid w:val="00FE51E8"/>
    <w:rsid w:val="00FE602F"/>
    <w:rsid w:val="00FE7611"/>
    <w:rsid w:val="00FF0769"/>
    <w:rsid w:val="00FF0DB8"/>
    <w:rsid w:val="00FF1A76"/>
    <w:rsid w:val="00FF1C1D"/>
    <w:rsid w:val="00FF1E3D"/>
    <w:rsid w:val="00FF3330"/>
    <w:rsid w:val="00FF4080"/>
    <w:rsid w:val="00FF40A5"/>
    <w:rsid w:val="00FF48DA"/>
    <w:rsid w:val="00FF5E19"/>
    <w:rsid w:val="00FF61AD"/>
    <w:rsid w:val="00FF76BD"/>
    <w:rsid w:val="0A646098"/>
    <w:rsid w:val="330922F1"/>
    <w:rsid w:val="35323781"/>
    <w:rsid w:val="364C317E"/>
    <w:rsid w:val="3C164276"/>
    <w:rsid w:val="3C9A76BE"/>
    <w:rsid w:val="3EBA0DB5"/>
    <w:rsid w:val="3FBE6E9A"/>
    <w:rsid w:val="41D7285A"/>
    <w:rsid w:val="447E7DEE"/>
    <w:rsid w:val="494E0268"/>
    <w:rsid w:val="4A5B7D08"/>
    <w:rsid w:val="539A27BD"/>
    <w:rsid w:val="54580683"/>
    <w:rsid w:val="575C7E9A"/>
    <w:rsid w:val="5C0A2416"/>
    <w:rsid w:val="65373223"/>
    <w:rsid w:val="6A827A5C"/>
    <w:rsid w:val="70750BF5"/>
    <w:rsid w:val="78F21587"/>
    <w:rsid w:val="7D92514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44"/>
    <w:semiHidden/>
    <w:qFormat/>
    <w:uiPriority w:val="0"/>
    <w:rPr>
      <w:sz w:val="24"/>
    </w:rPr>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47"/>
    <w:qFormat/>
    <w:uiPriority w:val="99"/>
    <w:pPr>
      <w:tabs>
        <w:tab w:val="center" w:pos="4320"/>
        <w:tab w:val="right" w:pos="8640"/>
      </w:tabs>
    </w:pPr>
    <w:rPr>
      <w:sz w:val="24"/>
    </w:rPr>
  </w:style>
  <w:style w:type="paragraph" w:styleId="15">
    <w:name w:val="header"/>
    <w:basedOn w:val="1"/>
    <w:link w:val="48"/>
    <w:qFormat/>
    <w:uiPriority w:val="0"/>
    <w:pPr>
      <w:tabs>
        <w:tab w:val="center" w:pos="4320"/>
        <w:tab w:val="right" w:pos="8640"/>
      </w:tabs>
    </w:pPr>
    <w:rPr>
      <w:sz w:val="24"/>
    </w:r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39"/>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修订1"/>
    <w:semiHidden/>
    <w:qFormat/>
    <w:uiPriority w:val="99"/>
    <w:rPr>
      <w:rFonts w:ascii="Times New Roman" w:hAnsi="Times New Roman" w:eastAsia="宋体" w:cs="Times New Roman"/>
      <w:sz w:val="24"/>
      <w:lang w:eastAsia="en-US" w:bidi="ar-SA"/>
    </w:rPr>
  </w:style>
  <w:style w:type="paragraph" w:customStyle="1" w:styleId="27">
    <w:name w:val="修订2"/>
    <w:unhideWhenUsed/>
    <w:uiPriority w:val="99"/>
    <w:rPr>
      <w:rFonts w:ascii="Times New Roman" w:hAnsi="Times New Roman" w:eastAsia="宋体" w:cs="Times New Roman"/>
      <w:sz w:val="21"/>
      <w:lang w:eastAsia="en-US" w:bidi="ar-SA"/>
    </w:rPr>
  </w:style>
  <w:style w:type="paragraph" w:customStyle="1" w:styleId="28">
    <w:name w:val="Table text"/>
    <w:basedOn w:val="1"/>
    <w:qFormat/>
    <w:uiPriority w:val="0"/>
    <w:pPr>
      <w:adjustRightInd/>
      <w:spacing w:before="120" w:after="120"/>
      <w:jc w:val="both"/>
      <w:textAlignment w:val="auto"/>
    </w:pPr>
    <w:rPr>
      <w:lang w:val="en-US"/>
    </w:rPr>
  </w:style>
  <w:style w:type="paragraph" w:customStyle="1" w:styleId="29">
    <w:name w:val="Style"/>
    <w:basedOn w:val="1"/>
    <w:qFormat/>
    <w:uiPriority w:val="0"/>
    <w:pPr>
      <w:textAlignment w:val="auto"/>
    </w:pPr>
    <w:rPr>
      <w:rFonts w:ascii="Arial" w:hAnsi="Arial"/>
      <w:szCs w:val="24"/>
      <w:lang w:val="en-US"/>
    </w:rPr>
  </w:style>
  <w:style w:type="paragraph" w:customStyle="1" w:styleId="30">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正文1"/>
    <w:basedOn w:val="1"/>
    <w:qFormat/>
    <w:uiPriority w:val="0"/>
    <w:pPr>
      <w:textAlignment w:val="auto"/>
    </w:pPr>
    <w:rPr>
      <w:rFonts w:ascii="Arial" w:hAnsi="Arial"/>
      <w:sz w:val="20"/>
      <w:lang w:val="en-US"/>
    </w:rPr>
  </w:style>
  <w:style w:type="paragraph" w:customStyle="1" w:styleId="34">
    <w:name w:val="列表段落1"/>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5">
    <w:name w:val="Default Text"/>
    <w:basedOn w:val="1"/>
    <w:qFormat/>
    <w:uiPriority w:val="0"/>
    <w:pPr>
      <w:textAlignment w:val="auto"/>
    </w:pPr>
    <w:rPr>
      <w:rFonts w:ascii="Arial" w:hAnsi="Arial"/>
      <w:szCs w:val="24"/>
      <w:lang w:val="en-US"/>
    </w:rPr>
  </w:style>
  <w:style w:type="paragraph" w:customStyle="1" w:styleId="36">
    <w:name w:val="Text"/>
    <w:basedOn w:val="1"/>
    <w:link w:val="40"/>
    <w:qFormat/>
    <w:uiPriority w:val="0"/>
    <w:pPr>
      <w:adjustRightInd/>
      <w:spacing w:before="120"/>
      <w:jc w:val="both"/>
      <w:textAlignment w:val="auto"/>
    </w:pPr>
    <w:rPr>
      <w:sz w:val="24"/>
    </w:rPr>
  </w:style>
  <w:style w:type="paragraph" w:customStyle="1" w:styleId="37">
    <w:name w:val="_Style 30"/>
    <w:basedOn w:val="1"/>
    <w:next w:val="38"/>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8">
    <w:name w:val="List Paragraph"/>
    <w:basedOn w:val="1"/>
    <w:qFormat/>
    <w:uiPriority w:val="34"/>
    <w:pPr>
      <w:ind w:firstLine="420" w:firstLineChars="200"/>
    </w:pPr>
  </w:style>
  <w:style w:type="character" w:customStyle="1" w:styleId="39">
    <w:name w:val="标题 字符"/>
    <w:link w:val="18"/>
    <w:qFormat/>
    <w:uiPriority w:val="0"/>
    <w:rPr>
      <w:rFonts w:ascii="Calibri Light" w:hAnsi="Calibri Light" w:cs="Times New Roman"/>
      <w:b/>
      <w:bCs/>
      <w:sz w:val="32"/>
      <w:szCs w:val="32"/>
      <w:lang w:eastAsia="en-US"/>
    </w:rPr>
  </w:style>
  <w:style w:type="character" w:customStyle="1" w:styleId="40">
    <w:name w:val="Text Char"/>
    <w:link w:val="36"/>
    <w:qFormat/>
    <w:locked/>
    <w:uiPriority w:val="0"/>
    <w:rPr>
      <w:sz w:val="24"/>
      <w:lang w:eastAsia="en-US"/>
    </w:rPr>
  </w:style>
  <w:style w:type="character" w:customStyle="1" w:styleId="41">
    <w:name w:val="Footer Char"/>
    <w:semiHidden/>
    <w:qFormat/>
    <w:locked/>
    <w:uiPriority w:val="0"/>
    <w:rPr>
      <w:rFonts w:cs="Times New Roman"/>
      <w:sz w:val="18"/>
      <w:szCs w:val="18"/>
    </w:rPr>
  </w:style>
  <w:style w:type="character" w:customStyle="1" w:styleId="42">
    <w:name w:val="numbering blue Zchn"/>
    <w:link w:val="32"/>
    <w:qFormat/>
    <w:uiPriority w:val="0"/>
    <w:rPr>
      <w:rFonts w:ascii="Arial" w:hAnsi="Arial" w:eastAsia="PMingLiU"/>
      <w:color w:val="0070C0"/>
      <w:lang w:eastAsia="zh-TW"/>
    </w:rPr>
  </w:style>
  <w:style w:type="character" w:customStyle="1" w:styleId="43">
    <w:name w:val="ordinary-span-edit2"/>
    <w:qFormat/>
    <w:uiPriority w:val="0"/>
  </w:style>
  <w:style w:type="character" w:customStyle="1" w:styleId="44">
    <w:name w:val="批注文字 字符"/>
    <w:link w:val="7"/>
    <w:semiHidden/>
    <w:qFormat/>
    <w:uiPriority w:val="0"/>
    <w:rPr>
      <w:sz w:val="24"/>
      <w:lang w:eastAsia="en-US"/>
    </w:rPr>
  </w:style>
  <w:style w:type="character" w:customStyle="1" w:styleId="45">
    <w:name w:val="instruction standard blue"/>
    <w:qFormat/>
    <w:uiPriority w:val="1"/>
    <w:rPr>
      <w:rFonts w:cs="Arial"/>
      <w:i/>
      <w:color w:val="0070C0"/>
    </w:rPr>
  </w:style>
  <w:style w:type="character" w:customStyle="1" w:styleId="46">
    <w:name w:val="apple-converted-space"/>
    <w:basedOn w:val="19"/>
    <w:qFormat/>
    <w:uiPriority w:val="0"/>
    <w:rPr/>
  </w:style>
  <w:style w:type="character" w:customStyle="1" w:styleId="47">
    <w:name w:val="页脚 字符"/>
    <w:link w:val="14"/>
    <w:qFormat/>
    <w:uiPriority w:val="99"/>
    <w:rPr>
      <w:sz w:val="24"/>
      <w:lang w:eastAsia="en-US"/>
    </w:rPr>
  </w:style>
  <w:style w:type="character" w:customStyle="1" w:styleId="48">
    <w:name w:val="页眉 字符"/>
    <w:link w:val="15"/>
    <w:qFormat/>
    <w:uiPriority w:val="0"/>
    <w:rPr>
      <w:rFonts w:eastAsia="宋体"/>
      <w:sz w:val="24"/>
      <w:lang w:eastAsia="en-US" w:bidi="ar-SA"/>
    </w:rPr>
  </w:style>
  <w:style w:type="character" w:customStyle="1" w:styleId="49">
    <w:name w:val="keyword"/>
    <w:basedOn w:val="19"/>
    <w:qFormat/>
    <w:uiPriority w:val="0"/>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HaoXiTong.Com</Company>
  <Pages>13</Pages>
  <Words>832</Words>
  <Characters>4744</Characters>
  <Lines>39</Lines>
  <Paragraphs>11</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2021-06-16T01:46:00Z</dcterms:created>
  <dc:creator>Lilly</dc:creator>
  <cp:lastModifiedBy>汪洋</cp:lastModifiedBy>
  <cp:lastPrinted>2017-06-22T01:53:00Z</cp:lastPrinted>
  <dcterms:modified xsi:type="dcterms:W3CDTF">2021-07-26T01:22:59Z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