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2717189"/>
      <w:bookmarkStart w:id="2" w:name="_Toc484532399"/>
      <w:bookmarkStart w:id="3" w:name="_Toc483400307"/>
      <w:bookmarkStart w:id="4" w:name="_Toc483666358"/>
    </w:p>
    <w:p>
      <w:pPr>
        <w:spacing w:after="158" w:afterLines="50"/>
        <w:jc w:val="center"/>
        <w:rPr>
          <w:b/>
          <w:szCs w:val="21"/>
          <w:lang w:eastAsia="zh-CN"/>
        </w:rPr>
      </w:pPr>
      <w:permStart w:id="0" w:edGrp="everyone"/>
      <w:r>
        <w:rPr>
          <w:b/>
          <w:sz w:val="28"/>
          <w:szCs w:val="28"/>
          <w:lang w:eastAsia="zh-CN"/>
        </w:rPr>
        <w:t>武汉生物制品研究所有限责任公司金港园区产业化项目</w:t>
      </w:r>
      <w:r>
        <w:rPr>
          <w:rFonts w:hint="eastAsia"/>
          <w:b/>
          <w:sz w:val="28"/>
          <w:szCs w:val="28"/>
          <w:lang w:val="en-US" w:eastAsia="zh-CN"/>
        </w:rPr>
        <w:t>不锈钢</w:t>
      </w:r>
      <w:r>
        <w:rPr>
          <w:rFonts w:hint="eastAsia"/>
          <w:b/>
          <w:sz w:val="28"/>
          <w:szCs w:val="28"/>
          <w:lang w:eastAsia="zh-CN"/>
        </w:rPr>
        <w:t>非标</w:t>
      </w:r>
      <w:r>
        <w:rPr>
          <w:rFonts w:hint="eastAsia"/>
          <w:b/>
          <w:sz w:val="28"/>
          <w:szCs w:val="28"/>
          <w:lang w:val="en-US" w:eastAsia="zh-CN"/>
        </w:rPr>
        <w:t>用具</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"_Toc3540083" </w:instrText>
      </w:r>
      <w:r>
        <w:fldChar w:fldCharType="separate"/>
      </w:r>
      <w:r>
        <w:rPr>
          <w:rStyle w:val="21"/>
          <w:rFonts w:hint="eastAsia"/>
        </w:rPr>
        <w:t>修订历史</w:t>
      </w:r>
      <w:r>
        <w:tab/>
      </w:r>
      <w:r>
        <w:fldChar w:fldCharType="begin"/>
      </w:r>
      <w:r>
        <w:instrText xml:space="preserve"> PAGEREF _Toc3540083 \h </w:instrText>
      </w:r>
      <w:r>
        <w:fldChar w:fldCharType="separate"/>
      </w:r>
      <w:r>
        <w:t>3</w:t>
      </w:r>
      <w:r>
        <w:fldChar w:fldCharType="end"/>
      </w:r>
      <w:r>
        <w:fldChar w:fldCharType="end"/>
      </w:r>
    </w:p>
    <w:p>
      <w:pPr>
        <w:pStyle w:val="16"/>
        <w:rPr>
          <w:rFonts w:ascii="Calibri" w:hAnsi="Calibri"/>
          <w:b w:val="0"/>
          <w:bCs w:val="0"/>
          <w:caps w:val="0"/>
          <w:szCs w:val="22"/>
        </w:rPr>
      </w:pPr>
      <w:r>
        <w:fldChar w:fldCharType="begin"/>
      </w:r>
      <w:r>
        <w:instrText xml:space="preserve"> HYPERLINK \l "_Toc3540084" </w:instrText>
      </w:r>
      <w:r>
        <w:fldChar w:fldCharType="separate"/>
      </w:r>
      <w:r>
        <w:rPr>
          <w:rStyle w:val="21"/>
        </w:rPr>
        <w:t>1</w:t>
      </w:r>
      <w:r>
        <w:rPr>
          <w:rFonts w:ascii="Calibri" w:hAnsi="Calibri"/>
          <w:b w:val="0"/>
          <w:bCs w:val="0"/>
          <w:caps w:val="0"/>
          <w:szCs w:val="22"/>
        </w:rPr>
        <w:tab/>
      </w:r>
      <w:r>
        <w:rPr>
          <w:rStyle w:val="21"/>
          <w:rFonts w:hint="eastAsia"/>
        </w:rPr>
        <w:t>目的</w:t>
      </w:r>
      <w:r>
        <w:tab/>
      </w:r>
      <w:r>
        <w:fldChar w:fldCharType="begin"/>
      </w:r>
      <w:r>
        <w:instrText xml:space="preserve"> PAGEREF _Toc3540084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 HYPERLINK \l "_Toc3540085" </w:instrText>
      </w:r>
      <w:r>
        <w:fldChar w:fldCharType="separate"/>
      </w:r>
      <w:r>
        <w:rPr>
          <w:rStyle w:val="21"/>
        </w:rPr>
        <w:t>2</w:t>
      </w:r>
      <w:r>
        <w:rPr>
          <w:rFonts w:ascii="Calibri" w:hAnsi="Calibri"/>
          <w:b w:val="0"/>
          <w:bCs w:val="0"/>
          <w:caps w:val="0"/>
          <w:szCs w:val="22"/>
        </w:rPr>
        <w:tab/>
      </w:r>
      <w:r>
        <w:rPr>
          <w:rStyle w:val="21"/>
          <w:rFonts w:hint="eastAsia"/>
        </w:rPr>
        <w:t>范围</w:t>
      </w:r>
      <w:r>
        <w:tab/>
      </w:r>
      <w:r>
        <w:fldChar w:fldCharType="begin"/>
      </w:r>
      <w:r>
        <w:instrText xml:space="preserve"> PAGEREF _Toc3540085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 HYPERLINK \l "_Toc3540086" </w:instrText>
      </w:r>
      <w:r>
        <w:fldChar w:fldCharType="separate"/>
      </w:r>
      <w:r>
        <w:rPr>
          <w:rStyle w:val="21"/>
        </w:rPr>
        <w:t>3</w:t>
      </w:r>
      <w:r>
        <w:rPr>
          <w:rFonts w:ascii="Calibri" w:hAnsi="Calibri"/>
          <w:b w:val="0"/>
          <w:bCs w:val="0"/>
          <w:caps w:val="0"/>
          <w:szCs w:val="22"/>
        </w:rPr>
        <w:tab/>
      </w:r>
      <w:r>
        <w:rPr>
          <w:rStyle w:val="21"/>
          <w:rFonts w:hint="eastAsia"/>
        </w:rPr>
        <w:t>参考文件</w:t>
      </w:r>
      <w:r>
        <w:tab/>
      </w:r>
      <w:r>
        <w:fldChar w:fldCharType="begin"/>
      </w:r>
      <w:r>
        <w:instrText xml:space="preserve"> PAGEREF _Toc3540086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 HYPERLINK \l "_Toc3540087" </w:instrText>
      </w:r>
      <w:r>
        <w:fldChar w:fldCharType="separate"/>
      </w:r>
      <w:r>
        <w:rPr>
          <w:rStyle w:val="21"/>
        </w:rPr>
        <w:t>4</w:t>
      </w:r>
      <w:r>
        <w:rPr>
          <w:rFonts w:ascii="Calibri" w:hAnsi="Calibri"/>
          <w:b w:val="0"/>
          <w:bCs w:val="0"/>
          <w:caps w:val="0"/>
          <w:szCs w:val="22"/>
        </w:rPr>
        <w:tab/>
      </w:r>
      <w:r>
        <w:rPr>
          <w:rStyle w:val="21"/>
          <w:rFonts w:hint="eastAsia"/>
        </w:rPr>
        <w:t>职责</w:t>
      </w:r>
      <w:r>
        <w:tab/>
      </w:r>
      <w:r>
        <w:fldChar w:fldCharType="begin"/>
      </w:r>
      <w:r>
        <w:instrText xml:space="preserve"> PAGEREF _Toc3540087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 HYPERLINK \l "_Toc3540088" </w:instrText>
      </w:r>
      <w:r>
        <w:fldChar w:fldCharType="separate"/>
      </w:r>
      <w:r>
        <w:rPr>
          <w:rStyle w:val="21"/>
        </w:rPr>
        <w:t>5</w:t>
      </w:r>
      <w:r>
        <w:rPr>
          <w:rFonts w:ascii="Calibri" w:hAnsi="Calibri"/>
          <w:b w:val="0"/>
          <w:bCs w:val="0"/>
          <w:caps w:val="0"/>
          <w:szCs w:val="22"/>
        </w:rPr>
        <w:tab/>
      </w:r>
      <w:r>
        <w:rPr>
          <w:rStyle w:val="21"/>
          <w:rFonts w:hint="eastAsia"/>
        </w:rPr>
        <w:t>系统描述</w:t>
      </w:r>
      <w:r>
        <w:tab/>
      </w:r>
      <w:r>
        <w:fldChar w:fldCharType="begin"/>
      </w:r>
      <w:r>
        <w:instrText xml:space="preserve"> PAGEREF _Toc3540088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 HYPERLINK \l "_Toc3540089" </w:instrText>
      </w:r>
      <w:r>
        <w:fldChar w:fldCharType="separate"/>
      </w:r>
      <w:r>
        <w:rPr>
          <w:rStyle w:val="21"/>
        </w:rPr>
        <w:t>6</w:t>
      </w:r>
      <w:r>
        <w:rPr>
          <w:rFonts w:ascii="Calibri" w:hAnsi="Calibri"/>
          <w:b w:val="0"/>
          <w:bCs w:val="0"/>
          <w:caps w:val="0"/>
          <w:szCs w:val="22"/>
        </w:rPr>
        <w:tab/>
      </w:r>
      <w:r>
        <w:rPr>
          <w:rStyle w:val="21"/>
          <w:rFonts w:hint="eastAsia"/>
        </w:rPr>
        <w:t>安装要求</w:t>
      </w:r>
      <w:r>
        <w:tab/>
      </w:r>
      <w:r>
        <w:fldChar w:fldCharType="begin"/>
      </w:r>
      <w:r>
        <w:instrText xml:space="preserve"> PAGEREF _Toc3540089 \h </w:instrText>
      </w:r>
      <w:r>
        <w:fldChar w:fldCharType="separate"/>
      </w:r>
      <w:r>
        <w:t>5</w:t>
      </w:r>
      <w:r>
        <w:fldChar w:fldCharType="end"/>
      </w:r>
      <w:r>
        <w:fldChar w:fldCharType="end"/>
      </w:r>
    </w:p>
    <w:p>
      <w:pPr>
        <w:pStyle w:val="16"/>
        <w:rPr>
          <w:rFonts w:ascii="Calibri" w:hAnsi="Calibri"/>
          <w:b w:val="0"/>
          <w:bCs w:val="0"/>
          <w:caps w:val="0"/>
          <w:szCs w:val="22"/>
        </w:rPr>
      </w:pPr>
      <w:r>
        <w:fldChar w:fldCharType="begin"/>
      </w:r>
      <w:r>
        <w:instrText xml:space="preserve"> HYPERLINK \l "_Toc3540090" </w:instrText>
      </w:r>
      <w:r>
        <w:fldChar w:fldCharType="separate"/>
      </w:r>
      <w:r>
        <w:rPr>
          <w:rStyle w:val="21"/>
        </w:rPr>
        <w:t>7</w:t>
      </w:r>
      <w:r>
        <w:rPr>
          <w:rFonts w:ascii="Calibri" w:hAnsi="Calibri"/>
          <w:b w:val="0"/>
          <w:bCs w:val="0"/>
          <w:caps w:val="0"/>
          <w:szCs w:val="22"/>
        </w:rPr>
        <w:tab/>
      </w:r>
      <w:r>
        <w:rPr>
          <w:rStyle w:val="21"/>
          <w:rFonts w:hint="eastAsia"/>
        </w:rPr>
        <w:t>运行要求</w:t>
      </w:r>
      <w:r>
        <w:tab/>
      </w:r>
      <w:r>
        <w:fldChar w:fldCharType="begin"/>
      </w:r>
      <w:r>
        <w:instrText xml:space="preserve"> PAGEREF _Toc3540090 \h </w:instrText>
      </w:r>
      <w:r>
        <w:fldChar w:fldCharType="separate"/>
      </w:r>
      <w:r>
        <w:t>6</w:t>
      </w:r>
      <w:r>
        <w:fldChar w:fldCharType="end"/>
      </w:r>
      <w:r>
        <w:fldChar w:fldCharType="end"/>
      </w:r>
    </w:p>
    <w:p>
      <w:pPr>
        <w:pStyle w:val="16"/>
        <w:rPr>
          <w:rFonts w:ascii="Calibri" w:hAnsi="Calibri"/>
          <w:b w:val="0"/>
          <w:bCs w:val="0"/>
          <w:caps w:val="0"/>
          <w:szCs w:val="22"/>
        </w:rPr>
      </w:pPr>
      <w:r>
        <w:fldChar w:fldCharType="begin"/>
      </w:r>
      <w:r>
        <w:instrText xml:space="preserve"> HYPERLINK \l "_Toc3540091" </w:instrText>
      </w:r>
      <w:r>
        <w:fldChar w:fldCharType="separate"/>
      </w:r>
      <w:r>
        <w:rPr>
          <w:rStyle w:val="21"/>
        </w:rPr>
        <w:t>8</w:t>
      </w:r>
      <w:r>
        <w:rPr>
          <w:rFonts w:ascii="Calibri" w:hAnsi="Calibri"/>
          <w:b w:val="0"/>
          <w:bCs w:val="0"/>
          <w:caps w:val="0"/>
          <w:szCs w:val="22"/>
        </w:rPr>
        <w:tab/>
      </w:r>
      <w:r>
        <w:rPr>
          <w:rStyle w:val="21"/>
          <w:rFonts w:hint="eastAsia"/>
        </w:rPr>
        <w:t>电气、自动控制要求</w:t>
      </w:r>
      <w:r>
        <w:tab/>
      </w:r>
      <w:r>
        <w:fldChar w:fldCharType="begin"/>
      </w:r>
      <w:r>
        <w:instrText xml:space="preserve"> PAGEREF _Toc3540091 \h </w:instrText>
      </w:r>
      <w:r>
        <w:fldChar w:fldCharType="separate"/>
      </w:r>
      <w:r>
        <w:t>6</w:t>
      </w:r>
      <w:r>
        <w:fldChar w:fldCharType="end"/>
      </w:r>
      <w:r>
        <w:fldChar w:fldCharType="end"/>
      </w:r>
    </w:p>
    <w:p>
      <w:pPr>
        <w:pStyle w:val="16"/>
        <w:rPr>
          <w:rFonts w:ascii="Calibri" w:hAnsi="Calibri"/>
          <w:b w:val="0"/>
          <w:bCs w:val="0"/>
          <w:caps w:val="0"/>
          <w:szCs w:val="22"/>
        </w:rPr>
      </w:pPr>
      <w:r>
        <w:fldChar w:fldCharType="begin"/>
      </w:r>
      <w:r>
        <w:instrText xml:space="preserve"> HYPERLINK \l "_Toc3540092" </w:instrText>
      </w:r>
      <w:r>
        <w:fldChar w:fldCharType="separate"/>
      </w:r>
      <w:r>
        <w:rPr>
          <w:rStyle w:val="21"/>
        </w:rPr>
        <w:t>9</w:t>
      </w:r>
      <w:r>
        <w:rPr>
          <w:rFonts w:ascii="Calibri" w:hAnsi="Calibri"/>
          <w:b w:val="0"/>
          <w:bCs w:val="0"/>
          <w:caps w:val="0"/>
          <w:szCs w:val="22"/>
        </w:rPr>
        <w:tab/>
      </w:r>
      <w:r>
        <w:rPr>
          <w:rStyle w:val="21"/>
          <w:rFonts w:hint="eastAsia"/>
        </w:rPr>
        <w:t>安全要求</w:t>
      </w:r>
      <w:r>
        <w:tab/>
      </w:r>
      <w:r>
        <w:fldChar w:fldCharType="begin"/>
      </w:r>
      <w:r>
        <w:instrText xml:space="preserve"> PAGEREF _Toc3540092 \h </w:instrText>
      </w:r>
      <w:r>
        <w:fldChar w:fldCharType="separate"/>
      </w:r>
      <w:r>
        <w:t>7</w:t>
      </w:r>
      <w:r>
        <w:fldChar w:fldCharType="end"/>
      </w:r>
      <w:r>
        <w:fldChar w:fldCharType="end"/>
      </w:r>
    </w:p>
    <w:p>
      <w:pPr>
        <w:pStyle w:val="16"/>
        <w:rPr>
          <w:rFonts w:ascii="Calibri" w:hAnsi="Calibri"/>
          <w:b w:val="0"/>
          <w:bCs w:val="0"/>
          <w:caps w:val="0"/>
          <w:szCs w:val="22"/>
        </w:rPr>
      </w:pPr>
      <w:r>
        <w:fldChar w:fldCharType="begin"/>
      </w:r>
      <w:r>
        <w:instrText xml:space="preserve"> HYPERLINK \l "_Toc3540093" </w:instrText>
      </w:r>
      <w:r>
        <w:fldChar w:fldCharType="separate"/>
      </w:r>
      <w:r>
        <w:rPr>
          <w:rStyle w:val="21"/>
        </w:rPr>
        <w:t>10</w:t>
      </w:r>
      <w:r>
        <w:rPr>
          <w:rFonts w:ascii="Calibri" w:hAnsi="Calibri"/>
          <w:b w:val="0"/>
          <w:bCs w:val="0"/>
          <w:caps w:val="0"/>
          <w:szCs w:val="22"/>
        </w:rPr>
        <w:tab/>
      </w:r>
      <w:r>
        <w:rPr>
          <w:rStyle w:val="21"/>
          <w:rFonts w:hint="eastAsia"/>
        </w:rPr>
        <w:t>文件要求</w:t>
      </w:r>
      <w:r>
        <w:tab/>
      </w:r>
      <w:r>
        <w:fldChar w:fldCharType="begin"/>
      </w:r>
      <w:r>
        <w:instrText xml:space="preserve"> PAGEREF _Toc3540093 \h </w:instrText>
      </w:r>
      <w:r>
        <w:fldChar w:fldCharType="separate"/>
      </w:r>
      <w:r>
        <w:t>7</w:t>
      </w:r>
      <w:r>
        <w:fldChar w:fldCharType="end"/>
      </w:r>
      <w:r>
        <w:fldChar w:fldCharType="end"/>
      </w:r>
    </w:p>
    <w:p>
      <w:pPr>
        <w:pStyle w:val="16"/>
        <w:rPr>
          <w:rFonts w:ascii="Calibri" w:hAnsi="Calibri"/>
          <w:b w:val="0"/>
          <w:bCs w:val="0"/>
          <w:caps w:val="0"/>
          <w:szCs w:val="22"/>
        </w:rPr>
      </w:pPr>
      <w:r>
        <w:fldChar w:fldCharType="begin"/>
      </w:r>
      <w:r>
        <w:instrText xml:space="preserve"> HYPERLINK \l "_Toc3540094" </w:instrText>
      </w:r>
      <w:r>
        <w:fldChar w:fldCharType="separate"/>
      </w:r>
      <w:r>
        <w:rPr>
          <w:rStyle w:val="21"/>
        </w:rPr>
        <w:t>11</w:t>
      </w:r>
      <w:r>
        <w:rPr>
          <w:rFonts w:ascii="Calibri" w:hAnsi="Calibri"/>
          <w:b w:val="0"/>
          <w:bCs w:val="0"/>
          <w:caps w:val="0"/>
          <w:szCs w:val="22"/>
        </w:rPr>
        <w:tab/>
      </w:r>
      <w:r>
        <w:rPr>
          <w:rStyle w:val="21"/>
          <w:rFonts w:hint="eastAsia"/>
        </w:rPr>
        <w:t>服务要求</w:t>
      </w:r>
      <w:r>
        <w:tab/>
      </w:r>
      <w:r>
        <w:fldChar w:fldCharType="begin"/>
      </w:r>
      <w:r>
        <w:instrText xml:space="preserve"> PAGEREF _Toc3540094 \h </w:instrText>
      </w:r>
      <w:r>
        <w:fldChar w:fldCharType="separate"/>
      </w:r>
      <w:r>
        <w:t>8</w:t>
      </w:r>
      <w:r>
        <w:fldChar w:fldCharType="end"/>
      </w:r>
      <w:r>
        <w:fldChar w:fldCharType="end"/>
      </w:r>
    </w:p>
    <w:p>
      <w:pPr>
        <w:pStyle w:val="16"/>
        <w:rPr>
          <w:rFonts w:ascii="Calibri" w:hAnsi="Calibri"/>
          <w:b w:val="0"/>
          <w:bCs w:val="0"/>
          <w:caps w:val="0"/>
          <w:szCs w:val="22"/>
        </w:rPr>
      </w:pPr>
      <w:r>
        <w:fldChar w:fldCharType="begin"/>
      </w:r>
      <w:r>
        <w:instrText xml:space="preserve"> HYPERLINK \l "_Toc3540095" </w:instrText>
      </w:r>
      <w:r>
        <w:fldChar w:fldCharType="separate"/>
      </w:r>
      <w:r>
        <w:rPr>
          <w:rStyle w:val="21"/>
        </w:rPr>
        <w:t>12</w:t>
      </w:r>
      <w:r>
        <w:rPr>
          <w:rFonts w:ascii="Calibri" w:hAnsi="Calibri"/>
          <w:b w:val="0"/>
          <w:bCs w:val="0"/>
          <w:caps w:val="0"/>
          <w:szCs w:val="22"/>
        </w:rPr>
        <w:tab/>
      </w:r>
      <w:r>
        <w:rPr>
          <w:rStyle w:val="21"/>
          <w:rFonts w:hint="eastAsia"/>
        </w:rPr>
        <w:t>附件</w:t>
      </w:r>
      <w:r>
        <w:tab/>
      </w:r>
      <w:r>
        <w:fldChar w:fldCharType="begin"/>
      </w:r>
      <w:r>
        <w:instrText xml:space="preserve"> PAGEREF _Toc3540095 \h </w:instrText>
      </w:r>
      <w:r>
        <w:fldChar w:fldCharType="separate"/>
      </w:r>
      <w:r>
        <w:t>8</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1"/>
        <w:numPr>
          <w:ilvl w:val="0"/>
          <w:numId w:val="3"/>
        </w:numPr>
        <w:spacing w:after="158" w:afterLines="50"/>
        <w:ind w:left="426" w:hanging="424" w:hangingChars="202"/>
        <w:outlineLvl w:val="0"/>
        <w:rPr>
          <w:rFonts w:ascii="Times New Roman" w:hAnsi="Times New Roman"/>
          <w:b/>
        </w:rPr>
      </w:pPr>
      <w:bookmarkStart w:id="6" w:name="_Toc3540084"/>
      <w:bookmarkStart w:id="7" w:name="_Toc522107735"/>
      <w:r>
        <w:rPr>
          <w:rFonts w:ascii="Times New Roman" w:hAnsi="Times New Roman"/>
          <w:b/>
        </w:rPr>
        <w:t>目的</w:t>
      </w:r>
      <w:bookmarkEnd w:id="6"/>
      <w:bookmarkEnd w:id="7"/>
    </w:p>
    <w:p>
      <w:pPr>
        <w:pStyle w:val="25"/>
        <w:spacing w:before="0" w:line="360" w:lineRule="auto"/>
        <w:ind w:left="357"/>
        <w:jc w:val="left"/>
        <w:rPr>
          <w:szCs w:val="21"/>
          <w:lang w:eastAsia="zh-CN"/>
        </w:rPr>
      </w:pPr>
      <w:bookmarkStart w:id="8" w:name="_Toc482370349"/>
      <w:bookmarkStart w:id="9" w:name="_Toc482625279"/>
      <w:bookmarkStart w:id="10" w:name="_Toc482370757"/>
      <w:bookmarkStart w:id="11" w:name="_Toc481702475"/>
      <w:bookmarkStart w:id="12" w:name="_Toc482370141"/>
      <w:bookmarkStart w:id="13" w:name="_Toc482359936"/>
      <w:bookmarkStart w:id="14" w:name="_Toc482369805"/>
      <w:bookmarkStart w:id="15" w:name="_Toc482360281"/>
      <w:bookmarkStart w:id="16" w:name="_Toc482370061"/>
      <w:r>
        <w:rPr>
          <w:szCs w:val="21"/>
          <w:lang w:eastAsia="zh-CN"/>
        </w:rPr>
        <w:t>本文件的目的是描述武汉生物制品研究所有限责任公司</w:t>
      </w:r>
      <w:permStart w:id="3" w:edGrp="everyone"/>
      <w:r>
        <w:rPr>
          <w:rFonts w:hint="eastAsia"/>
          <w:szCs w:val="21"/>
          <w:lang w:val="en-US" w:eastAsia="zh-CN"/>
        </w:rPr>
        <w:t>金港园区产业化项目疫苗原液车间不锈钢</w:t>
      </w:r>
      <w:r>
        <w:rPr>
          <w:rFonts w:hint="eastAsia"/>
          <w:szCs w:val="21"/>
          <w:lang w:eastAsia="zh-CN"/>
        </w:rPr>
        <w:t>非标用具（</w:t>
      </w:r>
      <w:r>
        <w:rPr>
          <w:rFonts w:hint="eastAsia"/>
          <w:szCs w:val="21"/>
          <w:lang w:val="en-US" w:eastAsia="zh-CN"/>
        </w:rPr>
        <w:t>第三批）</w:t>
      </w:r>
      <w:permEnd w:id="3"/>
      <w:r>
        <w:rPr>
          <w:szCs w:val="21"/>
          <w:lang w:eastAsia="zh-CN"/>
        </w:rPr>
        <w:t>的用户需求说明（URS），以确保最终用户的需求在项目设计阶段得以实现，并作为后续验证工作的基础。</w:t>
      </w:r>
    </w:p>
    <w:p>
      <w:pPr>
        <w:pStyle w:val="25"/>
        <w:spacing w:before="0"/>
        <w:ind w:left="360"/>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7" w:name="_Toc522107736"/>
      <w:bookmarkStart w:id="18" w:name="_Toc3540085"/>
      <w:r>
        <w:rPr>
          <w:rFonts w:ascii="Times New Roman" w:hAnsi="Times New Roman"/>
          <w:b/>
        </w:rPr>
        <w:t>范围</w:t>
      </w:r>
      <w:bookmarkEnd w:id="17"/>
      <w:bookmarkEnd w:id="18"/>
    </w:p>
    <w:p>
      <w:pPr>
        <w:pStyle w:val="2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val="en-US" w:eastAsia="zh-CN"/>
        </w:rPr>
        <w:t>金港园区产业化项目疫苗原液车间不锈钢</w:t>
      </w:r>
      <w:r>
        <w:rPr>
          <w:rFonts w:hint="eastAsia"/>
          <w:szCs w:val="21"/>
          <w:lang w:eastAsia="zh-CN"/>
        </w:rPr>
        <w:t>非标用具（</w:t>
      </w:r>
      <w:r>
        <w:rPr>
          <w:rFonts w:hint="eastAsia"/>
          <w:szCs w:val="21"/>
          <w:lang w:val="en-US" w:eastAsia="zh-CN"/>
        </w:rPr>
        <w:t>第三批）</w:t>
      </w:r>
      <w:r>
        <w:rPr>
          <w:rFonts w:hint="eastAsia"/>
          <w:szCs w:val="21"/>
          <w:lang w:eastAsia="zh-CN"/>
        </w:rPr>
        <w:t>，详见附件1</w:t>
      </w:r>
      <w:permEnd w:id="4"/>
      <w:r>
        <w:rPr>
          <w:szCs w:val="21"/>
          <w:lang w:eastAsia="zh-CN"/>
        </w:rPr>
        <w:t>。</w:t>
      </w:r>
      <w:bookmarkEnd w:id="8"/>
      <w:bookmarkEnd w:id="9"/>
      <w:bookmarkEnd w:id="10"/>
      <w:bookmarkEnd w:id="11"/>
      <w:bookmarkEnd w:id="12"/>
      <w:bookmarkEnd w:id="13"/>
      <w:bookmarkEnd w:id="14"/>
      <w:bookmarkEnd w:id="15"/>
      <w:bookmarkEnd w:id="16"/>
    </w:p>
    <w:p>
      <w:pPr>
        <w:pStyle w:val="25"/>
        <w:spacing w:before="0" w:line="360" w:lineRule="auto"/>
        <w:ind w:left="357"/>
        <w:jc w:val="left"/>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9" w:name="_Toc3540086"/>
      <w:bookmarkStart w:id="20" w:name="_Toc522107737"/>
      <w:r>
        <w:rPr>
          <w:rFonts w:ascii="Times New Roman" w:hAnsi="Times New Roman"/>
          <w:b/>
        </w:rPr>
        <w:t>参考文件</w:t>
      </w:r>
      <w:bookmarkEnd w:id="19"/>
      <w:bookmarkEnd w:id="20"/>
    </w:p>
    <w:p>
      <w:pPr>
        <w:pStyle w:val="25"/>
        <w:numPr>
          <w:ilvl w:val="0"/>
          <w:numId w:val="4"/>
        </w:numPr>
        <w:spacing w:before="0" w:line="360" w:lineRule="auto"/>
        <w:jc w:val="left"/>
        <w:rPr>
          <w:color w:val="000000"/>
          <w:szCs w:val="21"/>
          <w:lang w:eastAsia="zh-CN"/>
        </w:rPr>
      </w:pPr>
      <w:r>
        <w:rPr>
          <w:color w:val="000000"/>
          <w:szCs w:val="21"/>
          <w:lang w:eastAsia="zh-CN"/>
        </w:rPr>
        <w:t>GMP法规指南和SOP</w:t>
      </w:r>
    </w:p>
    <w:p>
      <w:pPr>
        <w:pStyle w:val="2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25"/>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w:t>
      </w:r>
      <w:r>
        <w:rPr>
          <w:color w:val="000000"/>
          <w:szCs w:val="21"/>
          <w:lang w:eastAsia="zh-CN"/>
        </w:rPr>
        <w:t xml:space="preserve">中国药典 </w:t>
      </w:r>
      <w:r>
        <w:rPr>
          <w:rFonts w:hint="eastAsia"/>
          <w:color w:val="000000"/>
          <w:szCs w:val="21"/>
          <w:lang w:eastAsia="zh-CN"/>
        </w:rPr>
        <w:t>》</w:t>
      </w:r>
      <w:r>
        <w:rPr>
          <w:color w:val="000000"/>
          <w:szCs w:val="21"/>
          <w:lang w:eastAsia="zh-CN"/>
        </w:rPr>
        <w:t>20</w:t>
      </w:r>
      <w:r>
        <w:rPr>
          <w:rFonts w:hint="eastAsia"/>
          <w:color w:val="000000"/>
          <w:szCs w:val="21"/>
          <w:lang w:val="en-US" w:eastAsia="zh-CN"/>
        </w:rPr>
        <w:t>20</w:t>
      </w:r>
      <w:r>
        <w:rPr>
          <w:color w:val="000000"/>
          <w:szCs w:val="21"/>
          <w:lang w:eastAsia="zh-CN"/>
        </w:rPr>
        <w:t>年版</w:t>
      </w:r>
    </w:p>
    <w:p>
      <w:pPr>
        <w:pStyle w:val="25"/>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《药品生产质量管理规范》2010年修订版</w:t>
      </w:r>
    </w:p>
    <w:p>
      <w:pPr>
        <w:pStyle w:val="25"/>
        <w:numPr>
          <w:ilvl w:val="0"/>
          <w:numId w:val="5"/>
        </w:numPr>
        <w:spacing w:before="0" w:line="360" w:lineRule="auto"/>
        <w:ind w:left="777"/>
        <w:jc w:val="left"/>
        <w:rPr>
          <w:color w:val="000000"/>
          <w:szCs w:val="21"/>
          <w:lang w:eastAsia="zh-CN"/>
        </w:rPr>
      </w:pPr>
      <w:r>
        <w:rPr>
          <w:color w:val="000000"/>
          <w:szCs w:val="21"/>
          <w:lang w:eastAsia="zh-CN"/>
        </w:rPr>
        <w:t>WHO Technical Report Series No 986, 2014 Annex 2 WHO good manufacturing practices for pharmaceutical products: main principles</w:t>
      </w:r>
    </w:p>
    <w:permEnd w:id="5"/>
    <w:p>
      <w:pPr>
        <w:pStyle w:val="2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25"/>
        <w:spacing w:before="0" w:line="360" w:lineRule="auto"/>
        <w:ind w:left="357"/>
        <w:jc w:val="left"/>
        <w:rPr>
          <w:i/>
          <w:szCs w:val="21"/>
          <w:lang w:eastAsia="zh-CN"/>
        </w:rPr>
      </w:pPr>
      <w:permStart w:id="6" w:edGrp="everyone"/>
      <w:permEnd w:id="6"/>
    </w:p>
    <w:p>
      <w:pPr>
        <w:pStyle w:val="31"/>
        <w:numPr>
          <w:ilvl w:val="0"/>
          <w:numId w:val="3"/>
        </w:numPr>
        <w:spacing w:after="158" w:afterLines="50"/>
        <w:ind w:left="426" w:hanging="424" w:hangingChars="202"/>
        <w:outlineLvl w:val="0"/>
        <w:rPr>
          <w:rFonts w:ascii="Times New Roman" w:hAnsi="Times New Roman"/>
          <w:b/>
        </w:rPr>
      </w:pPr>
      <w:bookmarkStart w:id="21" w:name="_Toc3540088"/>
      <w:bookmarkStart w:id="22" w:name="_Toc522107739"/>
      <w:bookmarkStart w:id="50" w:name="_GoBack"/>
      <w:bookmarkEnd w:id="50"/>
      <w:r>
        <w:rPr>
          <w:rFonts w:ascii="Times New Roman" w:hAnsi="Times New Roman"/>
          <w:b/>
        </w:rPr>
        <w:t>系统描述</w:t>
      </w:r>
      <w:bookmarkEnd w:id="21"/>
      <w:bookmarkEnd w:id="22"/>
    </w:p>
    <w:p>
      <w:pPr>
        <w:pStyle w:val="25"/>
        <w:spacing w:before="0" w:line="360" w:lineRule="auto"/>
        <w:ind w:left="357"/>
        <w:jc w:val="left"/>
        <w:rPr>
          <w:i/>
          <w:color w:val="4472C4"/>
          <w:szCs w:val="21"/>
          <w:lang w:eastAsia="zh-CN"/>
        </w:rPr>
      </w:pPr>
      <w:bookmarkStart w:id="23" w:name="OLE_LINK3"/>
      <w:bookmarkStart w:id="24" w:name="OLE_LINK4"/>
      <w:permStart w:id="7" w:edGrp="everyone"/>
      <w:r>
        <w:rPr>
          <w:rFonts w:hint="eastAsia"/>
          <w:szCs w:val="21"/>
          <w:lang w:val="en-US" w:eastAsia="zh-CN"/>
        </w:rPr>
        <w:t>金港园区产业化项目疫苗原液车间不锈钢</w:t>
      </w:r>
      <w:r>
        <w:rPr>
          <w:rFonts w:hint="eastAsia" w:ascii="宋体" w:hAnsi="宋体"/>
          <w:color w:val="000000"/>
          <w:szCs w:val="21"/>
          <w:lang w:eastAsia="zh-CN"/>
        </w:rPr>
        <w:t>非标</w:t>
      </w:r>
      <w:bookmarkEnd w:id="23"/>
      <w:bookmarkEnd w:id="24"/>
      <w:r>
        <w:rPr>
          <w:rFonts w:hint="eastAsia" w:ascii="宋体" w:hAnsi="宋体"/>
          <w:color w:val="000000"/>
          <w:szCs w:val="21"/>
          <w:lang w:val="en-US" w:eastAsia="zh-CN"/>
        </w:rPr>
        <w:t>用具</w:t>
      </w:r>
      <w:r>
        <w:rPr>
          <w:rFonts w:hint="eastAsia" w:ascii="宋体" w:hAnsi="宋体"/>
          <w:color w:val="000000"/>
          <w:szCs w:val="21"/>
          <w:lang w:eastAsia="zh-CN"/>
        </w:rPr>
        <w:t>（</w:t>
      </w:r>
      <w:r>
        <w:rPr>
          <w:rFonts w:hint="eastAsia" w:ascii="宋体" w:hAnsi="宋体"/>
          <w:color w:val="000000"/>
          <w:szCs w:val="21"/>
          <w:lang w:val="en-US" w:eastAsia="zh-CN"/>
        </w:rPr>
        <w:t>第三批）</w:t>
      </w:r>
      <w:r>
        <w:rPr>
          <w:rFonts w:hint="eastAsia" w:ascii="宋体" w:hAnsi="宋体"/>
          <w:color w:val="000000"/>
          <w:szCs w:val="21"/>
          <w:lang w:eastAsia="zh-CN"/>
        </w:rPr>
        <w:t>主要是指</w:t>
      </w:r>
      <w:r>
        <w:rPr>
          <w:rFonts w:hint="eastAsia" w:ascii="宋体" w:hAnsi="宋体"/>
          <w:color w:val="000000"/>
          <w:szCs w:val="21"/>
          <w:lang w:val="en-US" w:eastAsia="zh-CN"/>
        </w:rPr>
        <w:t>原液</w:t>
      </w:r>
      <w:r>
        <w:rPr>
          <w:rFonts w:hint="eastAsia" w:ascii="宋体" w:hAnsi="宋体"/>
          <w:color w:val="000000"/>
          <w:szCs w:val="21"/>
          <w:lang w:eastAsia="zh-CN"/>
        </w:rPr>
        <w:t>车间</w:t>
      </w:r>
      <w:r>
        <w:rPr>
          <w:rFonts w:ascii="宋体" w:hAnsi="宋体" w:cs="宋体"/>
          <w:szCs w:val="24"/>
          <w:lang w:eastAsia="zh-CN"/>
        </w:rPr>
        <w:t>不锈钢</w:t>
      </w:r>
      <w:r>
        <w:rPr>
          <w:rFonts w:hint="eastAsia" w:ascii="宋体" w:hAnsi="宋体" w:cs="宋体"/>
          <w:szCs w:val="24"/>
          <w:lang w:val="en-US" w:eastAsia="zh-CN"/>
        </w:rPr>
        <w:t>推车</w:t>
      </w:r>
      <w:r>
        <w:rPr>
          <w:rFonts w:ascii="宋体" w:hAnsi="宋体" w:cs="宋体"/>
          <w:szCs w:val="24"/>
          <w:lang w:eastAsia="zh-CN"/>
        </w:rPr>
        <w:t>、</w:t>
      </w:r>
      <w:r>
        <w:rPr>
          <w:rFonts w:hint="eastAsia" w:ascii="宋体" w:hAnsi="宋体" w:cs="宋体"/>
          <w:szCs w:val="24"/>
          <w:lang w:val="en-US" w:eastAsia="zh-CN"/>
        </w:rPr>
        <w:t>灭菌箱</w:t>
      </w:r>
      <w:r>
        <w:rPr>
          <w:rFonts w:ascii="宋体" w:hAnsi="宋体" w:cs="宋体"/>
          <w:szCs w:val="24"/>
          <w:lang w:eastAsia="zh-CN"/>
        </w:rPr>
        <w:t>、</w:t>
      </w:r>
      <w:r>
        <w:rPr>
          <w:rFonts w:hint="eastAsia" w:ascii="宋体" w:hAnsi="宋体" w:cs="宋体"/>
          <w:szCs w:val="24"/>
          <w:lang w:val="en-US" w:eastAsia="zh-CN"/>
        </w:rPr>
        <w:t>气瓶架</w:t>
      </w:r>
      <w:r>
        <w:rPr>
          <w:rFonts w:hint="eastAsia" w:ascii="宋体" w:hAnsi="宋体"/>
          <w:color w:val="000000"/>
          <w:szCs w:val="21"/>
          <w:lang w:eastAsia="zh-CN"/>
        </w:rPr>
        <w:t>等设备或用具。</w:t>
      </w:r>
      <w:permEnd w:id="7"/>
    </w:p>
    <w:p>
      <w:pPr>
        <w:pStyle w:val="31"/>
        <w:numPr>
          <w:ilvl w:val="0"/>
          <w:numId w:val="3"/>
        </w:numPr>
        <w:spacing w:after="158" w:afterLines="50"/>
        <w:ind w:left="426" w:hanging="424" w:hangingChars="202"/>
        <w:outlineLvl w:val="0"/>
        <w:rPr>
          <w:rFonts w:ascii="Times New Roman" w:hAnsi="Times New Roman"/>
          <w:b/>
          <w:szCs w:val="21"/>
        </w:rPr>
      </w:pPr>
      <w:bookmarkStart w:id="25" w:name="_Toc3540089"/>
      <w:r>
        <w:rPr>
          <w:rFonts w:ascii="Times New Roman" w:hAnsi="Times New Roman"/>
          <w:b/>
          <w:szCs w:val="21"/>
        </w:rPr>
        <w:t>安装要求</w:t>
      </w:r>
      <w:bookmarkEnd w:id="25"/>
    </w:p>
    <w:p>
      <w:pPr>
        <w:pStyle w:val="31"/>
        <w:spacing w:after="158" w:afterLines="50"/>
        <w:ind w:left="425" w:firstLine="0" w:firstLineChars="0"/>
        <w:rPr>
          <w:rFonts w:ascii="Times New Roman" w:hAnsi="Times New Roman"/>
          <w:szCs w:val="21"/>
        </w:rPr>
      </w:pPr>
      <w:permStart w:id="8" w:edGrp="everyone"/>
      <w:permEnd w:id="8"/>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6"/>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gridSpan w:val="2"/>
            <w:shd w:val="clear" w:color="auto" w:fill="D9D9D9"/>
            <w:vAlign w:val="center"/>
          </w:tcPr>
          <w:p>
            <w:pPr>
              <w:jc w:val="center"/>
              <w:rPr>
                <w:b/>
                <w:szCs w:val="21"/>
              </w:rPr>
            </w:pPr>
            <w:bookmarkStart w:id="26" w:name="OLE_LINK2"/>
            <w:bookmarkStart w:id="27" w:name="OLE_LINK1"/>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9" w:edGrp="everyone"/>
          </w:p>
        </w:tc>
        <w:tc>
          <w:tcPr>
            <w:tcW w:w="7129" w:type="dxa"/>
            <w:vAlign w:val="center"/>
          </w:tcPr>
          <w:p>
            <w:pPr>
              <w:spacing w:line="276" w:lineRule="auto"/>
              <w:jc w:val="both"/>
              <w:rPr>
                <w:i/>
                <w:color w:val="0070C0"/>
                <w:szCs w:val="21"/>
                <w:lang w:eastAsia="zh-CN"/>
              </w:rPr>
            </w:pPr>
            <w:r>
              <w:rPr>
                <w:rFonts w:hint="eastAsia"/>
                <w:szCs w:val="21"/>
                <w:lang w:val="en-US" w:eastAsia="zh-CN"/>
              </w:rPr>
              <w:t>金港园区产业化项目疫苗原液车间指定位置</w:t>
            </w:r>
            <w:r>
              <w:rPr>
                <w:rFonts w:hint="eastAsia"/>
                <w:szCs w:val="21"/>
                <w:lang w:eastAsia="zh-CN"/>
              </w:rPr>
              <w:t>。</w:t>
            </w:r>
          </w:p>
        </w:tc>
        <w:tc>
          <w:tcPr>
            <w:tcW w:w="2125" w:type="dxa"/>
            <w:vAlign w:val="center"/>
          </w:tcPr>
          <w:p>
            <w:pPr>
              <w:jc w:val="both"/>
              <w:rPr>
                <w:i/>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各房间非标设备/器具均需要安放到各房间。</w:t>
            </w:r>
          </w:p>
        </w:tc>
        <w:tc>
          <w:tcPr>
            <w:tcW w:w="2125" w:type="dxa"/>
            <w:vAlign w:val="center"/>
          </w:tcPr>
          <w:p>
            <w:pPr>
              <w:jc w:val="both"/>
              <w:rPr>
                <w:i/>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0" w:edGrp="everyone"/>
          </w:p>
        </w:tc>
        <w:tc>
          <w:tcPr>
            <w:tcW w:w="7129" w:type="dxa"/>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各房间/区域不锈钢非标用具详细表</w:t>
            </w:r>
            <w:r>
              <w:rPr>
                <w:rFonts w:hint="eastAsia"/>
                <w:szCs w:val="21"/>
                <w:lang w:eastAsia="zh-CN"/>
              </w:rPr>
              <w:t>“数量”、“尺寸/式样需求”、“需求备注”要求。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附件中各仓储物架按照具体房间的尺寸定制。若存在成品制成后，因长度问题进入车间存在困难，可以制成一定长度的单品，但不得改变其称重和功能需求。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color w:val="0070C0"/>
                <w:szCs w:val="21"/>
                <w:lang w:val="en-US" w:eastAsia="zh-CN"/>
              </w:rPr>
            </w:pPr>
            <w:r>
              <w:rPr>
                <w:rFonts w:hint="eastAsia"/>
                <w:szCs w:val="21"/>
                <w:lang w:eastAsia="zh-CN"/>
              </w:rPr>
              <w:t>具体尺寸供应商需再次实地确认。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供应商在施工前需有设计图纸，并经过</w:t>
            </w:r>
            <w:r>
              <w:rPr>
                <w:rFonts w:hint="eastAsia"/>
                <w:szCs w:val="21"/>
                <w:lang w:val="en-US" w:eastAsia="zh-CN"/>
              </w:rPr>
              <w:t>疫苗原液车间</w:t>
            </w:r>
            <w:r>
              <w:rPr>
                <w:rFonts w:hint="eastAsia"/>
                <w:szCs w:val="21"/>
                <w:lang w:eastAsia="zh-CN"/>
              </w:rPr>
              <w:t>书面确认。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1" w:edGrp="everyone"/>
          </w:p>
        </w:tc>
        <w:tc>
          <w:tcPr>
            <w:tcW w:w="7129" w:type="dxa"/>
            <w:vAlign w:val="center"/>
          </w:tcPr>
          <w:p>
            <w:pPr>
              <w:spacing w:line="276" w:lineRule="auto"/>
              <w:jc w:val="both"/>
              <w:rPr>
                <w:i/>
                <w:color w:val="FF0000"/>
                <w:szCs w:val="21"/>
                <w:lang w:eastAsia="zh-CN"/>
              </w:rPr>
            </w:pPr>
            <w:r>
              <w:rPr>
                <w:rFonts w:hint="eastAsia"/>
                <w:szCs w:val="21"/>
                <w:lang w:eastAsia="zh-CN"/>
              </w:rPr>
              <w:t>重量不超过房间地面承重要求。</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04" w:type="dxa"/>
            <w:shd w:val="clear" w:color="auto" w:fill="D9D9D9"/>
            <w:vAlign w:val="center"/>
          </w:tcPr>
          <w:p>
            <w:pPr>
              <w:jc w:val="both"/>
              <w:rPr>
                <w:szCs w:val="21"/>
                <w:highlight w:val="lightGray"/>
                <w:lang w:eastAsia="zh-CN"/>
              </w:rPr>
            </w:pPr>
            <w:permStart w:id="12" w:edGrp="everyone"/>
          </w:p>
        </w:tc>
        <w:tc>
          <w:tcPr>
            <w:tcW w:w="9260" w:type="dxa"/>
            <w:gridSpan w:val="3"/>
            <w:vAlign w:val="center"/>
          </w:tcPr>
          <w:p>
            <w:pPr>
              <w:jc w:val="both"/>
              <w:rPr>
                <w:szCs w:val="21"/>
                <w:lang w:eastAsia="zh-CN"/>
              </w:rPr>
            </w:pPr>
            <w:r>
              <w:rPr>
                <w:rFonts w:hint="eastAsia"/>
                <w:szCs w:val="21"/>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3" w:edGrp="everyone"/>
          </w:p>
        </w:tc>
        <w:tc>
          <w:tcPr>
            <w:tcW w:w="7129" w:type="dxa"/>
            <w:vAlign w:val="center"/>
          </w:tcPr>
          <w:p>
            <w:pPr>
              <w:spacing w:line="276" w:lineRule="auto"/>
              <w:jc w:val="both"/>
              <w:rPr>
                <w:szCs w:val="21"/>
                <w:lang w:eastAsia="zh-CN"/>
              </w:rPr>
            </w:pPr>
            <w:r>
              <w:rPr>
                <w:color w:val="000000"/>
                <w:lang w:eastAsia="zh-CN"/>
              </w:rPr>
              <w:t>工作环境温度：</w:t>
            </w:r>
            <w:r>
              <w:rPr>
                <w:rFonts w:hint="eastAsia"/>
                <w:color w:val="000000"/>
                <w:lang w:eastAsia="zh-CN"/>
              </w:rPr>
              <w:t>能适应</w:t>
            </w:r>
            <w:r>
              <w:rPr>
                <w:color w:val="000000"/>
                <w:lang w:eastAsia="zh-CN"/>
              </w:rPr>
              <w:t>1</w:t>
            </w:r>
            <w:r>
              <w:rPr>
                <w:rFonts w:hint="eastAsia"/>
                <w:color w:val="000000"/>
                <w:lang w:eastAsia="zh-CN"/>
              </w:rPr>
              <w:t>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4" w:edGrp="everyone"/>
          </w:p>
        </w:tc>
        <w:tc>
          <w:tcPr>
            <w:tcW w:w="7129" w:type="dxa"/>
            <w:vAlign w:val="center"/>
          </w:tcPr>
          <w:p>
            <w:pPr>
              <w:spacing w:line="276" w:lineRule="auto"/>
              <w:jc w:val="both"/>
              <w:rPr>
                <w:color w:val="000000"/>
                <w:lang w:eastAsia="zh-CN"/>
              </w:rPr>
            </w:pPr>
            <w:r>
              <w:rPr>
                <w:color w:val="000000"/>
                <w:lang w:eastAsia="zh-CN"/>
              </w:rPr>
              <w:t>工作环境湿度：至少包括</w:t>
            </w:r>
            <w:r>
              <w:rPr>
                <w:lang w:eastAsia="zh-CN"/>
              </w:rPr>
              <w:t>45%～65%</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5" w:edGrp="everyone"/>
          </w:p>
        </w:tc>
        <w:tc>
          <w:tcPr>
            <w:tcW w:w="7129" w:type="dxa"/>
            <w:vAlign w:val="center"/>
          </w:tcPr>
          <w:p>
            <w:pPr>
              <w:spacing w:line="276" w:lineRule="auto"/>
              <w:jc w:val="both"/>
              <w:rPr>
                <w:color w:val="000000"/>
                <w:lang w:eastAsia="zh-CN"/>
              </w:rPr>
            </w:pPr>
            <w:r>
              <w:rPr>
                <w:color w:val="000000"/>
                <w:lang w:eastAsia="zh-CN"/>
              </w:rPr>
              <w:t>工作环境洁净级别： C级/D</w:t>
            </w:r>
            <w:r>
              <w:rPr>
                <w:rFonts w:hint="eastAsia"/>
                <w:color w:val="000000"/>
                <w:lang w:eastAsia="zh-CN"/>
              </w:rPr>
              <w:t>级/</w:t>
            </w:r>
            <w:r>
              <w:rPr>
                <w:color w:val="000000"/>
                <w:lang w:eastAsia="zh-CN"/>
              </w:rPr>
              <w:t>普通区域</w:t>
            </w:r>
            <w:r>
              <w:rPr>
                <w:rFonts w:hint="eastAsia"/>
                <w:color w:val="000000"/>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ind w:firstLineChars="0"/>
              <w:rPr>
                <w:rFonts w:ascii="Times New Roman" w:hAnsi="Times New Roman"/>
                <w:szCs w:val="21"/>
              </w:rPr>
            </w:pPr>
            <w:permStart w:id="16" w:edGrp="everyone"/>
          </w:p>
        </w:tc>
        <w:tc>
          <w:tcPr>
            <w:tcW w:w="9254" w:type="dxa"/>
            <w:gridSpan w:val="2"/>
            <w:vAlign w:val="center"/>
          </w:tcPr>
          <w:p>
            <w:pPr>
              <w:jc w:val="both"/>
              <w:rPr>
                <w:szCs w:val="21"/>
                <w:lang w:eastAsia="zh-CN"/>
              </w:rPr>
            </w:pPr>
            <w:r>
              <w:rPr>
                <w:rFonts w:hint="eastAsia"/>
                <w:color w:val="000000"/>
                <w:szCs w:val="21"/>
                <w:lang w:eastAsia="zh-CN"/>
              </w:rPr>
              <w:t>NA</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7" w:edGrp="everyone"/>
          </w:p>
        </w:tc>
        <w:tc>
          <w:tcPr>
            <w:tcW w:w="7129" w:type="dxa"/>
            <w:vAlign w:val="center"/>
          </w:tcPr>
          <w:p>
            <w:pPr>
              <w:pStyle w:val="7"/>
              <w:rPr>
                <w:i/>
                <w:color w:val="FF0000"/>
                <w:lang w:val="en-US" w:eastAsia="zh-CN"/>
              </w:rPr>
            </w:pPr>
            <w:r>
              <w:rPr>
                <w:rFonts w:hint="eastAsia"/>
                <w:color w:val="000000"/>
                <w:sz w:val="21"/>
                <w:szCs w:val="22"/>
                <w:lang w:val="en-US" w:eastAsia="zh-CN" w:bidi="ar-SA"/>
              </w:rPr>
              <w:t>所有用具要求表面平整、光滑，</w:t>
            </w:r>
            <w:r>
              <w:rPr>
                <w:rFonts w:hint="eastAsia"/>
                <w:color w:val="000000"/>
                <w:sz w:val="21"/>
                <w:szCs w:val="22"/>
                <w:lang w:eastAsia="zh-CN" w:bidi="ar-SA"/>
              </w:rPr>
              <w:t>表面抛光，边缘圆滑防割伤，</w:t>
            </w:r>
            <w:r>
              <w:rPr>
                <w:rFonts w:hint="eastAsia"/>
                <w:color w:val="000000"/>
                <w:sz w:val="21"/>
                <w:szCs w:val="22"/>
                <w:lang w:val="en-US" w:eastAsia="zh-CN" w:bidi="ar-SA"/>
              </w:rPr>
              <w:t>采用304不锈钢材质。器具</w:t>
            </w:r>
            <w:r>
              <w:rPr>
                <w:rFonts w:hint="eastAsia"/>
                <w:color w:val="000000"/>
                <w:sz w:val="21"/>
                <w:szCs w:val="22"/>
                <w:lang w:eastAsia="zh-CN" w:bidi="ar-SA"/>
              </w:rPr>
              <w:t>需要满足耐受过氧化氢，</w:t>
            </w:r>
            <w:r>
              <w:rPr>
                <w:rFonts w:hint="eastAsia"/>
                <w:color w:val="000000"/>
                <w:sz w:val="21"/>
                <w:szCs w:val="22"/>
                <w:lang w:val="en-US" w:eastAsia="zh-CN" w:bidi="ar-SA"/>
              </w:rPr>
              <w:t>75%乙醇</w:t>
            </w:r>
            <w:r>
              <w:rPr>
                <w:rFonts w:hint="eastAsia"/>
                <w:color w:val="000000"/>
                <w:sz w:val="21"/>
                <w:szCs w:val="22"/>
                <w:lang w:eastAsia="zh-CN" w:bidi="ar-SA"/>
              </w:rPr>
              <w:t>，</w:t>
            </w:r>
            <w:r>
              <w:rPr>
                <w:rFonts w:hint="eastAsia"/>
                <w:color w:val="000000"/>
                <w:sz w:val="21"/>
                <w:szCs w:val="22"/>
                <w:lang w:val="en-US" w:eastAsia="zh-CN" w:bidi="ar-SA"/>
              </w:rPr>
              <w:t>1%84溶液及0.1%</w:t>
            </w:r>
            <w:r>
              <w:rPr>
                <w:rFonts w:hint="eastAsia"/>
                <w:color w:val="000000"/>
                <w:sz w:val="21"/>
                <w:szCs w:val="22"/>
                <w:lang w:eastAsia="zh-CN" w:bidi="ar-SA"/>
              </w:rPr>
              <w:t>新洁尔灭等消毒剂。</w:t>
            </w:r>
          </w:p>
        </w:tc>
        <w:tc>
          <w:tcPr>
            <w:tcW w:w="2125" w:type="dxa"/>
            <w:vAlign w:val="center"/>
          </w:tcPr>
          <w:p>
            <w:pPr>
              <w:jc w:val="both"/>
              <w:rPr>
                <w:szCs w:val="21"/>
                <w:lang w:eastAsia="zh-CN"/>
              </w:rPr>
            </w:pPr>
            <w:r>
              <w:rPr>
                <w:rFonts w:hint="eastAsia"/>
                <w:szCs w:val="21"/>
                <w:lang w:eastAsia="zh-CN"/>
              </w:rPr>
              <w:t>关键</w:t>
            </w:r>
          </w:p>
        </w:tc>
      </w:tr>
      <w:bookmarkEnd w:id="26"/>
      <w:bookmarkEnd w:id="27"/>
      <w:permEnd w:id="17"/>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4" w:hangingChars="202"/>
        <w:outlineLvl w:val="0"/>
        <w:rPr>
          <w:rFonts w:ascii="Times New Roman" w:hAnsi="Times New Roman"/>
          <w:b/>
        </w:rPr>
      </w:pPr>
      <w:bookmarkStart w:id="28" w:name="_Toc3540090"/>
      <w:bookmarkStart w:id="29" w:name="_Toc522107740"/>
      <w:r>
        <w:rPr>
          <w:rFonts w:ascii="Times New Roman" w:hAnsi="Times New Roman"/>
          <w:b/>
        </w:rPr>
        <w:t>运行要求</w:t>
      </w:r>
      <w:bookmarkEnd w:id="28"/>
      <w:bookmarkEnd w:id="29"/>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8" w:edGrp="everyone"/>
            <w:permEnd w:id="18"/>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19"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0"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1"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2" w:edGrp="everyone"/>
          </w:p>
        </w:tc>
        <w:tc>
          <w:tcPr>
            <w:tcW w:w="7129" w:type="dxa"/>
            <w:vAlign w:val="center"/>
          </w:tcPr>
          <w:p>
            <w:pPr>
              <w:spacing w:line="276" w:lineRule="auto"/>
              <w:jc w:val="both"/>
              <w:rPr>
                <w:szCs w:val="21"/>
                <w:lang w:eastAsia="zh-CN"/>
              </w:rPr>
            </w:pPr>
            <w:r>
              <w:rPr>
                <w:rFonts w:hint="eastAsia"/>
                <w:color w:val="000000"/>
                <w:lang w:eastAsia="zh-CN"/>
              </w:rPr>
              <w:t>所有可接触部分，不得有毛刺和尖锐面，防止人员操作时受伤。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rFonts w:hint="eastAsia"/>
                <w:color w:val="000000"/>
                <w:lang w:eastAsia="zh-CN"/>
              </w:rPr>
            </w:pPr>
            <w:r>
              <w:rPr>
                <w:rFonts w:hint="eastAsia"/>
                <w:color w:val="000000"/>
                <w:szCs w:val="22"/>
                <w:lang w:eastAsia="zh-CN"/>
              </w:rPr>
              <w:t>不锈钢器具应进行倒角处理，防止出现扎伤和割伤的情况。</w:t>
            </w:r>
          </w:p>
        </w:tc>
        <w:tc>
          <w:tcPr>
            <w:tcW w:w="2125" w:type="dxa"/>
            <w:vAlign w:val="center"/>
          </w:tcPr>
          <w:p>
            <w:pPr>
              <w:jc w:val="both"/>
              <w:rPr>
                <w:rFonts w:hint="eastAsia"/>
                <w:szCs w:val="21"/>
                <w:lang w:eastAsia="zh-CN"/>
              </w:rPr>
            </w:pPr>
            <w:r>
              <w:rPr>
                <w:rFonts w:hint="eastAsia"/>
                <w:szCs w:val="21"/>
                <w:lang w:eastAsia="zh-CN"/>
              </w:rPr>
              <w:t>关键</w:t>
            </w:r>
          </w:p>
        </w:tc>
      </w:tr>
      <w:permEnd w:id="22"/>
    </w:tbl>
    <w:p>
      <w:pPr>
        <w:pStyle w:val="31"/>
        <w:numPr>
          <w:ilvl w:val="0"/>
          <w:numId w:val="3"/>
        </w:numPr>
        <w:spacing w:after="158" w:afterLines="50"/>
        <w:ind w:left="426" w:hanging="424" w:hangingChars="202"/>
        <w:outlineLvl w:val="0"/>
        <w:rPr>
          <w:rFonts w:ascii="Times New Roman" w:hAnsi="Times New Roman"/>
          <w:b/>
        </w:rPr>
      </w:pPr>
      <w:bookmarkStart w:id="30" w:name="_Toc3540091"/>
      <w:bookmarkStart w:id="31" w:name="_Toc522107742"/>
      <w:bookmarkStart w:id="32" w:name="_Toc482370071"/>
      <w:bookmarkStart w:id="33" w:name="_Toc482369815"/>
      <w:bookmarkStart w:id="34" w:name="_Toc482359946"/>
      <w:bookmarkStart w:id="35" w:name="_Toc482717202"/>
      <w:bookmarkStart w:id="36" w:name="_Toc483227237"/>
      <w:bookmarkStart w:id="37" w:name="_Toc482360291"/>
      <w:bookmarkStart w:id="38" w:name="_Toc482625289"/>
      <w:bookmarkStart w:id="39" w:name="_Toc481702480"/>
      <w:bookmarkStart w:id="40" w:name="_Toc483400317"/>
      <w:bookmarkStart w:id="41" w:name="_Toc482370767"/>
      <w:bookmarkStart w:id="42" w:name="_Toc482370151"/>
      <w:bookmarkStart w:id="43" w:name="_Toc482370359"/>
      <w:r>
        <w:rPr>
          <w:rFonts w:ascii="Times New Roman" w:hAnsi="Times New Roman"/>
          <w:b/>
        </w:rPr>
        <w:t>电气、自动控制要求</w:t>
      </w:r>
      <w:bookmarkEnd w:id="30"/>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3" w:edGrp="everyone"/>
            <w:permEnd w:id="23"/>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4"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5"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5"/>
    </w:tbl>
    <w:p>
      <w:pPr>
        <w:spacing w:after="158" w:afterLines="50"/>
        <w:rPr>
          <w:b/>
          <w:lang w:eastAsia="zh-CN"/>
        </w:rPr>
      </w:pPr>
    </w:p>
    <w:p>
      <w:pPr>
        <w:pStyle w:val="31"/>
        <w:numPr>
          <w:ilvl w:val="0"/>
          <w:numId w:val="3"/>
        </w:numPr>
        <w:spacing w:after="158" w:afterLines="50"/>
        <w:ind w:left="426" w:hanging="424" w:hangingChars="202"/>
        <w:outlineLvl w:val="0"/>
        <w:rPr>
          <w:rFonts w:ascii="Times New Roman" w:hAnsi="Times New Roman"/>
          <w:b/>
        </w:rPr>
      </w:pPr>
      <w:bookmarkStart w:id="44" w:name="_Toc3540092"/>
      <w:r>
        <w:rPr>
          <w:rFonts w:ascii="Times New Roman" w:hAnsi="Times New Roman"/>
          <w:b/>
        </w:rPr>
        <w:t>安全要求</w:t>
      </w:r>
      <w:bookmarkEnd w:id="31"/>
      <w:bookmarkEnd w:id="44"/>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7"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9"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8"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8"/>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5" w:name="_Toc3540093"/>
      <w:bookmarkStart w:id="46" w:name="_Toc522107743"/>
      <w:r>
        <w:rPr>
          <w:rFonts w:ascii="Times New Roman" w:hAnsi="Times New Roman"/>
          <w:b/>
        </w:rPr>
        <w:t>文件要求</w:t>
      </w:r>
      <w:bookmarkEnd w:id="45"/>
      <w:bookmarkEnd w:id="46"/>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129" w:type="dxa"/>
            <w:vAlign w:val="center"/>
          </w:tcPr>
          <w:p>
            <w:pPr>
              <w:jc w:val="both"/>
              <w:rPr>
                <w:szCs w:val="21"/>
                <w:lang w:eastAsia="zh-CN"/>
              </w:rPr>
            </w:pPr>
            <w:r>
              <w:rPr>
                <w:rFonts w:hint="eastAsia"/>
                <w:lang w:eastAsia="zh-CN"/>
              </w:rPr>
              <w:t>供应商提供对应材质的检验证明材料。</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投标文件、合同及订单，卖方发运清单及相关检验报告。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设备厂家文件：出厂测试合格证、相关检测报告、</w:t>
            </w:r>
            <w:r>
              <w:rPr>
                <w:color w:val="000000"/>
                <w:szCs w:val="21"/>
                <w:lang w:eastAsia="zh-CN"/>
              </w:rPr>
              <w:t>设备及组件清单</w:t>
            </w:r>
            <w:r>
              <w:rPr>
                <w:rFonts w:hint="eastAsia"/>
                <w:color w:val="000000"/>
                <w:szCs w:val="21"/>
                <w:lang w:eastAsia="zh-CN"/>
              </w:rPr>
              <w:t>（包含</w:t>
            </w:r>
            <w:r>
              <w:rPr>
                <w:rFonts w:hint="eastAsia"/>
                <w:color w:val="000000"/>
                <w:szCs w:val="21"/>
                <w:lang w:val="en-US" w:eastAsia="zh-CN"/>
              </w:rPr>
              <w:t>设备尺寸图，</w:t>
            </w:r>
            <w:r>
              <w:rPr>
                <w:rFonts w:hint="eastAsia"/>
                <w:color w:val="000000"/>
                <w:szCs w:val="21"/>
                <w:lang w:eastAsia="zh-CN"/>
              </w:rPr>
              <w:t>使用寿命相关说明</w:t>
            </w:r>
            <w:r>
              <w:rPr>
                <w:rFonts w:hint="eastAsia"/>
                <w:color w:val="000000"/>
                <w:szCs w:val="21"/>
                <w:lang w:val="en-US" w:eastAsia="zh-CN"/>
              </w:rPr>
              <w:t>等</w:t>
            </w:r>
            <w:r>
              <w:rPr>
                <w:rFonts w:hint="eastAsia"/>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w:t>
            </w:r>
            <w:r>
              <w:rPr>
                <w:rFonts w:hint="eastAsia" w:ascii="宋体" w:hAnsi="宋体"/>
                <w:color w:val="000000"/>
                <w:szCs w:val="21"/>
                <w:lang w:val="en-US" w:eastAsia="zh-CN"/>
              </w:rPr>
              <w:t>安装</w:t>
            </w:r>
            <w:r>
              <w:rPr>
                <w:rFonts w:hint="eastAsia" w:ascii="宋体" w:hAnsi="宋体"/>
                <w:color w:val="000000"/>
                <w:szCs w:val="21"/>
                <w:lang w:eastAsia="zh-CN"/>
              </w:rPr>
              <w:t>：尺寸二次确认后</w:t>
            </w:r>
            <w:r>
              <w:rPr>
                <w:rFonts w:hint="eastAsia" w:ascii="宋体" w:hAnsi="宋体"/>
                <w:color w:val="000000"/>
                <w:szCs w:val="21"/>
                <w:lang w:val="en-US" w:eastAsia="zh-CN"/>
              </w:rPr>
              <w:t>进行设计与安装。</w:t>
            </w:r>
            <w:r>
              <w:rPr>
                <w:rFonts w:hint="eastAsia"/>
                <w:szCs w:val="21"/>
                <w:lang w:eastAsia="zh-CN"/>
              </w:rPr>
              <w:t>安装位置、外观、尺寸、文件（材质证明、合格证、说明书等）</w:t>
            </w:r>
            <w:r>
              <w:rPr>
                <w:rFonts w:hint="eastAsia"/>
                <w:szCs w:val="21"/>
                <w:lang w:val="en-US" w:eastAsia="zh-CN"/>
              </w:rPr>
              <w:t>必须符合要求</w:t>
            </w:r>
            <w:r>
              <w:rPr>
                <w:rFonts w:hint="eastAsia" w:ascii="宋体" w:hAnsi="宋体"/>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rFonts w:ascii="宋体" w:hAnsi="宋体"/>
                <w:color w:val="000000"/>
                <w:szCs w:val="21"/>
                <w:lang w:eastAsia="zh-CN"/>
              </w:rPr>
            </w:pPr>
            <w:r>
              <w:rPr>
                <w:rFonts w:hint="eastAsia" w:ascii="宋体" w:hAnsi="宋体"/>
                <w:color w:val="000000"/>
                <w:szCs w:val="21"/>
                <w:lang w:eastAsia="zh-CN"/>
              </w:rPr>
              <w:t>必要的使用操作说明书及维护保养说明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s="宋体"/>
                <w:color w:val="111111"/>
                <w:szCs w:val="21"/>
                <w:shd w:val="clear" w:color="auto" w:fill="FFFFFF"/>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0"/>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7" w:name="_Toc3540094"/>
      <w:r>
        <w:rPr>
          <w:rFonts w:ascii="Times New Roman" w:hAnsi="Times New Roman"/>
          <w:b/>
          <w:szCs w:val="21"/>
        </w:rPr>
        <w:t>服务要求</w:t>
      </w:r>
      <w:bookmarkEnd w:id="47"/>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1" w:edGrp="everyone"/>
            <w:permEnd w:id="31"/>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32"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9"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spacing w:before="100" w:beforeAutospacing="1"/>
              <w:ind w:right="-462" w:rightChars="-220"/>
              <w:jc w:val="both"/>
              <w:rPr>
                <w:szCs w:val="21"/>
                <w:lang w:eastAsia="zh-CN"/>
              </w:rPr>
            </w:pPr>
            <w:permStart w:id="34" w:edGrp="everyone"/>
          </w:p>
        </w:tc>
        <w:tc>
          <w:tcPr>
            <w:tcW w:w="9254" w:type="dxa"/>
            <w:gridSpan w:val="2"/>
            <w:vAlign w:val="center"/>
          </w:tcPr>
          <w:p>
            <w:pPr>
              <w:spacing w:before="100" w:beforeAutospacing="1"/>
              <w:jc w:val="both"/>
              <w:rPr>
                <w:szCs w:val="21"/>
                <w:lang w:eastAsia="zh-CN"/>
              </w:rPr>
            </w:pPr>
            <w:r>
              <w:rPr>
                <w:rFonts w:hint="eastAsia"/>
                <w:szCs w:val="21"/>
                <w:lang w:eastAsia="zh-CN"/>
              </w:rP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9" w:type="dxa"/>
            <w:vAlign w:val="center"/>
          </w:tcPr>
          <w:p>
            <w:pPr>
              <w:spacing w:line="276" w:lineRule="auto"/>
              <w:jc w:val="both"/>
              <w:rPr>
                <w:color w:val="000000"/>
                <w:szCs w:val="21"/>
                <w:lang w:eastAsia="zh-CN"/>
              </w:rPr>
            </w:pPr>
            <w:r>
              <w:rPr>
                <w:rFonts w:hint="eastAsia" w:ascii="宋体" w:hAnsi="宋体"/>
                <w:lang w:eastAsia="zh-CN"/>
              </w:rPr>
              <w:t>设备质保期为2年，2年内免费保修，2年后应提供良好的售后服务</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9" w:type="dxa"/>
            <w:vAlign w:val="center"/>
          </w:tcPr>
          <w:p>
            <w:pPr>
              <w:spacing w:line="276" w:lineRule="auto"/>
              <w:jc w:val="both"/>
              <w:rPr>
                <w:rFonts w:ascii="宋体" w:hAnsi="宋体"/>
                <w:lang w:eastAsia="zh-CN"/>
              </w:rPr>
            </w:pPr>
            <w:r>
              <w:rPr>
                <w:rFonts w:hint="eastAsia" w:ascii="宋体" w:hAnsi="宋体"/>
                <w:lang w:eastAsia="zh-CN"/>
              </w:rPr>
              <w:t>厂家应提供合格的备件，用于设备相应部件的维修、更换。</w:t>
            </w:r>
          </w:p>
        </w:tc>
        <w:tc>
          <w:tcPr>
            <w:tcW w:w="2125" w:type="dxa"/>
            <w:vAlign w:val="center"/>
          </w:tcPr>
          <w:p>
            <w:pPr>
              <w:jc w:val="both"/>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9"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rFonts w:ascii="宋体" w:hAnsi="宋体"/>
                <w:lang w:eastAsia="zh-CN"/>
              </w:rPr>
            </w:pPr>
            <w:r>
              <w:rPr>
                <w:rFonts w:hint="eastAsia" w:ascii="宋体" w:hAnsi="宋体"/>
                <w:lang w:eastAsia="zh-CN"/>
              </w:rPr>
              <w:t>确认验收合格后，甲乙双方签订验收报告。</w:t>
            </w:r>
          </w:p>
        </w:tc>
        <w:tc>
          <w:tcPr>
            <w:tcW w:w="2125" w:type="dxa"/>
            <w:vAlign w:val="center"/>
          </w:tcPr>
          <w:p>
            <w:pPr>
              <w:jc w:val="both"/>
              <w:rPr>
                <w:szCs w:val="21"/>
                <w:lang w:val="en-US" w:eastAsia="zh-CN"/>
              </w:rPr>
            </w:pPr>
            <w:r>
              <w:rPr>
                <w:rFonts w:hint="eastAsia"/>
                <w:szCs w:val="21"/>
                <w:lang w:val="en-US" w:eastAsia="zh-CN"/>
              </w:rPr>
              <w:t xml:space="preserve">关键 </w:t>
            </w:r>
          </w:p>
        </w:tc>
      </w:tr>
      <w:permEnd w:id="37"/>
    </w:tbl>
    <w:p/>
    <w:p>
      <w:pPr>
        <w:pStyle w:val="31"/>
        <w:numPr>
          <w:ilvl w:val="0"/>
          <w:numId w:val="3"/>
        </w:numPr>
        <w:spacing w:after="158" w:afterLines="50"/>
        <w:ind w:left="426" w:hanging="424" w:hangingChars="202"/>
        <w:outlineLvl w:val="0"/>
        <w:rPr>
          <w:rFonts w:ascii="Times New Roman" w:hAnsi="Times New Roman"/>
          <w:b/>
        </w:rPr>
      </w:pPr>
      <w:bookmarkStart w:id="48" w:name="_Toc522107746"/>
      <w:bookmarkStart w:id="49" w:name="_Toc3540095"/>
      <w:r>
        <w:rPr>
          <w:rFonts w:ascii="Times New Roman" w:hAnsi="Times New Roman"/>
          <w:b/>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pPr>
        <w:pStyle w:val="25"/>
        <w:spacing w:before="0" w:line="360" w:lineRule="auto"/>
        <w:ind w:left="357"/>
        <w:jc w:val="left"/>
        <w:rPr>
          <w:rFonts w:hint="eastAsia" w:ascii="宋体" w:hAnsi="宋体" w:eastAsia="宋体" w:cs="宋体"/>
          <w:color w:val="000000"/>
          <w:szCs w:val="21"/>
          <w:lang w:eastAsia="zh-CN"/>
        </w:rPr>
      </w:pPr>
      <w:permStart w:id="38" w:edGrp="everyone"/>
      <w:r>
        <w:rPr>
          <w:rFonts w:hint="eastAsia" w:ascii="宋体" w:hAnsi="宋体" w:eastAsia="宋体" w:cs="宋体"/>
          <w:color w:val="000000"/>
          <w:szCs w:val="21"/>
          <w:lang w:eastAsia="zh-CN"/>
        </w:rPr>
        <w:t>附件1 各房间/区域</w:t>
      </w:r>
      <w:r>
        <w:rPr>
          <w:rFonts w:hint="eastAsia" w:ascii="宋体" w:hAnsi="宋体" w:eastAsia="宋体" w:cs="宋体"/>
          <w:color w:val="000000"/>
          <w:szCs w:val="21"/>
          <w:lang w:val="en-US" w:eastAsia="zh-CN"/>
        </w:rPr>
        <w:t>不锈钢</w:t>
      </w:r>
      <w:r>
        <w:rPr>
          <w:rFonts w:hint="eastAsia" w:ascii="宋体" w:hAnsi="宋体" w:eastAsia="宋体" w:cs="宋体"/>
          <w:color w:val="000000"/>
          <w:szCs w:val="21"/>
          <w:lang w:eastAsia="zh-CN"/>
        </w:rPr>
        <w:t>非标用具（</w:t>
      </w:r>
      <w:r>
        <w:rPr>
          <w:rFonts w:hint="eastAsia" w:ascii="宋体" w:hAnsi="宋体" w:eastAsia="宋体" w:cs="宋体"/>
          <w:color w:val="000000"/>
          <w:szCs w:val="21"/>
          <w:lang w:val="en-US" w:eastAsia="zh-CN"/>
        </w:rPr>
        <w:t>第三批）</w:t>
      </w:r>
      <w:r>
        <w:rPr>
          <w:rFonts w:hint="eastAsia" w:ascii="宋体" w:hAnsi="宋体" w:eastAsia="宋体" w:cs="宋体"/>
          <w:color w:val="000000"/>
          <w:szCs w:val="21"/>
          <w:lang w:eastAsia="zh-CN"/>
        </w:rPr>
        <w:t>详细表。</w:t>
      </w:r>
    </w:p>
    <w:tbl>
      <w:tblPr>
        <w:tblStyle w:val="23"/>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8"/>
        <w:gridCol w:w="1350"/>
        <w:gridCol w:w="1614"/>
        <w:gridCol w:w="2063"/>
        <w:gridCol w:w="1529"/>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atLeast"/>
        </w:trPr>
        <w:tc>
          <w:tcPr>
            <w:tcW w:w="1008"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区域（URS1)</w:t>
            </w:r>
          </w:p>
        </w:tc>
        <w:tc>
          <w:tcPr>
            <w:tcW w:w="1350" w:type="dxa"/>
            <w:tcMar>
              <w:top w:w="15" w:type="dxa"/>
              <w:left w:w="15" w:type="dxa"/>
              <w:right w:w="15" w:type="dxa"/>
            </w:tcMar>
            <w:vAlign w:val="bottom"/>
          </w:tcPr>
          <w:p>
            <w:pP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房间编号</w:t>
            </w:r>
          </w:p>
        </w:tc>
        <w:tc>
          <w:tcPr>
            <w:tcW w:w="1614"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用具名称</w:t>
            </w:r>
          </w:p>
        </w:tc>
        <w:tc>
          <w:tcPr>
            <w:tcW w:w="2063"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尺寸（长×宽×高）(URS3)</w:t>
            </w:r>
          </w:p>
        </w:tc>
        <w:tc>
          <w:tcPr>
            <w:tcW w:w="1529" w:type="dxa"/>
            <w:tcMar>
              <w:top w:w="15" w:type="dxa"/>
              <w:left w:w="15" w:type="dxa"/>
              <w:right w:w="15" w:type="dxa"/>
            </w:tcMar>
            <w:vAlign w:val="bottom"/>
          </w:tcPr>
          <w:p>
            <w:pP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数量(URS3)</w:t>
            </w:r>
          </w:p>
        </w:tc>
        <w:tc>
          <w:tcPr>
            <w:tcW w:w="2874"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 xml:space="preserve">备注(URS3、URS8)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top"/>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二楼</w:t>
            </w:r>
          </w:p>
        </w:tc>
        <w:tc>
          <w:tcPr>
            <w:tcW w:w="1350" w:type="dxa"/>
            <w:tcMar>
              <w:top w:w="15" w:type="dxa"/>
              <w:left w:w="15" w:type="dxa"/>
              <w:right w:w="15" w:type="dxa"/>
            </w:tcMar>
            <w:vAlign w:val="center"/>
          </w:tcPr>
          <w:p>
            <w:pPr>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反应器细胞</w:t>
            </w:r>
          </w:p>
        </w:tc>
        <w:tc>
          <w:tcPr>
            <w:tcW w:w="1614"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不锈钢灭菌箱</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600×400×300</w:t>
            </w:r>
          </w:p>
        </w:tc>
        <w:tc>
          <w:tcPr>
            <w:tcW w:w="1529"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20</w:t>
            </w:r>
          </w:p>
        </w:tc>
        <w:tc>
          <w:tcPr>
            <w:tcW w:w="2874"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反应器旁路管道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top"/>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二楼</w:t>
            </w:r>
          </w:p>
        </w:tc>
        <w:tc>
          <w:tcPr>
            <w:tcW w:w="1350" w:type="dxa"/>
            <w:tcMar>
              <w:top w:w="15" w:type="dxa"/>
              <w:left w:w="15" w:type="dxa"/>
              <w:right w:w="15" w:type="dxa"/>
            </w:tcMar>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反应器细胞</w:t>
            </w:r>
          </w:p>
        </w:tc>
        <w:tc>
          <w:tcPr>
            <w:tcW w:w="1614"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不锈钢推车</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1000×600×900</w:t>
            </w:r>
          </w:p>
        </w:tc>
        <w:tc>
          <w:tcPr>
            <w:tcW w:w="1529"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30</w:t>
            </w:r>
          </w:p>
        </w:tc>
        <w:tc>
          <w:tcPr>
            <w:tcW w:w="2874"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前轮为万向轮，后轮为定轮，轮径15CM，硅胶防震，板车厚度4CM，板面离地高24CM。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二楼</w:t>
            </w:r>
          </w:p>
        </w:tc>
        <w:tc>
          <w:tcPr>
            <w:tcW w:w="1350"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气瓶间</w:t>
            </w:r>
          </w:p>
        </w:tc>
        <w:tc>
          <w:tcPr>
            <w:tcW w:w="1614" w:type="dxa"/>
            <w:tcMar>
              <w:top w:w="15" w:type="dxa"/>
              <w:left w:w="15" w:type="dxa"/>
              <w:right w:w="15" w:type="dxa"/>
            </w:tcMar>
            <w:vAlign w:val="bottom"/>
          </w:tcPr>
          <w:p>
            <w:pPr>
              <w:widowControl/>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气瓶架</w:t>
            </w:r>
          </w:p>
        </w:tc>
        <w:tc>
          <w:tcPr>
            <w:tcW w:w="2063" w:type="dxa"/>
            <w:tcMar>
              <w:top w:w="15" w:type="dxa"/>
              <w:left w:w="15" w:type="dxa"/>
              <w:right w:w="15" w:type="dxa"/>
            </w:tcMar>
            <w:vAlign w:val="bottom"/>
          </w:tcPr>
          <w:p>
            <w:pPr>
              <w:widowControl/>
              <w:jc w:val="center"/>
              <w:textAlignment w:val="top"/>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1500×600×1000</w:t>
            </w:r>
          </w:p>
        </w:tc>
        <w:tc>
          <w:tcPr>
            <w:tcW w:w="1529"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12</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采用不锈钢链子固定瓶身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二楼</w:t>
            </w:r>
          </w:p>
        </w:tc>
        <w:tc>
          <w:tcPr>
            <w:tcW w:w="1350"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反应器细胞</w:t>
            </w:r>
          </w:p>
        </w:tc>
        <w:tc>
          <w:tcPr>
            <w:tcW w:w="1614" w:type="dxa"/>
            <w:tcMar>
              <w:top w:w="15" w:type="dxa"/>
              <w:left w:w="15" w:type="dxa"/>
              <w:right w:w="15" w:type="dxa"/>
            </w:tcMar>
            <w:vAlign w:val="bottom"/>
          </w:tcPr>
          <w:p>
            <w:pPr>
              <w:widowControl/>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漏斗</w:t>
            </w:r>
          </w:p>
        </w:tc>
        <w:tc>
          <w:tcPr>
            <w:tcW w:w="2063" w:type="dxa"/>
            <w:tcMar>
              <w:top w:w="15" w:type="dxa"/>
              <w:left w:w="15" w:type="dxa"/>
              <w:right w:w="15" w:type="dxa"/>
            </w:tcMar>
            <w:vAlign w:val="bottom"/>
          </w:tcPr>
          <w:p>
            <w:pPr>
              <w:widowControl/>
              <w:jc w:val="center"/>
              <w:textAlignment w:val="top"/>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按样品定制</w:t>
            </w:r>
          </w:p>
        </w:tc>
        <w:tc>
          <w:tcPr>
            <w:tcW w:w="1529"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30</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反应器加料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top"/>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三楼</w:t>
            </w:r>
          </w:p>
        </w:tc>
        <w:tc>
          <w:tcPr>
            <w:tcW w:w="1350" w:type="dxa"/>
            <w:tcMar>
              <w:top w:w="15" w:type="dxa"/>
              <w:left w:w="15" w:type="dxa"/>
              <w:right w:w="15" w:type="dxa"/>
            </w:tcMar>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后处理组</w:t>
            </w:r>
          </w:p>
        </w:tc>
        <w:tc>
          <w:tcPr>
            <w:tcW w:w="1614" w:type="dxa"/>
            <w:tcMar>
              <w:top w:w="15" w:type="dxa"/>
              <w:left w:w="15" w:type="dxa"/>
              <w:right w:w="15" w:type="dxa"/>
            </w:tcMar>
            <w:vAlign w:val="bottom"/>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方凳</w:t>
            </w:r>
          </w:p>
        </w:tc>
        <w:tc>
          <w:tcPr>
            <w:tcW w:w="2063"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eastAsia="宋体" w:cs="宋体"/>
                <w:color w:val="auto"/>
                <w:sz w:val="21"/>
                <w:szCs w:val="21"/>
                <w:lang w:val="en-US" w:eastAsia="zh-CN"/>
              </w:rPr>
              <w:t>350×260×700</w:t>
            </w:r>
          </w:p>
        </w:tc>
        <w:tc>
          <w:tcPr>
            <w:tcW w:w="1529"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cs="宋体"/>
                <w:i w:val="0"/>
                <w:color w:val="000000"/>
                <w:kern w:val="0"/>
                <w:sz w:val="21"/>
                <w:szCs w:val="21"/>
                <w:u w:val="none"/>
                <w:lang w:val="en-US" w:eastAsia="zh-CN"/>
              </w:rPr>
              <w:t>24</w:t>
            </w:r>
          </w:p>
        </w:tc>
        <w:tc>
          <w:tcPr>
            <w:tcW w:w="2874"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top"/>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三楼</w:t>
            </w:r>
          </w:p>
        </w:tc>
        <w:tc>
          <w:tcPr>
            <w:tcW w:w="1350" w:type="dxa"/>
            <w:tcMar>
              <w:top w:w="15" w:type="dxa"/>
              <w:left w:w="15" w:type="dxa"/>
              <w:right w:w="15" w:type="dxa"/>
            </w:tcMar>
            <w:vAlign w:val="center"/>
          </w:tcPr>
          <w:p>
            <w:pPr>
              <w:jc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color w:val="000000"/>
                <w:sz w:val="21"/>
                <w:szCs w:val="21"/>
                <w:lang w:val="en-US" w:eastAsia="zh-CN"/>
              </w:rPr>
              <w:t>后处理组</w:t>
            </w:r>
          </w:p>
        </w:tc>
        <w:tc>
          <w:tcPr>
            <w:tcW w:w="1614" w:type="dxa"/>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不锈钢灭菌箱</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auto"/>
                <w:sz w:val="21"/>
                <w:szCs w:val="21"/>
                <w:lang w:val="en-US" w:eastAsia="zh-CN" w:bidi="ar-SA"/>
              </w:rPr>
            </w:pPr>
            <w:r>
              <w:rPr>
                <w:rFonts w:hint="eastAsia" w:ascii="宋体" w:hAnsi="宋体" w:eastAsia="宋体" w:cs="宋体"/>
                <w:color w:val="000000"/>
                <w:sz w:val="21"/>
                <w:szCs w:val="21"/>
                <w:lang w:val="en-US" w:eastAsia="zh-CN"/>
              </w:rPr>
              <w:t>700×400×300</w:t>
            </w:r>
          </w:p>
        </w:tc>
        <w:tc>
          <w:tcPr>
            <w:tcW w:w="1529" w:type="dxa"/>
            <w:tcMar>
              <w:top w:w="15" w:type="dxa"/>
              <w:left w:w="15" w:type="dxa"/>
              <w:right w:w="15" w:type="dxa"/>
            </w:tcMar>
            <w:vAlign w:val="bottom"/>
          </w:tcPr>
          <w:p>
            <w:pPr>
              <w:widowControl/>
              <w:jc w:val="center"/>
              <w:textAlignment w:val="top"/>
              <w:rPr>
                <w:rFonts w:hint="default" w:ascii="宋体" w:hAnsi="宋体" w:eastAsia="宋体" w:cs="宋体"/>
                <w:i w:val="0"/>
                <w:color w:val="auto"/>
                <w:kern w:val="0"/>
                <w:sz w:val="21"/>
                <w:szCs w:val="21"/>
                <w:u w:val="none"/>
                <w:lang w:val="en-US" w:eastAsia="zh-CN"/>
              </w:rPr>
            </w:pPr>
            <w:r>
              <w:rPr>
                <w:rFonts w:hint="eastAsia" w:ascii="宋体" w:hAnsi="宋体" w:cs="宋体"/>
                <w:i w:val="0"/>
                <w:color w:val="auto"/>
                <w:kern w:val="0"/>
                <w:sz w:val="21"/>
                <w:szCs w:val="21"/>
                <w:u w:val="none"/>
                <w:lang w:val="en-US" w:eastAsia="zh-CN"/>
              </w:rPr>
              <w:t>12</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top"/>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三楼</w:t>
            </w:r>
          </w:p>
        </w:tc>
        <w:tc>
          <w:tcPr>
            <w:tcW w:w="1350" w:type="dxa"/>
            <w:tcMar>
              <w:top w:w="15" w:type="dxa"/>
              <w:left w:w="15" w:type="dxa"/>
              <w:right w:w="15" w:type="dxa"/>
            </w:tcMar>
            <w:vAlign w:val="center"/>
          </w:tcPr>
          <w:p>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后处理组</w:t>
            </w:r>
          </w:p>
        </w:tc>
        <w:tc>
          <w:tcPr>
            <w:tcW w:w="1614" w:type="dxa"/>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不锈钢灭菌箱</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auto"/>
                <w:sz w:val="21"/>
                <w:szCs w:val="21"/>
                <w:lang w:val="en-US" w:eastAsia="zh-CN" w:bidi="ar-SA"/>
              </w:rPr>
            </w:pPr>
            <w:r>
              <w:rPr>
                <w:rFonts w:hint="eastAsia" w:ascii="宋体" w:hAnsi="宋体" w:eastAsia="宋体" w:cs="宋体"/>
                <w:color w:val="000000"/>
                <w:sz w:val="21"/>
                <w:szCs w:val="21"/>
                <w:lang w:val="en-US" w:eastAsia="zh-CN"/>
              </w:rPr>
              <w:t>500×300×250</w:t>
            </w:r>
          </w:p>
        </w:tc>
        <w:tc>
          <w:tcPr>
            <w:tcW w:w="1529"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i w:val="0"/>
                <w:color w:val="auto"/>
                <w:kern w:val="0"/>
                <w:sz w:val="21"/>
                <w:szCs w:val="21"/>
                <w:u w:val="none"/>
                <w:lang w:val="en-US" w:eastAsia="zh-CN"/>
              </w:rPr>
              <w:t>3</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三楼</w:t>
            </w:r>
          </w:p>
        </w:tc>
        <w:tc>
          <w:tcPr>
            <w:tcW w:w="1350"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color w:val="000000"/>
                <w:sz w:val="21"/>
                <w:szCs w:val="21"/>
                <w:lang w:val="en-US" w:eastAsia="zh-CN"/>
              </w:rPr>
              <w:t>后处理组</w:t>
            </w:r>
          </w:p>
        </w:tc>
        <w:tc>
          <w:tcPr>
            <w:tcW w:w="1614" w:type="dxa"/>
            <w:tcMar>
              <w:top w:w="15" w:type="dxa"/>
              <w:left w:w="15" w:type="dxa"/>
              <w:right w:w="15" w:type="dxa"/>
            </w:tcMar>
            <w:vAlign w:val="bottom"/>
          </w:tcPr>
          <w:p>
            <w:pPr>
              <w:widowControl/>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移动地台</w:t>
            </w:r>
          </w:p>
        </w:tc>
        <w:tc>
          <w:tcPr>
            <w:tcW w:w="2063" w:type="dxa"/>
            <w:tcMar>
              <w:top w:w="15" w:type="dxa"/>
              <w:left w:w="15" w:type="dxa"/>
              <w:right w:w="15" w:type="dxa"/>
            </w:tcMar>
            <w:vAlign w:val="bottom"/>
          </w:tcPr>
          <w:p>
            <w:pPr>
              <w:widowControl/>
              <w:jc w:val="center"/>
              <w:textAlignment w:val="top"/>
              <w:rPr>
                <w:rFonts w:hint="eastAsia" w:ascii="宋体" w:hAnsi="宋体" w:eastAsia="宋体" w:cs="宋体"/>
                <w:color w:val="auto"/>
                <w:sz w:val="21"/>
                <w:szCs w:val="21"/>
                <w:lang w:val="en-US" w:eastAsia="zh-CN" w:bidi="ar-SA"/>
              </w:rPr>
            </w:pPr>
            <w:r>
              <w:rPr>
                <w:rFonts w:hint="eastAsia" w:ascii="宋体" w:hAnsi="宋体" w:eastAsia="宋体" w:cs="宋体"/>
                <w:color w:val="000000"/>
                <w:sz w:val="21"/>
                <w:szCs w:val="21"/>
                <w:lang w:val="en-US" w:eastAsia="zh-CN"/>
              </w:rPr>
              <w:t>800×600×150</w:t>
            </w:r>
          </w:p>
        </w:tc>
        <w:tc>
          <w:tcPr>
            <w:tcW w:w="1529"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4</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4个万向轮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三楼</w:t>
            </w:r>
          </w:p>
        </w:tc>
        <w:tc>
          <w:tcPr>
            <w:tcW w:w="1350"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color w:val="000000"/>
                <w:sz w:val="21"/>
                <w:szCs w:val="21"/>
                <w:lang w:val="en-US" w:eastAsia="zh-CN"/>
              </w:rPr>
              <w:t>后处理组</w:t>
            </w:r>
          </w:p>
        </w:tc>
        <w:tc>
          <w:tcPr>
            <w:tcW w:w="1614" w:type="dxa"/>
            <w:tcMar>
              <w:top w:w="15" w:type="dxa"/>
              <w:left w:w="15" w:type="dxa"/>
              <w:right w:w="15" w:type="dxa"/>
            </w:tcMar>
            <w:vAlign w:val="bottom"/>
          </w:tcPr>
          <w:p>
            <w:pPr>
              <w:widowControl/>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固定地台</w:t>
            </w:r>
          </w:p>
        </w:tc>
        <w:tc>
          <w:tcPr>
            <w:tcW w:w="2063" w:type="dxa"/>
            <w:tcMar>
              <w:top w:w="15" w:type="dxa"/>
              <w:left w:w="15" w:type="dxa"/>
              <w:right w:w="15" w:type="dxa"/>
            </w:tcMar>
            <w:vAlign w:val="bottom"/>
          </w:tcPr>
          <w:p>
            <w:pPr>
              <w:widowControl/>
              <w:jc w:val="center"/>
              <w:textAlignment w:val="top"/>
              <w:rPr>
                <w:rFonts w:hint="eastAsia" w:ascii="宋体" w:hAnsi="宋体" w:eastAsia="宋体" w:cs="宋体"/>
                <w:color w:val="auto"/>
                <w:sz w:val="21"/>
                <w:szCs w:val="21"/>
                <w:lang w:val="en-US" w:eastAsia="zh-CN" w:bidi="ar-SA"/>
              </w:rPr>
            </w:pPr>
            <w:r>
              <w:rPr>
                <w:rFonts w:hint="eastAsia" w:ascii="宋体" w:hAnsi="宋体" w:eastAsia="宋体" w:cs="宋体"/>
                <w:color w:val="000000"/>
                <w:sz w:val="21"/>
                <w:szCs w:val="21"/>
                <w:lang w:val="en-US" w:eastAsia="zh-CN"/>
              </w:rPr>
              <w:t>500×300×100</w:t>
            </w:r>
          </w:p>
        </w:tc>
        <w:tc>
          <w:tcPr>
            <w:tcW w:w="1529"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i w:val="0"/>
                <w:color w:val="auto"/>
                <w:kern w:val="0"/>
                <w:sz w:val="21"/>
                <w:szCs w:val="21"/>
                <w:u w:val="none"/>
                <w:lang w:val="en-US" w:eastAsia="zh-CN"/>
              </w:rPr>
              <w:t>1</w:t>
            </w:r>
            <w:r>
              <w:rPr>
                <w:rFonts w:hint="eastAsia" w:ascii="宋体" w:hAnsi="宋体" w:eastAsia="宋体" w:cs="宋体"/>
                <w:i w:val="0"/>
                <w:color w:val="auto"/>
                <w:kern w:val="0"/>
                <w:sz w:val="21"/>
                <w:szCs w:val="21"/>
                <w:u w:val="none"/>
                <w:lang w:val="en-US" w:eastAsia="zh-CN"/>
              </w:rPr>
              <w:t>3</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color w:val="000000"/>
                <w:sz w:val="21"/>
                <w:szCs w:val="21"/>
                <w:lang w:val="en-US" w:eastAsia="zh-CN" w:bidi="ar-SA"/>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color w:val="000000"/>
                <w:sz w:val="21"/>
                <w:szCs w:val="21"/>
                <w:lang w:val="en-US" w:eastAsia="zh-CN"/>
              </w:rPr>
              <w:t>三楼</w:t>
            </w:r>
          </w:p>
        </w:tc>
        <w:tc>
          <w:tcPr>
            <w:tcW w:w="1350"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后处理</w:t>
            </w:r>
            <w:r>
              <w:rPr>
                <w:rFonts w:hint="eastAsia" w:ascii="宋体" w:hAnsi="宋体" w:eastAsia="宋体" w:cs="宋体"/>
                <w:color w:val="000000"/>
                <w:sz w:val="21"/>
                <w:szCs w:val="21"/>
                <w:lang w:val="en-US" w:eastAsia="zh-CN"/>
              </w:rPr>
              <w:t>组</w:t>
            </w:r>
          </w:p>
        </w:tc>
        <w:tc>
          <w:tcPr>
            <w:tcW w:w="1614"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color w:val="000000"/>
                <w:sz w:val="21"/>
                <w:szCs w:val="21"/>
                <w:lang w:val="en-US" w:eastAsia="zh-CN"/>
              </w:rPr>
              <w:t>工作台</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800×1060×800</w:t>
            </w:r>
          </w:p>
        </w:tc>
        <w:tc>
          <w:tcPr>
            <w:tcW w:w="1529"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color w:val="000000"/>
                <w:sz w:val="21"/>
                <w:szCs w:val="21"/>
                <w:lang w:val="en-US" w:eastAsia="zh-CN"/>
              </w:rPr>
              <w:t>2</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color w:val="000000"/>
                <w:sz w:val="21"/>
                <w:szCs w:val="21"/>
                <w:lang w:val="en-US" w:eastAsia="zh-CN"/>
              </w:rPr>
              <w:t>三楼</w:t>
            </w:r>
          </w:p>
        </w:tc>
        <w:tc>
          <w:tcPr>
            <w:tcW w:w="1350"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rPr>
              <w:t>后处理</w:t>
            </w:r>
            <w:r>
              <w:rPr>
                <w:rFonts w:hint="eastAsia" w:ascii="宋体" w:hAnsi="宋体" w:eastAsia="宋体" w:cs="宋体"/>
                <w:color w:val="000000"/>
                <w:sz w:val="21"/>
                <w:szCs w:val="21"/>
                <w:lang w:val="en-US" w:eastAsia="zh-CN"/>
              </w:rPr>
              <w:t>组</w:t>
            </w:r>
          </w:p>
        </w:tc>
        <w:tc>
          <w:tcPr>
            <w:tcW w:w="1614"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color w:val="000000"/>
                <w:sz w:val="21"/>
                <w:szCs w:val="21"/>
                <w:lang w:val="en-US" w:eastAsia="zh-CN"/>
              </w:rPr>
              <w:t>工作台</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en-US" w:eastAsia="zh-CN"/>
              </w:rPr>
              <w:t>00×</w:t>
            </w:r>
            <w:r>
              <w:rPr>
                <w:rFonts w:hint="eastAsia" w:ascii="宋体" w:hAnsi="宋体" w:cs="宋体"/>
                <w:color w:val="000000"/>
                <w:sz w:val="21"/>
                <w:szCs w:val="21"/>
                <w:lang w:val="en-US" w:eastAsia="zh-CN"/>
              </w:rPr>
              <w:t>50</w:t>
            </w:r>
            <w:r>
              <w:rPr>
                <w:rFonts w:hint="eastAsia" w:ascii="宋体" w:hAnsi="宋体" w:eastAsia="宋体" w:cs="宋体"/>
                <w:color w:val="000000"/>
                <w:sz w:val="21"/>
                <w:szCs w:val="21"/>
                <w:lang w:val="en-US" w:eastAsia="zh-CN"/>
              </w:rPr>
              <w:t>0×800</w:t>
            </w:r>
          </w:p>
        </w:tc>
        <w:tc>
          <w:tcPr>
            <w:tcW w:w="1529"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color w:val="000000"/>
                <w:sz w:val="21"/>
                <w:szCs w:val="21"/>
                <w:lang w:val="en-US" w:eastAsia="zh-CN"/>
              </w:rPr>
              <w:t>6</w:t>
            </w:r>
          </w:p>
        </w:tc>
        <w:tc>
          <w:tcPr>
            <w:tcW w:w="2874" w:type="dxa"/>
            <w:tcMar>
              <w:top w:w="15" w:type="dxa"/>
              <w:left w:w="15" w:type="dxa"/>
              <w:right w:w="15" w:type="dxa"/>
            </w:tcMar>
            <w:vAlign w:val="center"/>
          </w:tcPr>
          <w:p>
            <w:pPr>
              <w:widowControl/>
              <w:jc w:val="center"/>
              <w:textAlignment w:val="center"/>
              <w:rPr>
                <w:rFonts w:hint="eastAsia" w:ascii="等线" w:hAnsi="等线" w:eastAsia="等线" w:cs="等线"/>
                <w:i w:val="0"/>
                <w:iCs w:val="0"/>
                <w:color w:val="000000"/>
                <w:sz w:val="22"/>
                <w:szCs w:val="22"/>
                <w:u w:val="none"/>
                <w:lang w:val="en-US" w:eastAsia="zh-CN" w:bidi="ar-SA"/>
              </w:rPr>
            </w:pPr>
            <w:r>
              <w:rPr>
                <w:rFonts w:hint="eastAsia" w:ascii="宋体" w:hAnsi="宋体" w:eastAsia="宋体" w:cs="宋体"/>
                <w:color w:val="000000"/>
                <w:sz w:val="21"/>
                <w:szCs w:val="21"/>
                <w:lang w:val="en-US" w:eastAsia="zh-CN"/>
              </w:rPr>
              <w:t>架子间距320mm，制作前需与后处理确认图纸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三楼</w:t>
            </w:r>
          </w:p>
        </w:tc>
        <w:tc>
          <w:tcPr>
            <w:tcW w:w="1350"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rPr>
              <w:t>后处理</w:t>
            </w:r>
            <w:r>
              <w:rPr>
                <w:rFonts w:hint="eastAsia" w:ascii="宋体" w:hAnsi="宋体" w:eastAsia="宋体" w:cs="宋体"/>
                <w:color w:val="000000"/>
                <w:sz w:val="21"/>
                <w:szCs w:val="21"/>
                <w:lang w:val="en-US" w:eastAsia="zh-CN"/>
              </w:rPr>
              <w:t>组</w:t>
            </w:r>
          </w:p>
        </w:tc>
        <w:tc>
          <w:tcPr>
            <w:tcW w:w="1614"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不锈钢推车</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1000×600×900</w:t>
            </w:r>
          </w:p>
        </w:tc>
        <w:tc>
          <w:tcPr>
            <w:tcW w:w="1529" w:type="dxa"/>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1"/>
                <w:szCs w:val="21"/>
                <w:u w:val="none"/>
                <w:lang w:val="en-US" w:eastAsia="zh-CN"/>
              </w:rPr>
            </w:pPr>
            <w:r>
              <w:rPr>
                <w:rFonts w:hint="eastAsia" w:ascii="宋体" w:hAnsi="宋体" w:cs="宋体"/>
                <w:i w:val="0"/>
                <w:color w:val="000000"/>
                <w:kern w:val="0"/>
                <w:sz w:val="21"/>
                <w:szCs w:val="21"/>
                <w:u w:val="none"/>
                <w:lang w:val="en-US" w:eastAsia="zh-CN"/>
              </w:rPr>
              <w:t>10</w:t>
            </w:r>
          </w:p>
        </w:tc>
        <w:tc>
          <w:tcPr>
            <w:tcW w:w="2874"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前轮为万向轮，后轮为定轮，轮径15CM，硅胶防震，板车厚度4CM，板面离地高24CM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三楼</w:t>
            </w:r>
          </w:p>
        </w:tc>
        <w:tc>
          <w:tcPr>
            <w:tcW w:w="1350"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rPr>
              <w:t>后处理</w:t>
            </w:r>
            <w:r>
              <w:rPr>
                <w:rFonts w:hint="eastAsia" w:ascii="宋体" w:hAnsi="宋体" w:eastAsia="宋体" w:cs="宋体"/>
                <w:color w:val="000000"/>
                <w:sz w:val="21"/>
                <w:szCs w:val="21"/>
                <w:lang w:val="en-US" w:eastAsia="zh-CN"/>
              </w:rPr>
              <w:t>组</w:t>
            </w:r>
          </w:p>
        </w:tc>
        <w:tc>
          <w:tcPr>
            <w:tcW w:w="1614"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cs="宋体"/>
                <w:i w:val="0"/>
                <w:color w:val="000000"/>
                <w:kern w:val="0"/>
                <w:sz w:val="21"/>
                <w:szCs w:val="21"/>
                <w:u w:val="none"/>
                <w:lang w:val="en-US" w:eastAsia="zh-CN"/>
              </w:rPr>
              <w:t>三层手术</w:t>
            </w:r>
            <w:r>
              <w:rPr>
                <w:rFonts w:hint="eastAsia" w:ascii="宋体" w:hAnsi="宋体" w:eastAsia="宋体" w:cs="宋体"/>
                <w:i w:val="0"/>
                <w:color w:val="000000"/>
                <w:kern w:val="0"/>
                <w:sz w:val="21"/>
                <w:szCs w:val="21"/>
                <w:u w:val="none"/>
                <w:lang w:val="en-US" w:eastAsia="zh-CN"/>
              </w:rPr>
              <w:t>推车</w:t>
            </w:r>
          </w:p>
        </w:tc>
        <w:tc>
          <w:tcPr>
            <w:tcW w:w="2063" w:type="dxa"/>
            <w:tcMar>
              <w:top w:w="15" w:type="dxa"/>
              <w:left w:w="15" w:type="dxa"/>
              <w:right w:w="15" w:type="dxa"/>
            </w:tcMar>
            <w:vAlign w:val="center"/>
          </w:tcPr>
          <w:p>
            <w:pPr>
              <w:widowControl/>
              <w:jc w:val="center"/>
              <w:textAlignment w:val="top"/>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800×500×1000</w:t>
            </w:r>
          </w:p>
        </w:tc>
        <w:tc>
          <w:tcPr>
            <w:tcW w:w="1529"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cs="宋体"/>
                <w:i w:val="0"/>
                <w:color w:val="000000"/>
                <w:kern w:val="0"/>
                <w:sz w:val="21"/>
                <w:szCs w:val="21"/>
                <w:u w:val="none"/>
                <w:lang w:val="en-US" w:eastAsia="zh-CN"/>
              </w:rPr>
              <w:t>10</w:t>
            </w:r>
          </w:p>
        </w:tc>
        <w:tc>
          <w:tcPr>
            <w:tcW w:w="2874" w:type="dxa"/>
            <w:tcMar>
              <w:top w:w="15" w:type="dxa"/>
              <w:left w:w="15" w:type="dxa"/>
              <w:right w:w="15" w:type="dxa"/>
            </w:tcMar>
            <w:vAlign w:val="bottom"/>
          </w:tcPr>
          <w:p>
            <w:pPr>
              <w:textAlignment w:val="bottom"/>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层间距28cm，4个万向轮，可制动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三楼</w:t>
            </w:r>
          </w:p>
        </w:tc>
        <w:tc>
          <w:tcPr>
            <w:tcW w:w="1350"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rPr>
              <w:t>后处理</w:t>
            </w:r>
            <w:r>
              <w:rPr>
                <w:rFonts w:hint="eastAsia" w:ascii="宋体" w:hAnsi="宋体" w:eastAsia="宋体" w:cs="宋体"/>
                <w:color w:val="000000"/>
                <w:sz w:val="21"/>
                <w:szCs w:val="21"/>
                <w:lang w:val="en-US" w:eastAsia="zh-CN"/>
              </w:rPr>
              <w:t>组</w:t>
            </w:r>
          </w:p>
        </w:tc>
        <w:tc>
          <w:tcPr>
            <w:tcW w:w="1614"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100L储液袋推车</w:t>
            </w:r>
          </w:p>
        </w:tc>
        <w:tc>
          <w:tcPr>
            <w:tcW w:w="2063" w:type="dxa"/>
            <w:tcMar>
              <w:top w:w="15" w:type="dxa"/>
              <w:left w:w="15" w:type="dxa"/>
              <w:right w:w="15" w:type="dxa"/>
            </w:tcMar>
            <w:vAlign w:val="center"/>
          </w:tcPr>
          <w:p>
            <w:pPr>
              <w:widowControl/>
              <w:jc w:val="center"/>
              <w:textAlignment w:val="top"/>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rPr>
              <w:t>100L</w:t>
            </w:r>
          </w:p>
        </w:tc>
        <w:tc>
          <w:tcPr>
            <w:tcW w:w="1529"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cs="宋体"/>
                <w:i w:val="0"/>
                <w:color w:val="000000"/>
                <w:kern w:val="0"/>
                <w:sz w:val="21"/>
                <w:szCs w:val="21"/>
                <w:u w:val="none"/>
                <w:lang w:val="en-US" w:eastAsia="zh-CN"/>
              </w:rPr>
              <w:t>14</w:t>
            </w:r>
          </w:p>
        </w:tc>
        <w:tc>
          <w:tcPr>
            <w:tcW w:w="2874"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设计并提供储液袋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center"/>
          </w:tcPr>
          <w:p>
            <w:pPr>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cs="宋体"/>
                <w:szCs w:val="21"/>
                <w:lang w:val="en-US" w:eastAsia="zh-CN"/>
              </w:rPr>
              <w:t>不锈钢桶</w:t>
            </w:r>
          </w:p>
        </w:tc>
        <w:tc>
          <w:tcPr>
            <w:tcW w:w="2063"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直径60cm，高度50cm</w:t>
            </w:r>
          </w:p>
        </w:tc>
        <w:tc>
          <w:tcPr>
            <w:tcW w:w="1529" w:type="dxa"/>
            <w:tcMar>
              <w:top w:w="15" w:type="dxa"/>
              <w:left w:w="15" w:type="dxa"/>
              <w:right w:w="15" w:type="dxa"/>
            </w:tcMar>
            <w:vAlign w:val="center"/>
          </w:tcPr>
          <w:p>
            <w:pPr>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szCs w:val="21"/>
                <w:lang w:val="en-US" w:eastAsia="zh-CN"/>
              </w:rPr>
              <w:t>1</w:t>
            </w:r>
          </w:p>
        </w:tc>
        <w:tc>
          <w:tcPr>
            <w:tcW w:w="2874" w:type="dxa"/>
            <w:tcMar>
              <w:top w:w="15" w:type="dxa"/>
              <w:left w:w="15" w:type="dxa"/>
              <w:right w:w="15" w:type="dxa"/>
            </w:tcMar>
            <w:vAlign w:val="center"/>
          </w:tcPr>
          <w:p>
            <w:pPr>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color w:val="000000"/>
                <w:szCs w:val="21"/>
                <w:lang w:val="en-US" w:eastAsia="zh-CN"/>
              </w:rPr>
              <w:t>带把手（活动）；316不锈钢；表面抛光≤0.4μm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center"/>
          </w:tcPr>
          <w:p>
            <w:pPr>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cs="宋体"/>
                <w:color w:val="000000"/>
                <w:szCs w:val="21"/>
                <w:lang w:val="en-US" w:eastAsia="zh-CN"/>
              </w:rPr>
              <w:t>不锈钢储物盒</w:t>
            </w:r>
          </w:p>
        </w:tc>
        <w:tc>
          <w:tcPr>
            <w:tcW w:w="2063" w:type="dxa"/>
            <w:tcMar>
              <w:top w:w="15" w:type="dxa"/>
              <w:left w:w="15" w:type="dxa"/>
              <w:right w:w="15" w:type="dxa"/>
            </w:tcMar>
            <w:vAlign w:val="center"/>
          </w:tcPr>
          <w:p>
            <w:pPr>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250×150×150</w:t>
            </w:r>
          </w:p>
        </w:tc>
        <w:tc>
          <w:tcPr>
            <w:tcW w:w="1529" w:type="dxa"/>
            <w:tcMar>
              <w:top w:w="15" w:type="dxa"/>
              <w:left w:w="15" w:type="dxa"/>
              <w:right w:w="15" w:type="dxa"/>
            </w:tcMar>
            <w:vAlign w:val="bottom"/>
          </w:tcPr>
          <w:p>
            <w:pPr>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szCs w:val="21"/>
                <w:lang w:val="en-US" w:eastAsia="zh-CN"/>
              </w:rPr>
              <w:t>5</w:t>
            </w:r>
          </w:p>
        </w:tc>
        <w:tc>
          <w:tcPr>
            <w:tcW w:w="2874" w:type="dxa"/>
            <w:tcMar>
              <w:top w:w="15" w:type="dxa"/>
              <w:left w:w="15" w:type="dxa"/>
              <w:right w:w="15" w:type="dxa"/>
            </w:tcMar>
            <w:vAlign w:val="bottom"/>
          </w:tcPr>
          <w:p>
            <w:pPr>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center"/>
          </w:tcPr>
          <w:p>
            <w:pPr>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cs="宋体"/>
                <w:color w:val="000000"/>
                <w:szCs w:val="21"/>
                <w:lang w:val="en-US" w:eastAsia="zh-CN"/>
              </w:rPr>
              <w:t>不锈钢储物盒</w:t>
            </w:r>
          </w:p>
        </w:tc>
        <w:tc>
          <w:tcPr>
            <w:tcW w:w="2063" w:type="dxa"/>
            <w:tcMar>
              <w:top w:w="15" w:type="dxa"/>
              <w:left w:w="15" w:type="dxa"/>
              <w:right w:w="15" w:type="dxa"/>
            </w:tcMar>
            <w:vAlign w:val="center"/>
          </w:tcPr>
          <w:p>
            <w:pPr>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1200×400×400</w:t>
            </w:r>
          </w:p>
        </w:tc>
        <w:tc>
          <w:tcPr>
            <w:tcW w:w="1529" w:type="dxa"/>
            <w:tcMar>
              <w:top w:w="15" w:type="dxa"/>
              <w:left w:w="15" w:type="dxa"/>
              <w:right w:w="15" w:type="dxa"/>
            </w:tcMar>
            <w:vAlign w:val="bottom"/>
          </w:tcPr>
          <w:p>
            <w:pPr>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szCs w:val="21"/>
                <w:lang w:val="en-US" w:eastAsia="zh-CN"/>
              </w:rPr>
              <w:t>5</w:t>
            </w:r>
          </w:p>
        </w:tc>
        <w:tc>
          <w:tcPr>
            <w:tcW w:w="2874" w:type="dxa"/>
            <w:tcMar>
              <w:top w:w="15" w:type="dxa"/>
              <w:left w:w="15" w:type="dxa"/>
              <w:right w:w="15" w:type="dxa"/>
            </w:tcMar>
            <w:vAlign w:val="bottom"/>
          </w:tcPr>
          <w:p>
            <w:pPr>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bottom"/>
          </w:tcPr>
          <w:p>
            <w:pPr>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cs="宋体"/>
                <w:szCs w:val="21"/>
                <w:lang w:val="en-US" w:eastAsia="zh-CN"/>
              </w:rPr>
              <w:t>固定地台</w:t>
            </w:r>
          </w:p>
        </w:tc>
        <w:tc>
          <w:tcPr>
            <w:tcW w:w="2063" w:type="dxa"/>
            <w:tcMar>
              <w:top w:w="15" w:type="dxa"/>
              <w:left w:w="15" w:type="dxa"/>
              <w:right w:w="15" w:type="dxa"/>
            </w:tcMar>
            <w:vAlign w:val="bottom"/>
          </w:tcPr>
          <w:p>
            <w:pPr>
              <w:jc w:val="center"/>
              <w:textAlignment w:val="top"/>
              <w:rPr>
                <w:rFonts w:hint="eastAsia" w:ascii="宋体" w:hAnsi="宋体" w:eastAsia="宋体" w:cs="宋体"/>
                <w:i w:val="0"/>
                <w:iCs w:val="0"/>
                <w:color w:val="000000"/>
                <w:kern w:val="0"/>
                <w:sz w:val="21"/>
                <w:szCs w:val="21"/>
                <w:u w:val="none"/>
                <w:lang w:val="en-US" w:eastAsia="zh-CN"/>
              </w:rPr>
            </w:pPr>
            <w:r>
              <w:rPr>
                <w:rFonts w:hint="eastAsia" w:ascii="宋体" w:hAnsi="宋体" w:cs="宋体"/>
                <w:color w:val="000000"/>
                <w:szCs w:val="21"/>
                <w:lang w:val="en-US" w:eastAsia="zh-CN"/>
              </w:rPr>
              <w:t>700×700×100</w:t>
            </w:r>
          </w:p>
        </w:tc>
        <w:tc>
          <w:tcPr>
            <w:tcW w:w="1529" w:type="dxa"/>
            <w:tcMar>
              <w:top w:w="15" w:type="dxa"/>
              <w:left w:w="15" w:type="dxa"/>
              <w:right w:w="15" w:type="dxa"/>
            </w:tcMar>
            <w:vAlign w:val="bottom"/>
          </w:tcPr>
          <w:p>
            <w:pPr>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szCs w:val="21"/>
                <w:lang w:val="en-US" w:eastAsia="zh-CN"/>
              </w:rPr>
              <w:t>1</w:t>
            </w:r>
          </w:p>
        </w:tc>
        <w:tc>
          <w:tcPr>
            <w:tcW w:w="2874" w:type="dxa"/>
            <w:tcMar>
              <w:top w:w="15" w:type="dxa"/>
              <w:left w:w="15" w:type="dxa"/>
              <w:right w:w="15" w:type="dxa"/>
            </w:tcMar>
            <w:vAlign w:val="bottom"/>
          </w:tcPr>
          <w:p>
            <w:pPr>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color w:val="000000"/>
                <w:szCs w:val="21"/>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center"/>
          </w:tcPr>
          <w:p>
            <w:pPr>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cs="宋体"/>
                <w:color w:val="000000"/>
                <w:szCs w:val="21"/>
                <w:lang w:val="en-US" w:eastAsia="zh-CN"/>
              </w:rPr>
              <w:t>不锈钢笔筒</w:t>
            </w:r>
          </w:p>
        </w:tc>
        <w:tc>
          <w:tcPr>
            <w:tcW w:w="2063" w:type="dxa"/>
            <w:tcMar>
              <w:top w:w="15" w:type="dxa"/>
              <w:left w:w="15" w:type="dxa"/>
              <w:right w:w="15" w:type="dxa"/>
            </w:tcMar>
            <w:vAlign w:val="center"/>
          </w:tcPr>
          <w:p>
            <w:pPr>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直径8cm，高度10cm</w:t>
            </w:r>
          </w:p>
        </w:tc>
        <w:tc>
          <w:tcPr>
            <w:tcW w:w="1529" w:type="dxa"/>
            <w:tcMar>
              <w:top w:w="15" w:type="dxa"/>
              <w:left w:w="15" w:type="dxa"/>
              <w:right w:w="15" w:type="dxa"/>
            </w:tcMar>
            <w:vAlign w:val="bottom"/>
          </w:tcPr>
          <w:p>
            <w:pPr>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cs="宋体"/>
                <w:szCs w:val="21"/>
                <w:lang w:val="en-US" w:eastAsia="zh-CN"/>
              </w:rPr>
              <w:t>4</w:t>
            </w:r>
          </w:p>
        </w:tc>
        <w:tc>
          <w:tcPr>
            <w:tcW w:w="2874" w:type="dxa"/>
            <w:tcMar>
              <w:top w:w="15" w:type="dxa"/>
              <w:left w:w="15" w:type="dxa"/>
              <w:right w:w="15" w:type="dxa"/>
            </w:tcMar>
            <w:vAlign w:val="bottom"/>
          </w:tcPr>
          <w:p>
            <w:pPr>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jc w:val="center"/>
              <w:textAlignment w:val="top"/>
              <w:rPr>
                <w:rFonts w:hint="eastAsia" w:ascii="宋体" w:hAnsi="宋体" w:eastAsia="宋体" w:cs="宋体"/>
                <w:i w:val="0"/>
                <w:color w:val="000000"/>
                <w:kern w:val="0"/>
                <w:sz w:val="21"/>
                <w:szCs w:val="21"/>
                <w:u w:val="none"/>
                <w:lang w:val="en-US" w:eastAsia="zh-CN"/>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center"/>
          </w:tcPr>
          <w:p>
            <w:pPr>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cs="宋体"/>
                <w:color w:val="000000"/>
                <w:szCs w:val="21"/>
                <w:lang w:val="en-US" w:eastAsia="zh-CN"/>
              </w:rPr>
              <w:t>不锈钢推车</w:t>
            </w:r>
          </w:p>
        </w:tc>
        <w:tc>
          <w:tcPr>
            <w:tcW w:w="2063"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1000×600×900</w:t>
            </w:r>
          </w:p>
        </w:tc>
        <w:tc>
          <w:tcPr>
            <w:tcW w:w="1529" w:type="dxa"/>
            <w:tcMar>
              <w:top w:w="15" w:type="dxa"/>
              <w:left w:w="15" w:type="dxa"/>
              <w:right w:w="15" w:type="dxa"/>
            </w:tcMar>
            <w:vAlign w:val="center"/>
          </w:tcPr>
          <w:p>
            <w:pPr>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cs="宋体"/>
                <w:color w:val="000000"/>
                <w:szCs w:val="21"/>
                <w:lang w:val="en-US" w:eastAsia="zh-CN"/>
              </w:rPr>
              <w:t>7</w:t>
            </w:r>
          </w:p>
        </w:tc>
        <w:tc>
          <w:tcPr>
            <w:tcW w:w="2874"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前轮为万向轮，后轮为定轮，轮径15CM，硅胶防震，板车厚度4CM，板面离地高24CM。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称量盘</w:t>
            </w:r>
          </w:p>
        </w:tc>
        <w:tc>
          <w:tcPr>
            <w:tcW w:w="2063"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szCs w:val="21"/>
                <w:lang w:val="en-US" w:eastAsia="zh-CN"/>
              </w:rPr>
              <w:t>400×400×70</w:t>
            </w:r>
          </w:p>
        </w:tc>
        <w:tc>
          <w:tcPr>
            <w:tcW w:w="1529"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6</w:t>
            </w:r>
          </w:p>
        </w:tc>
        <w:tc>
          <w:tcPr>
            <w:tcW w:w="2874"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定制板凳</w:t>
            </w:r>
          </w:p>
        </w:tc>
        <w:tc>
          <w:tcPr>
            <w:tcW w:w="2063"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350×250×500</w:t>
            </w:r>
          </w:p>
        </w:tc>
        <w:tc>
          <w:tcPr>
            <w:tcW w:w="1529"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8</w:t>
            </w:r>
          </w:p>
        </w:tc>
        <w:tc>
          <w:tcPr>
            <w:tcW w:w="2874"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定制板凳</w:t>
            </w:r>
          </w:p>
        </w:tc>
        <w:tc>
          <w:tcPr>
            <w:tcW w:w="2063"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350×250×700</w:t>
            </w:r>
          </w:p>
        </w:tc>
        <w:tc>
          <w:tcPr>
            <w:tcW w:w="1529"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5</w:t>
            </w:r>
          </w:p>
        </w:tc>
        <w:tc>
          <w:tcPr>
            <w:tcW w:w="2874"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三楼</w:t>
            </w:r>
          </w:p>
        </w:tc>
        <w:tc>
          <w:tcPr>
            <w:tcW w:w="1350"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配液组</w:t>
            </w:r>
          </w:p>
        </w:tc>
        <w:tc>
          <w:tcPr>
            <w:tcW w:w="1614"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定制板凳</w:t>
            </w:r>
          </w:p>
        </w:tc>
        <w:tc>
          <w:tcPr>
            <w:tcW w:w="2063"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350×250×300</w:t>
            </w:r>
          </w:p>
        </w:tc>
        <w:tc>
          <w:tcPr>
            <w:tcW w:w="1529"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12</w:t>
            </w:r>
          </w:p>
        </w:tc>
        <w:tc>
          <w:tcPr>
            <w:tcW w:w="2874" w:type="dxa"/>
            <w:tcMar>
              <w:top w:w="15" w:type="dxa"/>
              <w:left w:w="15" w:type="dxa"/>
              <w:right w:w="15" w:type="dxa"/>
            </w:tcMar>
            <w:vAlign w:val="bottom"/>
          </w:tcPr>
          <w:p>
            <w:pPr>
              <w:jc w:val="center"/>
              <w:textAlignment w:val="top"/>
              <w:rPr>
                <w:rFonts w:hint="eastAsia" w:ascii="宋体" w:hAnsi="宋体" w:eastAsia="宋体" w:cs="宋体"/>
                <w:color w:val="000000"/>
                <w:sz w:val="21"/>
                <w:szCs w:val="21"/>
                <w:lang w:val="en-US" w:eastAsia="zh-CN" w:bidi="ar-SA"/>
              </w:rPr>
            </w:pPr>
            <w:r>
              <w:rPr>
                <w:rFonts w:hint="eastAsia" w:ascii="宋体" w:hAnsi="宋体" w:cs="宋体"/>
                <w:color w:val="000000"/>
                <w:szCs w:val="21"/>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二楼</w:t>
            </w:r>
          </w:p>
        </w:tc>
        <w:tc>
          <w:tcPr>
            <w:tcW w:w="1350"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QC防护区G202</w:t>
            </w:r>
          </w:p>
        </w:tc>
        <w:tc>
          <w:tcPr>
            <w:tcW w:w="1614"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更衣柜</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1000×500×1800</w:t>
            </w:r>
          </w:p>
        </w:tc>
        <w:tc>
          <w:tcPr>
            <w:tcW w:w="1529"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上下六门，内置分段隔板，内空均分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三楼</w:t>
            </w:r>
          </w:p>
        </w:tc>
        <w:tc>
          <w:tcPr>
            <w:tcW w:w="1350"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检定间A311</w:t>
            </w:r>
          </w:p>
        </w:tc>
        <w:tc>
          <w:tcPr>
            <w:tcW w:w="161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试管架</w:t>
            </w:r>
          </w:p>
        </w:tc>
        <w:tc>
          <w:tcPr>
            <w:tcW w:w="2063"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20×10×4.5</w:t>
            </w:r>
          </w:p>
        </w:tc>
        <w:tc>
          <w:tcPr>
            <w:tcW w:w="1529" w:type="dxa"/>
            <w:tcMar>
              <w:top w:w="15" w:type="dxa"/>
              <w:left w:w="15" w:type="dxa"/>
              <w:right w:w="15" w:type="dxa"/>
            </w:tcMar>
            <w:vAlign w:val="bottom"/>
          </w:tcPr>
          <w:p>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1.6cm直径/孔</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10孔*5排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三楼</w:t>
            </w:r>
          </w:p>
        </w:tc>
        <w:tc>
          <w:tcPr>
            <w:tcW w:w="1350"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检定间A311</w:t>
            </w:r>
          </w:p>
        </w:tc>
        <w:tc>
          <w:tcPr>
            <w:tcW w:w="161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试管架</w:t>
            </w:r>
          </w:p>
        </w:tc>
        <w:tc>
          <w:tcPr>
            <w:tcW w:w="2063"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lang w:val="en-US" w:eastAsia="zh-CN"/>
              </w:rPr>
              <w:t>×4.5</w:t>
            </w:r>
          </w:p>
        </w:tc>
        <w:tc>
          <w:tcPr>
            <w:tcW w:w="1529" w:type="dxa"/>
            <w:tcMar>
              <w:top w:w="15" w:type="dxa"/>
              <w:left w:w="15" w:type="dxa"/>
              <w:right w:w="15" w:type="dxa"/>
            </w:tcMar>
            <w:vAlign w:val="bottom"/>
          </w:tcPr>
          <w:p>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2.0cm直径/孔</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lang w:val="en-US" w:eastAsia="zh-CN"/>
              </w:rPr>
              <w:t>孔*</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val="en-US" w:eastAsia="zh-CN"/>
              </w:rPr>
              <w:t>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三楼</w:t>
            </w:r>
          </w:p>
        </w:tc>
        <w:tc>
          <w:tcPr>
            <w:tcW w:w="1350"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检定间A311</w:t>
            </w:r>
          </w:p>
        </w:tc>
        <w:tc>
          <w:tcPr>
            <w:tcW w:w="1614"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不锈钢圆凳（带液压杆升降）</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260×400</w:t>
            </w:r>
          </w:p>
        </w:tc>
        <w:tc>
          <w:tcPr>
            <w:tcW w:w="1529"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2874"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二三楼</w:t>
            </w:r>
          </w:p>
        </w:tc>
        <w:tc>
          <w:tcPr>
            <w:tcW w:w="1350" w:type="dxa"/>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color w:val="000000"/>
                <w:sz w:val="21"/>
                <w:szCs w:val="21"/>
                <w:lang w:val="en-US" w:eastAsia="zh-CN"/>
              </w:rPr>
              <w:t>综合组外围走廊</w:t>
            </w:r>
          </w:p>
        </w:tc>
        <w:tc>
          <w:tcPr>
            <w:tcW w:w="1614"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不锈钢推车</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1000×600×900</w:t>
            </w:r>
          </w:p>
        </w:tc>
        <w:tc>
          <w:tcPr>
            <w:tcW w:w="1529"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12</w:t>
            </w:r>
          </w:p>
        </w:tc>
        <w:tc>
          <w:tcPr>
            <w:tcW w:w="2874" w:type="dxa"/>
            <w:tcMar>
              <w:top w:w="15" w:type="dxa"/>
              <w:left w:w="15" w:type="dxa"/>
              <w:right w:w="15" w:type="dxa"/>
            </w:tcMar>
            <w:vAlign w:val="bottom"/>
          </w:tcPr>
          <w:p>
            <w:pPr>
              <w:textAlignment w:val="bottom"/>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前轮为万向轮，后轮为定轮，轮径15CM，硅胶防震，板车厚度4CM，板面离地高24CM。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三楼</w:t>
            </w:r>
          </w:p>
        </w:tc>
        <w:tc>
          <w:tcPr>
            <w:tcW w:w="1350"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综合组</w:t>
            </w:r>
          </w:p>
        </w:tc>
        <w:tc>
          <w:tcPr>
            <w:tcW w:w="1614"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不锈钢灭菌箱</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600×400×300</w:t>
            </w:r>
          </w:p>
        </w:tc>
        <w:tc>
          <w:tcPr>
            <w:tcW w:w="1529"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12</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p>
        </w:tc>
        <w:tc>
          <w:tcPr>
            <w:tcW w:w="1350" w:type="dxa"/>
            <w:tcMar>
              <w:top w:w="15" w:type="dxa"/>
              <w:left w:w="15" w:type="dxa"/>
              <w:right w:w="15" w:type="dxa"/>
            </w:tcMar>
            <w:vAlign w:val="center"/>
          </w:tcPr>
          <w:p>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工程运维组</w:t>
            </w:r>
          </w:p>
        </w:tc>
        <w:tc>
          <w:tcPr>
            <w:tcW w:w="1614" w:type="dxa"/>
            <w:tcMar>
              <w:top w:w="15" w:type="dxa"/>
              <w:left w:w="15" w:type="dxa"/>
              <w:right w:w="15" w:type="dxa"/>
            </w:tcMar>
            <w:vAlign w:val="center"/>
          </w:tcPr>
          <w:p>
            <w:pPr>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不锈钢推车</w:t>
            </w:r>
          </w:p>
        </w:tc>
        <w:tc>
          <w:tcPr>
            <w:tcW w:w="2063" w:type="dxa"/>
            <w:tcMar>
              <w:top w:w="15" w:type="dxa"/>
              <w:left w:w="15" w:type="dxa"/>
              <w:right w:w="15" w:type="dxa"/>
            </w:tcMar>
            <w:vAlign w:val="center"/>
          </w:tcPr>
          <w:p>
            <w:pPr>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1000×600×900</w:t>
            </w:r>
          </w:p>
        </w:tc>
        <w:tc>
          <w:tcPr>
            <w:tcW w:w="1529" w:type="dxa"/>
            <w:tcMar>
              <w:top w:w="15" w:type="dxa"/>
              <w:left w:w="15" w:type="dxa"/>
              <w:right w:w="15" w:type="dxa"/>
            </w:tcMar>
            <w:vAlign w:val="center"/>
          </w:tcPr>
          <w:p>
            <w:pPr>
              <w:jc w:val="center"/>
              <w:textAlignment w:val="center"/>
              <w:rPr>
                <w:rFonts w:hint="default" w:ascii="宋体" w:hAnsi="宋体" w:cs="宋体"/>
                <w:color w:val="000000"/>
                <w:sz w:val="21"/>
                <w:szCs w:val="21"/>
                <w:lang w:val="en-US" w:eastAsia="zh-CN"/>
              </w:rPr>
            </w:pPr>
            <w:r>
              <w:rPr>
                <w:rFonts w:hint="eastAsia" w:ascii="宋体" w:hAnsi="宋体" w:cs="宋体"/>
                <w:color w:val="000000"/>
                <w:szCs w:val="21"/>
                <w:lang w:val="en-US" w:eastAsia="zh-CN"/>
              </w:rPr>
              <w:t>10</w:t>
            </w:r>
          </w:p>
        </w:tc>
        <w:tc>
          <w:tcPr>
            <w:tcW w:w="2874" w:type="dxa"/>
            <w:tcMar>
              <w:top w:w="15" w:type="dxa"/>
              <w:left w:w="15" w:type="dxa"/>
              <w:right w:w="15" w:type="dxa"/>
            </w:tcMar>
            <w:vAlign w:val="center"/>
          </w:tcPr>
          <w:p>
            <w:pPr>
              <w:jc w:val="center"/>
              <w:textAlignment w:val="bottom"/>
              <w:rPr>
                <w:rFonts w:hint="eastAsia" w:ascii="宋体" w:hAnsi="宋体" w:eastAsia="宋体" w:cs="宋体"/>
                <w:color w:val="000000"/>
                <w:sz w:val="21"/>
                <w:szCs w:val="21"/>
                <w:lang w:val="en-US" w:eastAsia="zh-CN"/>
              </w:rPr>
            </w:pPr>
            <w:r>
              <w:rPr>
                <w:rFonts w:hint="eastAsia" w:ascii="宋体" w:hAnsi="宋体" w:cs="宋体"/>
                <w:color w:val="000000"/>
                <w:szCs w:val="21"/>
                <w:lang w:val="en-US" w:eastAsia="zh-CN"/>
              </w:rPr>
              <w:t>前轮为万向轮，后轮为定轮，轮径15CM，硅胶防震，板车厚度4CM，板面离地高24CM。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center"/>
          </w:tcPr>
          <w:p>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负一楼</w:t>
            </w:r>
          </w:p>
        </w:tc>
        <w:tc>
          <w:tcPr>
            <w:tcW w:w="1350" w:type="dxa"/>
            <w:tcMar>
              <w:top w:w="15" w:type="dxa"/>
              <w:left w:w="15" w:type="dxa"/>
              <w:right w:w="15" w:type="dxa"/>
            </w:tcMar>
            <w:vAlign w:val="center"/>
          </w:tcPr>
          <w:p>
            <w:pPr>
              <w:widowControl/>
              <w:jc w:val="center"/>
              <w:textAlignment w:val="top"/>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废液灭活防护区</w:t>
            </w:r>
          </w:p>
        </w:tc>
        <w:tc>
          <w:tcPr>
            <w:tcW w:w="1614"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更衣柜</w:t>
            </w:r>
          </w:p>
        </w:tc>
        <w:tc>
          <w:tcPr>
            <w:tcW w:w="2063" w:type="dxa"/>
            <w:tcMar>
              <w:top w:w="15" w:type="dxa"/>
              <w:left w:w="15"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1000×500×1800</w:t>
            </w:r>
          </w:p>
        </w:tc>
        <w:tc>
          <w:tcPr>
            <w:tcW w:w="1529" w:type="dxa"/>
            <w:tcMar>
              <w:top w:w="15" w:type="dxa"/>
              <w:left w:w="15" w:type="dxa"/>
              <w:right w:w="15" w:type="dxa"/>
            </w:tcMar>
            <w:vAlign w:val="center"/>
          </w:tcPr>
          <w:p>
            <w:pPr>
              <w:widowControl/>
              <w:jc w:val="center"/>
              <w:textAlignment w:val="top"/>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上下六门，内置分段隔板，内空均分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1008"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二楼三楼</w:t>
            </w:r>
          </w:p>
        </w:tc>
        <w:tc>
          <w:tcPr>
            <w:tcW w:w="1350"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公用</w:t>
            </w:r>
          </w:p>
        </w:tc>
        <w:tc>
          <w:tcPr>
            <w:tcW w:w="161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不锈钢盒子</w:t>
            </w:r>
          </w:p>
        </w:tc>
        <w:tc>
          <w:tcPr>
            <w:tcW w:w="2063"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400×300×200</w:t>
            </w:r>
          </w:p>
        </w:tc>
        <w:tc>
          <w:tcPr>
            <w:tcW w:w="1529"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0</w:t>
            </w:r>
          </w:p>
        </w:tc>
        <w:tc>
          <w:tcPr>
            <w:tcW w:w="2874" w:type="dxa"/>
            <w:tcMar>
              <w:top w:w="15" w:type="dxa"/>
              <w:left w:w="15" w:type="dxa"/>
              <w:right w:w="15" w:type="dxa"/>
            </w:tcMar>
            <w:vAlign w:val="bottom"/>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三更废弃物收集</w:t>
            </w:r>
          </w:p>
        </w:tc>
      </w:tr>
      <w:permEnd w:id="38"/>
    </w:tbl>
    <w:p>
      <w:pPr>
        <w:pStyle w:val="25"/>
        <w:spacing w:before="0" w:line="360" w:lineRule="auto"/>
        <w:jc w:val="left"/>
        <w:rPr>
          <w:color w:val="000000"/>
          <w:szCs w:val="21"/>
          <w:lang w:eastAsia="zh-CN"/>
        </w:rPr>
      </w:pPr>
    </w:p>
    <w:sectPr>
      <w:headerReference r:id="rId4" w:type="default"/>
      <w:footerReference r:id="rId5" w:type="default"/>
      <w:pgSz w:w="11907" w:h="16840"/>
      <w:pgMar w:top="1134" w:right="992" w:bottom="1134" w:left="567"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auto"/>
    <w:pitch w:val="default"/>
    <w:sig w:usb0="E10002FF" w:usb1="4000ACFF" w:usb2="00000009" w:usb3="00000000" w:csb0="2000019F" w:csb1="00000000"/>
  </w:font>
  <w:font w:name="等线">
    <w:altName w:val="宋体"/>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2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0"/>
  <w:defaultTabStop w:val="720"/>
  <w:drawingGridHorizontalSpacing w:val="105"/>
  <w:drawingGridVerticalSpacing w:val="158"/>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87A55"/>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01CB"/>
    <w:rsid w:val="001814FA"/>
    <w:rsid w:val="001815A9"/>
    <w:rsid w:val="00182A27"/>
    <w:rsid w:val="00184DDD"/>
    <w:rsid w:val="00184FFD"/>
    <w:rsid w:val="00185449"/>
    <w:rsid w:val="00186314"/>
    <w:rsid w:val="00187B04"/>
    <w:rsid w:val="00190000"/>
    <w:rsid w:val="00191A5E"/>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0581"/>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66C"/>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24B"/>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7AEA"/>
    <w:rsid w:val="002F1C5E"/>
    <w:rsid w:val="002F1D63"/>
    <w:rsid w:val="002F340E"/>
    <w:rsid w:val="002F4392"/>
    <w:rsid w:val="002F4641"/>
    <w:rsid w:val="002F4B22"/>
    <w:rsid w:val="00302176"/>
    <w:rsid w:val="00302AF8"/>
    <w:rsid w:val="00304F96"/>
    <w:rsid w:val="00306131"/>
    <w:rsid w:val="003063C5"/>
    <w:rsid w:val="00311B2C"/>
    <w:rsid w:val="00311EE4"/>
    <w:rsid w:val="0031318B"/>
    <w:rsid w:val="003137B7"/>
    <w:rsid w:val="003148D1"/>
    <w:rsid w:val="00314CFF"/>
    <w:rsid w:val="00315038"/>
    <w:rsid w:val="00315C3E"/>
    <w:rsid w:val="00316EEF"/>
    <w:rsid w:val="003172B7"/>
    <w:rsid w:val="00321298"/>
    <w:rsid w:val="00321D97"/>
    <w:rsid w:val="0032205F"/>
    <w:rsid w:val="00323423"/>
    <w:rsid w:val="003240E5"/>
    <w:rsid w:val="00324B23"/>
    <w:rsid w:val="003257E0"/>
    <w:rsid w:val="00325FFA"/>
    <w:rsid w:val="003277D4"/>
    <w:rsid w:val="00330D16"/>
    <w:rsid w:val="00330FFF"/>
    <w:rsid w:val="00333C91"/>
    <w:rsid w:val="0033505F"/>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2268"/>
    <w:rsid w:val="003C558E"/>
    <w:rsid w:val="003C58E3"/>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E780F"/>
    <w:rsid w:val="003F3F47"/>
    <w:rsid w:val="003F6C14"/>
    <w:rsid w:val="003F6E0C"/>
    <w:rsid w:val="004003A8"/>
    <w:rsid w:val="0040240E"/>
    <w:rsid w:val="00402756"/>
    <w:rsid w:val="00402A78"/>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48D"/>
    <w:rsid w:val="00460711"/>
    <w:rsid w:val="0046108B"/>
    <w:rsid w:val="00467085"/>
    <w:rsid w:val="00467AE6"/>
    <w:rsid w:val="00467EC9"/>
    <w:rsid w:val="004765E9"/>
    <w:rsid w:val="00477791"/>
    <w:rsid w:val="00480286"/>
    <w:rsid w:val="00480C3B"/>
    <w:rsid w:val="00480FE3"/>
    <w:rsid w:val="00481C94"/>
    <w:rsid w:val="00484A8D"/>
    <w:rsid w:val="00486A4E"/>
    <w:rsid w:val="00486B09"/>
    <w:rsid w:val="0049139F"/>
    <w:rsid w:val="0049309C"/>
    <w:rsid w:val="00494F07"/>
    <w:rsid w:val="00496116"/>
    <w:rsid w:val="004965A0"/>
    <w:rsid w:val="00497335"/>
    <w:rsid w:val="004A05A7"/>
    <w:rsid w:val="004A2E86"/>
    <w:rsid w:val="004A3F98"/>
    <w:rsid w:val="004A5532"/>
    <w:rsid w:val="004A5958"/>
    <w:rsid w:val="004A725A"/>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48E4"/>
    <w:rsid w:val="004D67B1"/>
    <w:rsid w:val="004D7128"/>
    <w:rsid w:val="004D751D"/>
    <w:rsid w:val="004E05C2"/>
    <w:rsid w:val="004E0B02"/>
    <w:rsid w:val="004E0C0D"/>
    <w:rsid w:val="004E255F"/>
    <w:rsid w:val="004E4C2D"/>
    <w:rsid w:val="004E7AB0"/>
    <w:rsid w:val="004F0539"/>
    <w:rsid w:val="004F095F"/>
    <w:rsid w:val="004F10A4"/>
    <w:rsid w:val="004F342E"/>
    <w:rsid w:val="004F4C63"/>
    <w:rsid w:val="004F5AE6"/>
    <w:rsid w:val="004F5C19"/>
    <w:rsid w:val="004F7B6A"/>
    <w:rsid w:val="005006FE"/>
    <w:rsid w:val="0050090F"/>
    <w:rsid w:val="005015B9"/>
    <w:rsid w:val="0050208D"/>
    <w:rsid w:val="005024C7"/>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99F"/>
    <w:rsid w:val="00561E9C"/>
    <w:rsid w:val="00565C7A"/>
    <w:rsid w:val="00567E14"/>
    <w:rsid w:val="005705A7"/>
    <w:rsid w:val="0057277E"/>
    <w:rsid w:val="00572F0E"/>
    <w:rsid w:val="005739EA"/>
    <w:rsid w:val="00574D60"/>
    <w:rsid w:val="00575318"/>
    <w:rsid w:val="00577142"/>
    <w:rsid w:val="005773E5"/>
    <w:rsid w:val="0058090E"/>
    <w:rsid w:val="00581AD5"/>
    <w:rsid w:val="00581C4E"/>
    <w:rsid w:val="00582DB0"/>
    <w:rsid w:val="0058349B"/>
    <w:rsid w:val="00584B8E"/>
    <w:rsid w:val="00586EFD"/>
    <w:rsid w:val="00587AC1"/>
    <w:rsid w:val="00587DE8"/>
    <w:rsid w:val="00587E2F"/>
    <w:rsid w:val="00590694"/>
    <w:rsid w:val="00590AA6"/>
    <w:rsid w:val="00591A70"/>
    <w:rsid w:val="00592624"/>
    <w:rsid w:val="00593AF8"/>
    <w:rsid w:val="00593EC9"/>
    <w:rsid w:val="005964B1"/>
    <w:rsid w:val="005965FD"/>
    <w:rsid w:val="00597FCC"/>
    <w:rsid w:val="005A132A"/>
    <w:rsid w:val="005A2F57"/>
    <w:rsid w:val="005A337C"/>
    <w:rsid w:val="005A34B0"/>
    <w:rsid w:val="005A3ECF"/>
    <w:rsid w:val="005A6821"/>
    <w:rsid w:val="005A7402"/>
    <w:rsid w:val="005B2393"/>
    <w:rsid w:val="005B4C91"/>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4B5F"/>
    <w:rsid w:val="005E2725"/>
    <w:rsid w:val="005E65FA"/>
    <w:rsid w:val="005F19CE"/>
    <w:rsid w:val="005F28F4"/>
    <w:rsid w:val="005F43BB"/>
    <w:rsid w:val="005F503E"/>
    <w:rsid w:val="005F6CB3"/>
    <w:rsid w:val="005F7612"/>
    <w:rsid w:val="005F7663"/>
    <w:rsid w:val="005F7D63"/>
    <w:rsid w:val="00607170"/>
    <w:rsid w:val="00607408"/>
    <w:rsid w:val="00610AEE"/>
    <w:rsid w:val="0061649D"/>
    <w:rsid w:val="00616BAC"/>
    <w:rsid w:val="00620598"/>
    <w:rsid w:val="00620FEC"/>
    <w:rsid w:val="006214B6"/>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C70"/>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849"/>
    <w:rsid w:val="00672B86"/>
    <w:rsid w:val="00673031"/>
    <w:rsid w:val="00673EB3"/>
    <w:rsid w:val="00680BE8"/>
    <w:rsid w:val="00686409"/>
    <w:rsid w:val="00686B1D"/>
    <w:rsid w:val="00686D19"/>
    <w:rsid w:val="0068777F"/>
    <w:rsid w:val="00693018"/>
    <w:rsid w:val="006A0059"/>
    <w:rsid w:val="006A0691"/>
    <w:rsid w:val="006A7425"/>
    <w:rsid w:val="006B058A"/>
    <w:rsid w:val="006B1299"/>
    <w:rsid w:val="006B1DAC"/>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625E"/>
    <w:rsid w:val="007007FA"/>
    <w:rsid w:val="007036CA"/>
    <w:rsid w:val="0070400F"/>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10A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395A"/>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516"/>
    <w:rsid w:val="007C2405"/>
    <w:rsid w:val="007C2A54"/>
    <w:rsid w:val="007C2B69"/>
    <w:rsid w:val="007C2DC1"/>
    <w:rsid w:val="007C3B05"/>
    <w:rsid w:val="007C3D25"/>
    <w:rsid w:val="007C4998"/>
    <w:rsid w:val="007C668F"/>
    <w:rsid w:val="007C723F"/>
    <w:rsid w:val="007C778D"/>
    <w:rsid w:val="007D07D6"/>
    <w:rsid w:val="007D18A6"/>
    <w:rsid w:val="007D1CA0"/>
    <w:rsid w:val="007D2CFA"/>
    <w:rsid w:val="007D2DF5"/>
    <w:rsid w:val="007D2ECA"/>
    <w:rsid w:val="007D4994"/>
    <w:rsid w:val="007D4BB3"/>
    <w:rsid w:val="007D4F6E"/>
    <w:rsid w:val="007D5ECD"/>
    <w:rsid w:val="007D61CA"/>
    <w:rsid w:val="007D6DCF"/>
    <w:rsid w:val="007D6F0D"/>
    <w:rsid w:val="007D7963"/>
    <w:rsid w:val="007D7D4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C22"/>
    <w:rsid w:val="00822F2B"/>
    <w:rsid w:val="00823D9A"/>
    <w:rsid w:val="00827EA4"/>
    <w:rsid w:val="008301D6"/>
    <w:rsid w:val="008305B7"/>
    <w:rsid w:val="00830C78"/>
    <w:rsid w:val="00830FB9"/>
    <w:rsid w:val="00834968"/>
    <w:rsid w:val="00834B53"/>
    <w:rsid w:val="00840298"/>
    <w:rsid w:val="00840861"/>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38C"/>
    <w:rsid w:val="00876468"/>
    <w:rsid w:val="008767E1"/>
    <w:rsid w:val="00876CC7"/>
    <w:rsid w:val="008809FF"/>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979"/>
    <w:rsid w:val="008A4E05"/>
    <w:rsid w:val="008A4EC1"/>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348F"/>
    <w:rsid w:val="00934991"/>
    <w:rsid w:val="009351A7"/>
    <w:rsid w:val="00935FEF"/>
    <w:rsid w:val="009426B9"/>
    <w:rsid w:val="00944E85"/>
    <w:rsid w:val="0094553D"/>
    <w:rsid w:val="0094634C"/>
    <w:rsid w:val="009463AB"/>
    <w:rsid w:val="00950239"/>
    <w:rsid w:val="00950332"/>
    <w:rsid w:val="00955899"/>
    <w:rsid w:val="00955A03"/>
    <w:rsid w:val="0096203D"/>
    <w:rsid w:val="0096224A"/>
    <w:rsid w:val="00962BF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CD2"/>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12"/>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68E6"/>
    <w:rsid w:val="00A0766F"/>
    <w:rsid w:val="00A10713"/>
    <w:rsid w:val="00A1252C"/>
    <w:rsid w:val="00A13B8B"/>
    <w:rsid w:val="00A151B7"/>
    <w:rsid w:val="00A21225"/>
    <w:rsid w:val="00A2139C"/>
    <w:rsid w:val="00A218F9"/>
    <w:rsid w:val="00A21E37"/>
    <w:rsid w:val="00A23314"/>
    <w:rsid w:val="00A235BB"/>
    <w:rsid w:val="00A23F10"/>
    <w:rsid w:val="00A23F72"/>
    <w:rsid w:val="00A24A05"/>
    <w:rsid w:val="00A26AB8"/>
    <w:rsid w:val="00A322BF"/>
    <w:rsid w:val="00A3373F"/>
    <w:rsid w:val="00A33F51"/>
    <w:rsid w:val="00A349DF"/>
    <w:rsid w:val="00A40311"/>
    <w:rsid w:val="00A41032"/>
    <w:rsid w:val="00A4106C"/>
    <w:rsid w:val="00A418DB"/>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22D"/>
    <w:rsid w:val="00A72895"/>
    <w:rsid w:val="00A74589"/>
    <w:rsid w:val="00A74E1B"/>
    <w:rsid w:val="00A7513A"/>
    <w:rsid w:val="00A75AC9"/>
    <w:rsid w:val="00A75B25"/>
    <w:rsid w:val="00A7636A"/>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E00"/>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2230"/>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B39"/>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3C58"/>
    <w:rsid w:val="00B9422D"/>
    <w:rsid w:val="00B95A1D"/>
    <w:rsid w:val="00B9634B"/>
    <w:rsid w:val="00BA5072"/>
    <w:rsid w:val="00BA5B65"/>
    <w:rsid w:val="00BA7BFE"/>
    <w:rsid w:val="00BA7DD6"/>
    <w:rsid w:val="00BB0ECA"/>
    <w:rsid w:val="00BB246B"/>
    <w:rsid w:val="00BB3CE9"/>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0A59"/>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081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750"/>
    <w:rsid w:val="00CB5F04"/>
    <w:rsid w:val="00CB67AA"/>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4764"/>
    <w:rsid w:val="00D37394"/>
    <w:rsid w:val="00D463BF"/>
    <w:rsid w:val="00D46699"/>
    <w:rsid w:val="00D47345"/>
    <w:rsid w:val="00D5073F"/>
    <w:rsid w:val="00D51573"/>
    <w:rsid w:val="00D53109"/>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5D5"/>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0959"/>
    <w:rsid w:val="00DB11B2"/>
    <w:rsid w:val="00DB161E"/>
    <w:rsid w:val="00DB31B5"/>
    <w:rsid w:val="00DB42EF"/>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2D42"/>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06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D16"/>
    <w:rsid w:val="00E84407"/>
    <w:rsid w:val="00E85E54"/>
    <w:rsid w:val="00E86146"/>
    <w:rsid w:val="00E86A34"/>
    <w:rsid w:val="00E86A76"/>
    <w:rsid w:val="00E87A90"/>
    <w:rsid w:val="00E904D1"/>
    <w:rsid w:val="00E92425"/>
    <w:rsid w:val="00E92AD3"/>
    <w:rsid w:val="00E952A7"/>
    <w:rsid w:val="00E959EA"/>
    <w:rsid w:val="00E96237"/>
    <w:rsid w:val="00E965D7"/>
    <w:rsid w:val="00E96D30"/>
    <w:rsid w:val="00EA026D"/>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3FD"/>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B74"/>
    <w:rsid w:val="00F13B2E"/>
    <w:rsid w:val="00F15057"/>
    <w:rsid w:val="00F176A0"/>
    <w:rsid w:val="00F20174"/>
    <w:rsid w:val="00F22098"/>
    <w:rsid w:val="00F223BC"/>
    <w:rsid w:val="00F23780"/>
    <w:rsid w:val="00F26185"/>
    <w:rsid w:val="00F3178C"/>
    <w:rsid w:val="00F33DE5"/>
    <w:rsid w:val="00F34B8F"/>
    <w:rsid w:val="00F36D7F"/>
    <w:rsid w:val="00F37186"/>
    <w:rsid w:val="00F37663"/>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11"/>
    <w:rsid w:val="00FA0F53"/>
    <w:rsid w:val="00FA1DA9"/>
    <w:rsid w:val="00FA32C9"/>
    <w:rsid w:val="00FA3809"/>
    <w:rsid w:val="00FA3A95"/>
    <w:rsid w:val="00FA6817"/>
    <w:rsid w:val="00FA6D7E"/>
    <w:rsid w:val="00FB020D"/>
    <w:rsid w:val="00FB1907"/>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CB1767"/>
    <w:rsid w:val="062B2661"/>
    <w:rsid w:val="08BC3247"/>
    <w:rsid w:val="0C905737"/>
    <w:rsid w:val="0E3A53EF"/>
    <w:rsid w:val="12A0287F"/>
    <w:rsid w:val="12F86D8F"/>
    <w:rsid w:val="14787678"/>
    <w:rsid w:val="15410882"/>
    <w:rsid w:val="15923014"/>
    <w:rsid w:val="187C0D3E"/>
    <w:rsid w:val="1B6B7263"/>
    <w:rsid w:val="249A3B3F"/>
    <w:rsid w:val="25061139"/>
    <w:rsid w:val="26BE6EED"/>
    <w:rsid w:val="2CE15244"/>
    <w:rsid w:val="312926D9"/>
    <w:rsid w:val="31F714E7"/>
    <w:rsid w:val="34D0562D"/>
    <w:rsid w:val="39923A1B"/>
    <w:rsid w:val="399354E9"/>
    <w:rsid w:val="39D4191F"/>
    <w:rsid w:val="3A6D0F57"/>
    <w:rsid w:val="3BEC4CC5"/>
    <w:rsid w:val="41FF62B7"/>
    <w:rsid w:val="424A2B49"/>
    <w:rsid w:val="4B020C5C"/>
    <w:rsid w:val="4BDE2945"/>
    <w:rsid w:val="4E372086"/>
    <w:rsid w:val="4F40733E"/>
    <w:rsid w:val="4F57257C"/>
    <w:rsid w:val="5A485908"/>
    <w:rsid w:val="5D6A2AC6"/>
    <w:rsid w:val="5D73626E"/>
    <w:rsid w:val="5D9204B9"/>
    <w:rsid w:val="5F7C67DF"/>
    <w:rsid w:val="5FC427D3"/>
    <w:rsid w:val="65111284"/>
    <w:rsid w:val="6D6072B9"/>
    <w:rsid w:val="6DE422BF"/>
    <w:rsid w:val="6F125AC8"/>
    <w:rsid w:val="75DF4A2B"/>
    <w:rsid w:val="78136AF9"/>
    <w:rsid w:val="79567AA9"/>
    <w:rsid w:val="7A6D4DE1"/>
    <w:rsid w:val="7AF22A1B"/>
    <w:rsid w:val="7B8D654E"/>
    <w:rsid w:val="7DA17BC6"/>
    <w:rsid w:val="7E67156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6"/>
    <w:semiHidden/>
    <w:qFormat/>
    <w:uiPriority w:val="0"/>
    <w:rPr>
      <w:sz w:val="24"/>
    </w:rPr>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7"/>
    <w:qFormat/>
    <w:uiPriority w:val="99"/>
    <w:pPr>
      <w:tabs>
        <w:tab w:val="center" w:pos="4320"/>
        <w:tab w:val="right" w:pos="8640"/>
      </w:tabs>
    </w:pPr>
    <w:rPr>
      <w:sz w:val="24"/>
    </w:rPr>
  </w:style>
  <w:style w:type="paragraph" w:styleId="15">
    <w:name w:val="header"/>
    <w:basedOn w:val="1"/>
    <w:link w:val="38"/>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39"/>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3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ext"/>
    <w:basedOn w:val="1"/>
    <w:link w:val="40"/>
    <w:qFormat/>
    <w:uiPriority w:val="0"/>
    <w:pPr>
      <w:adjustRightInd/>
      <w:spacing w:before="120"/>
      <w:jc w:val="both"/>
      <w:textAlignment w:val="auto"/>
    </w:pPr>
    <w:rPr>
      <w:sz w:val="24"/>
    </w:rPr>
  </w:style>
  <w:style w:type="paragraph" w:customStyle="1" w:styleId="26">
    <w:name w:val="numbering blue"/>
    <w:basedOn w:val="1"/>
    <w:link w:val="44"/>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27">
    <w:name w:val="Table text"/>
    <w:basedOn w:val="1"/>
    <w:qFormat/>
    <w:uiPriority w:val="99"/>
    <w:pPr>
      <w:adjustRightInd/>
      <w:spacing w:before="120" w:after="120"/>
      <w:jc w:val="both"/>
      <w:textAlignment w:val="auto"/>
    </w:pPr>
    <w:rPr>
      <w:lang w:val="en-US"/>
    </w:rPr>
  </w:style>
  <w:style w:type="paragraph" w:customStyle="1" w:styleId="28">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9">
    <w:name w:val="Style"/>
    <w:basedOn w:val="1"/>
    <w:qFormat/>
    <w:uiPriority w:val="0"/>
    <w:pPr>
      <w:textAlignment w:val="auto"/>
    </w:pPr>
    <w:rPr>
      <w:rFonts w:ascii="Arial" w:hAnsi="Arial"/>
      <w:szCs w:val="24"/>
      <w:lang w:val="en-US"/>
    </w:rPr>
  </w:style>
  <w:style w:type="paragraph" w:customStyle="1" w:styleId="30">
    <w:name w:val="Default Text"/>
    <w:basedOn w:val="1"/>
    <w:qFormat/>
    <w:uiPriority w:val="0"/>
    <w:pPr>
      <w:textAlignment w:val="auto"/>
    </w:pPr>
    <w:rPr>
      <w:rFonts w:ascii="Arial" w:hAnsi="Arial"/>
      <w:szCs w:val="24"/>
      <w:lang w:val="en-US"/>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正文1"/>
    <w:basedOn w:val="1"/>
    <w:qFormat/>
    <w:uiPriority w:val="0"/>
    <w:pPr>
      <w:textAlignment w:val="auto"/>
    </w:pPr>
    <w:rPr>
      <w:rFonts w:ascii="Arial" w:hAnsi="Arial"/>
      <w:sz w:val="20"/>
      <w:lang w:val="en-US"/>
    </w:rPr>
  </w:style>
  <w:style w:type="paragraph" w:customStyle="1" w:styleId="33">
    <w:name w:val="_Style 31"/>
    <w:basedOn w:val="2"/>
    <w:next w:val="1"/>
    <w:qFormat/>
    <w:uiPriority w:val="39"/>
    <w:pPr>
      <w:numPr>
        <w:ilvl w:val="0"/>
        <w:numId w:val="0"/>
      </w:numPr>
      <w:outlineLvl w:val="9"/>
    </w:p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_Style 29"/>
    <w:semiHidden/>
    <w:qFormat/>
    <w:uiPriority w:val="99"/>
    <w:rPr>
      <w:rFonts w:ascii="Times New Roman" w:hAnsi="Times New Roman" w:eastAsia="宋体" w:cs="Times New Roman"/>
      <w:sz w:val="24"/>
      <w:lang w:eastAsia="en-US" w:bidi="ar-SA"/>
    </w:rPr>
  </w:style>
  <w:style w:type="character" w:customStyle="1" w:styleId="36">
    <w:name w:val="批注文字 字符"/>
    <w:link w:val="7"/>
    <w:semiHidden/>
    <w:qFormat/>
    <w:uiPriority w:val="0"/>
    <w:rPr>
      <w:sz w:val="24"/>
      <w:lang w:eastAsia="en-US"/>
    </w:rPr>
  </w:style>
  <w:style w:type="character" w:customStyle="1" w:styleId="37">
    <w:name w:val="页脚 字符"/>
    <w:link w:val="14"/>
    <w:qFormat/>
    <w:uiPriority w:val="99"/>
    <w:rPr>
      <w:sz w:val="24"/>
      <w:lang w:eastAsia="en-US"/>
    </w:rPr>
  </w:style>
  <w:style w:type="character" w:customStyle="1" w:styleId="38">
    <w:name w:val="页眉 字符"/>
    <w:link w:val="15"/>
    <w:qFormat/>
    <w:uiPriority w:val="0"/>
    <w:rPr>
      <w:rFonts w:eastAsia="宋体"/>
      <w:sz w:val="24"/>
      <w:lang w:eastAsia="en-US" w:bidi="ar-SA"/>
    </w:rPr>
  </w:style>
  <w:style w:type="character" w:customStyle="1" w:styleId="39">
    <w:name w:val="标题 字符"/>
    <w:link w:val="18"/>
    <w:qFormat/>
    <w:uiPriority w:val="0"/>
    <w:rPr>
      <w:rFonts w:ascii="Calibri Light" w:hAnsi="Calibri Light" w:cs="Times New Roman"/>
      <w:b/>
      <w:bCs/>
      <w:sz w:val="32"/>
      <w:szCs w:val="32"/>
      <w:lang w:eastAsia="en-US"/>
    </w:rPr>
  </w:style>
  <w:style w:type="character" w:customStyle="1" w:styleId="40">
    <w:name w:val="Text Char"/>
    <w:link w:val="25"/>
    <w:qFormat/>
    <w:locked/>
    <w:uiPriority w:val="0"/>
    <w:rPr>
      <w:sz w:val="24"/>
      <w:lang w:eastAsia="en-US"/>
    </w:rPr>
  </w:style>
  <w:style w:type="character" w:customStyle="1" w:styleId="41">
    <w:name w:val="ordinary-span-edit2"/>
    <w:qFormat/>
    <w:uiPriority w:val="0"/>
  </w:style>
  <w:style w:type="character" w:customStyle="1" w:styleId="42">
    <w:name w:val="apple-converted-space"/>
    <w:basedOn w:val="19"/>
    <w:qFormat/>
    <w:uiPriority w:val="0"/>
    <w:rPr/>
  </w:style>
  <w:style w:type="character" w:customStyle="1" w:styleId="43">
    <w:name w:val="Footer Char"/>
    <w:semiHidden/>
    <w:qFormat/>
    <w:locked/>
    <w:uiPriority w:val="0"/>
    <w:rPr>
      <w:rFonts w:cs="Times New Roman"/>
      <w:sz w:val="18"/>
      <w:szCs w:val="18"/>
    </w:rPr>
  </w:style>
  <w:style w:type="character" w:customStyle="1" w:styleId="44">
    <w:name w:val="numbering blue Zchn"/>
    <w:link w:val="26"/>
    <w:qFormat/>
    <w:uiPriority w:val="0"/>
    <w:rPr>
      <w:rFonts w:ascii="Arial" w:hAnsi="Arial" w:eastAsia="PMingLiU"/>
      <w:color w:val="0070C0"/>
      <w:lang w:eastAsia="zh-TW"/>
    </w:rPr>
  </w:style>
  <w:style w:type="character" w:customStyle="1" w:styleId="45">
    <w:name w:val="keyword"/>
    <w:basedOn w:val="19"/>
    <w:qFormat/>
    <w:uiPriority w:val="0"/>
    <w:rPr/>
  </w:style>
  <w:style w:type="character" w:customStyle="1" w:styleId="46">
    <w:name w:val="instruction standard blue"/>
    <w:qFormat/>
    <w:uiPriority w:val="1"/>
    <w:rPr>
      <w:rFonts w:cs="Arial"/>
      <w:i/>
      <w:color w:val="0070C0"/>
    </w:rPr>
  </w:style>
  <w:style w:type="character" w:customStyle="1" w:styleId="47">
    <w:name w:val="font41"/>
    <w:basedOn w:val="19"/>
    <w:qFormat/>
    <w:uiPriority w:val="0"/>
    <w:rPr>
      <w:rFonts w:hint="default" w:ascii="Times New Roman" w:hAnsi="Times New Roman" w:cs="Times New Roman"/>
      <w:color w:val="000000"/>
      <w:sz w:val="21"/>
      <w:szCs w:val="21"/>
      <w:u w:val="none"/>
    </w:rPr>
  </w:style>
  <w:style w:type="character" w:customStyle="1" w:styleId="48">
    <w:name w:val="font11"/>
    <w:basedOn w:val="19"/>
    <w:qFormat/>
    <w:uiPriority w:val="0"/>
    <w:rPr>
      <w:rFonts w:hint="eastAsia" w:ascii="宋体" w:hAnsi="宋体" w:eastAsia="宋体" w:cs="宋体"/>
      <w:color w:val="000000"/>
      <w:sz w:val="21"/>
      <w:szCs w:val="21"/>
      <w:u w:val="none"/>
    </w:rPr>
  </w:style>
  <w:style w:type="character" w:customStyle="1" w:styleId="49">
    <w:name w:val="font21"/>
    <w:basedOn w:val="19"/>
    <w:qFormat/>
    <w:uiPriority w:val="0"/>
    <w:rPr>
      <w:rFonts w:hint="default" w:ascii="Times New Roman" w:hAnsi="Times New Roman" w:cs="Times New Roman"/>
      <w:color w:val="000000"/>
      <w:sz w:val="21"/>
      <w:szCs w:val="21"/>
      <w:u w:val="none"/>
    </w:rPr>
  </w:style>
  <w:style w:type="character" w:customStyle="1" w:styleId="50">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1723</Words>
  <Characters>9823</Characters>
  <Lines>81</Lines>
  <Paragraphs>23</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2020-07-29T01:22:00Z</dcterms:created>
  <dc:creator>Lilly</dc:creator>
  <cp:lastModifiedBy>汪洋</cp:lastModifiedBy>
  <cp:lastPrinted>2019-03-18T04:17:00Z</cp:lastPrinted>
  <dcterms:modified xsi:type="dcterms:W3CDTF">2021-07-26T01:46:11Z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CA56013A0EC5486AA8BAFFC45F48A3A5</vt:lpwstr>
  </property>
</Properties>
</file>