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3400307"/>
      <w:bookmarkStart w:id="1" w:name="_Toc483227223"/>
      <w:bookmarkStart w:id="2" w:name="_Toc483666358"/>
      <w:bookmarkStart w:id="3" w:name="_Toc484532399"/>
      <w:bookmarkStart w:id="4" w:name="_Toc482717189"/>
    </w:p>
    <w:p>
      <w:pPr>
        <w:spacing w:after="158" w:afterLines="50"/>
        <w:jc w:val="center"/>
        <w:rPr>
          <w:b/>
          <w:szCs w:val="21"/>
          <w:lang w:eastAsia="zh-CN"/>
        </w:rPr>
      </w:pPr>
      <w:permStart w:id="0" w:edGrp="everyone"/>
      <w:r>
        <w:rPr>
          <w:rFonts w:hint="eastAsia"/>
          <w:b/>
          <w:color w:val="000000"/>
          <w:sz w:val="28"/>
          <w:szCs w:val="28"/>
          <w:lang w:eastAsia="zh-CN"/>
        </w:rPr>
        <w:t>流感疫苗大楼预灌封分装车间VHP传递舱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"_Toc50986662" </w:instrText>
      </w:r>
      <w:r>
        <w:fldChar w:fldCharType="separate"/>
      </w:r>
      <w:r>
        <w:rPr>
          <w:rStyle w:val="22"/>
          <w:rFonts w:hint="eastAsia"/>
        </w:rPr>
        <w:t>修订历史</w:t>
      </w:r>
      <w:r>
        <w:tab/>
      </w:r>
      <w:r>
        <w:fldChar w:fldCharType="begin"/>
      </w:r>
      <w:r>
        <w:instrText xml:space="preserve"> PAGEREF _Toc50986662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"_Toc50986663" </w:instrText>
      </w:r>
      <w:r>
        <w:fldChar w:fldCharType="separate"/>
      </w:r>
      <w:r>
        <w:rPr>
          <w:rStyle w:val="22"/>
        </w:rPr>
        <w:t>1</w:t>
      </w:r>
      <w:r>
        <w:rPr>
          <w:rFonts w:ascii="Calibri" w:hAnsi="Calibri" w:eastAsia="宋体"/>
          <w:b w:val="0"/>
          <w:bCs w:val="0"/>
          <w:caps w:val="0"/>
          <w:szCs w:val="22"/>
        </w:rPr>
        <w:tab/>
      </w:r>
      <w:r>
        <w:rPr>
          <w:rStyle w:val="22"/>
          <w:rFonts w:hint="eastAsia"/>
        </w:rPr>
        <w:t>目的</w:t>
      </w:r>
      <w:r>
        <w:tab/>
      </w:r>
      <w:r>
        <w:fldChar w:fldCharType="begin"/>
      </w:r>
      <w:r>
        <w:instrText xml:space="preserve"> PAGEREF _Toc50986663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"_Toc50986664" </w:instrText>
      </w:r>
      <w:r>
        <w:fldChar w:fldCharType="separate"/>
      </w:r>
      <w:r>
        <w:rPr>
          <w:rStyle w:val="22"/>
        </w:rPr>
        <w:t>2</w:t>
      </w:r>
      <w:r>
        <w:rPr>
          <w:rFonts w:ascii="Calibri" w:hAnsi="Calibri" w:eastAsia="宋体"/>
          <w:b w:val="0"/>
          <w:bCs w:val="0"/>
          <w:caps w:val="0"/>
          <w:szCs w:val="22"/>
        </w:rPr>
        <w:tab/>
      </w:r>
      <w:r>
        <w:rPr>
          <w:rStyle w:val="22"/>
          <w:rFonts w:hint="eastAsia"/>
        </w:rPr>
        <w:t>范围</w:t>
      </w:r>
      <w:r>
        <w:tab/>
      </w:r>
      <w:r>
        <w:fldChar w:fldCharType="begin"/>
      </w:r>
      <w:r>
        <w:instrText xml:space="preserve"> PAGEREF _Toc50986664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"_Toc50986665" </w:instrText>
      </w:r>
      <w:r>
        <w:fldChar w:fldCharType="separate"/>
      </w:r>
      <w:r>
        <w:rPr>
          <w:rStyle w:val="22"/>
        </w:rPr>
        <w:t>3</w:t>
      </w:r>
      <w:r>
        <w:rPr>
          <w:rFonts w:ascii="Calibri" w:hAnsi="Calibri" w:eastAsia="宋体"/>
          <w:b w:val="0"/>
          <w:bCs w:val="0"/>
          <w:caps w:val="0"/>
          <w:szCs w:val="22"/>
        </w:rPr>
        <w:tab/>
      </w:r>
      <w:r>
        <w:rPr>
          <w:rStyle w:val="22"/>
          <w:rFonts w:hint="eastAsia"/>
        </w:rPr>
        <w:t>参考文件</w:t>
      </w:r>
      <w:r>
        <w:tab/>
      </w:r>
      <w:r>
        <w:fldChar w:fldCharType="begin"/>
      </w:r>
      <w:r>
        <w:instrText xml:space="preserve"> PAGEREF _Toc50986665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"_Toc50986666" </w:instrText>
      </w:r>
      <w:r>
        <w:fldChar w:fldCharType="separate"/>
      </w:r>
      <w:r>
        <w:rPr>
          <w:rStyle w:val="22"/>
        </w:rPr>
        <w:t>4</w:t>
      </w:r>
      <w:r>
        <w:rPr>
          <w:rFonts w:ascii="Calibri" w:hAnsi="Calibri" w:eastAsia="宋体"/>
          <w:b w:val="0"/>
          <w:bCs w:val="0"/>
          <w:caps w:val="0"/>
          <w:szCs w:val="22"/>
        </w:rPr>
        <w:tab/>
      </w:r>
      <w:r>
        <w:rPr>
          <w:rStyle w:val="22"/>
          <w:rFonts w:hint="eastAsia"/>
        </w:rPr>
        <w:t>职责</w:t>
      </w:r>
      <w:r>
        <w:tab/>
      </w:r>
      <w:r>
        <w:fldChar w:fldCharType="begin"/>
      </w:r>
      <w:r>
        <w:instrText xml:space="preserve"> PAGEREF _Toc50986666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"_Toc50986667" </w:instrText>
      </w:r>
      <w:r>
        <w:fldChar w:fldCharType="separate"/>
      </w:r>
      <w:r>
        <w:rPr>
          <w:rStyle w:val="22"/>
        </w:rPr>
        <w:t>5</w:t>
      </w:r>
      <w:r>
        <w:rPr>
          <w:rFonts w:ascii="Calibri" w:hAnsi="Calibri" w:eastAsia="宋体"/>
          <w:b w:val="0"/>
          <w:bCs w:val="0"/>
          <w:caps w:val="0"/>
          <w:szCs w:val="22"/>
        </w:rPr>
        <w:tab/>
      </w:r>
      <w:r>
        <w:rPr>
          <w:rStyle w:val="22"/>
          <w:rFonts w:hint="eastAsia"/>
        </w:rPr>
        <w:t>系统描述</w:t>
      </w:r>
      <w:r>
        <w:tab/>
      </w:r>
      <w:r>
        <w:fldChar w:fldCharType="begin"/>
      </w:r>
      <w:r>
        <w:instrText xml:space="preserve"> PAGEREF _Toc50986667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"_Toc50986668" </w:instrText>
      </w:r>
      <w:r>
        <w:fldChar w:fldCharType="separate"/>
      </w:r>
      <w:r>
        <w:rPr>
          <w:rStyle w:val="22"/>
        </w:rPr>
        <w:t>6</w:t>
      </w:r>
      <w:r>
        <w:rPr>
          <w:rFonts w:ascii="Calibri" w:hAnsi="Calibri" w:eastAsia="宋体"/>
          <w:b w:val="0"/>
          <w:bCs w:val="0"/>
          <w:caps w:val="0"/>
          <w:szCs w:val="22"/>
        </w:rPr>
        <w:tab/>
      </w:r>
      <w:r>
        <w:rPr>
          <w:rStyle w:val="22"/>
          <w:rFonts w:hint="eastAsia"/>
        </w:rPr>
        <w:t>安装要求</w:t>
      </w:r>
      <w:r>
        <w:tab/>
      </w:r>
      <w:r>
        <w:fldChar w:fldCharType="begin"/>
      </w:r>
      <w:r>
        <w:instrText xml:space="preserve"> PAGEREF _Toc50986668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"_Toc50986669" </w:instrText>
      </w:r>
      <w:r>
        <w:fldChar w:fldCharType="separate"/>
      </w:r>
      <w:r>
        <w:rPr>
          <w:rStyle w:val="22"/>
        </w:rPr>
        <w:t>7</w:t>
      </w:r>
      <w:r>
        <w:rPr>
          <w:rFonts w:ascii="Calibri" w:hAnsi="Calibri" w:eastAsia="宋体"/>
          <w:b w:val="0"/>
          <w:bCs w:val="0"/>
          <w:caps w:val="0"/>
          <w:szCs w:val="22"/>
        </w:rPr>
        <w:tab/>
      </w:r>
      <w:r>
        <w:rPr>
          <w:rStyle w:val="22"/>
          <w:rFonts w:hint="eastAsia"/>
        </w:rPr>
        <w:t>运行要求</w:t>
      </w:r>
      <w:r>
        <w:tab/>
      </w:r>
      <w:r>
        <w:fldChar w:fldCharType="begin"/>
      </w:r>
      <w:r>
        <w:instrText xml:space="preserve"> PAGEREF _Toc50986669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"_Toc50986670" </w:instrText>
      </w:r>
      <w:r>
        <w:fldChar w:fldCharType="separate"/>
      </w:r>
      <w:r>
        <w:rPr>
          <w:rStyle w:val="22"/>
        </w:rPr>
        <w:t>8</w:t>
      </w:r>
      <w:r>
        <w:rPr>
          <w:rFonts w:ascii="Calibri" w:hAnsi="Calibri" w:eastAsia="宋体"/>
          <w:b w:val="0"/>
          <w:bCs w:val="0"/>
          <w:caps w:val="0"/>
          <w:szCs w:val="22"/>
        </w:rPr>
        <w:tab/>
      </w:r>
      <w:r>
        <w:rPr>
          <w:rStyle w:val="22"/>
          <w:rFonts w:hint="eastAsia"/>
        </w:rPr>
        <w:t>电气、自动控制要求</w:t>
      </w:r>
      <w:r>
        <w:tab/>
      </w:r>
      <w:r>
        <w:fldChar w:fldCharType="begin"/>
      </w:r>
      <w:r>
        <w:instrText xml:space="preserve"> PAGEREF _Toc50986670 \h </w:instrText>
      </w:r>
      <w:r>
        <w:fldChar w:fldCharType="separate"/>
      </w:r>
      <w:r>
        <w:t>12</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"_Toc50986671" </w:instrText>
      </w:r>
      <w:r>
        <w:fldChar w:fldCharType="separate"/>
      </w:r>
      <w:r>
        <w:rPr>
          <w:rStyle w:val="22"/>
        </w:rPr>
        <w:t>9</w:t>
      </w:r>
      <w:r>
        <w:rPr>
          <w:rFonts w:ascii="Calibri" w:hAnsi="Calibri" w:eastAsia="宋体"/>
          <w:b w:val="0"/>
          <w:bCs w:val="0"/>
          <w:caps w:val="0"/>
          <w:szCs w:val="22"/>
        </w:rPr>
        <w:tab/>
      </w:r>
      <w:r>
        <w:rPr>
          <w:rStyle w:val="22"/>
          <w:rFonts w:hint="eastAsia"/>
        </w:rPr>
        <w:t>安全要求</w:t>
      </w:r>
      <w:r>
        <w:tab/>
      </w:r>
      <w:r>
        <w:fldChar w:fldCharType="begin"/>
      </w:r>
      <w:r>
        <w:instrText xml:space="preserve"> PAGEREF _Toc50986671 \h </w:instrText>
      </w:r>
      <w:r>
        <w:fldChar w:fldCharType="separate"/>
      </w:r>
      <w:r>
        <w:t>15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"_Toc50986672" </w:instrText>
      </w:r>
      <w:r>
        <w:fldChar w:fldCharType="separate"/>
      </w:r>
      <w:r>
        <w:rPr>
          <w:rStyle w:val="22"/>
        </w:rPr>
        <w:t>10</w:t>
      </w:r>
      <w:r>
        <w:rPr>
          <w:rFonts w:ascii="Calibri" w:hAnsi="Calibri" w:eastAsia="宋体"/>
          <w:b w:val="0"/>
          <w:bCs w:val="0"/>
          <w:caps w:val="0"/>
          <w:szCs w:val="22"/>
        </w:rPr>
        <w:tab/>
      </w:r>
      <w:r>
        <w:rPr>
          <w:rStyle w:val="22"/>
          <w:rFonts w:hint="eastAsia"/>
        </w:rPr>
        <w:t>文件要求</w:t>
      </w:r>
      <w:r>
        <w:tab/>
      </w:r>
      <w:r>
        <w:fldChar w:fldCharType="begin"/>
      </w:r>
      <w:r>
        <w:instrText xml:space="preserve"> PAGEREF _Toc50986672 \h </w:instrText>
      </w:r>
      <w:r>
        <w:fldChar w:fldCharType="separate"/>
      </w:r>
      <w:r>
        <w:t>16</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"_Toc50986673" </w:instrText>
      </w:r>
      <w:r>
        <w:fldChar w:fldCharType="separate"/>
      </w:r>
      <w:r>
        <w:rPr>
          <w:rStyle w:val="22"/>
        </w:rPr>
        <w:t>11</w:t>
      </w:r>
      <w:r>
        <w:rPr>
          <w:rFonts w:ascii="Calibri" w:hAnsi="Calibri" w:eastAsia="宋体"/>
          <w:b w:val="0"/>
          <w:bCs w:val="0"/>
          <w:caps w:val="0"/>
          <w:szCs w:val="22"/>
        </w:rPr>
        <w:tab/>
      </w:r>
      <w:r>
        <w:rPr>
          <w:rStyle w:val="22"/>
          <w:rFonts w:hint="eastAsia"/>
        </w:rPr>
        <w:t>服务要求</w:t>
      </w:r>
      <w:r>
        <w:tab/>
      </w:r>
      <w:r>
        <w:fldChar w:fldCharType="begin"/>
      </w:r>
      <w:r>
        <w:instrText xml:space="preserve"> PAGEREF _Toc50986673 \h </w:instrText>
      </w:r>
      <w:r>
        <w:fldChar w:fldCharType="separate"/>
      </w:r>
      <w:r>
        <w:t>18</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"_Toc50986674" </w:instrText>
      </w:r>
      <w:r>
        <w:fldChar w:fldCharType="separate"/>
      </w:r>
      <w:r>
        <w:rPr>
          <w:rStyle w:val="22"/>
        </w:rPr>
        <w:t>12</w:t>
      </w:r>
      <w:r>
        <w:rPr>
          <w:rFonts w:ascii="Calibri" w:hAnsi="Calibri" w:eastAsia="宋体"/>
          <w:b w:val="0"/>
          <w:bCs w:val="0"/>
          <w:caps w:val="0"/>
          <w:szCs w:val="22"/>
        </w:rPr>
        <w:tab/>
      </w:r>
      <w:r>
        <w:rPr>
          <w:rStyle w:val="22"/>
          <w:rFonts w:hint="eastAsia"/>
        </w:rPr>
        <w:t>附件</w:t>
      </w:r>
      <w:r>
        <w:tab/>
      </w:r>
      <w:r>
        <w:fldChar w:fldCharType="begin"/>
      </w:r>
      <w:r>
        <w:instrText xml:space="preserve"> PAGEREF _Toc50986674 \h </w:instrText>
      </w:r>
      <w:r>
        <w:fldChar w:fldCharType="separate"/>
      </w:r>
      <w:r>
        <w:t>20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0986663"/>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流感疫苗大楼二层预灌封分装车间VHP传递舱</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0986664"/>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流感疫苗大楼二层预灌封分装车间VHP传递舱</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0986665"/>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《药品生产质量管理规范》（现行版）</w:t>
      </w:r>
    </w:p>
    <w:permEnd w:id="5"/>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指南》无菌药品（现行版）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spacing w:before="0" w:line="360" w:lineRule="auto"/>
        <w:ind w:left="357"/>
        <w:jc w:val="left"/>
        <w:rPr>
          <w:color w:val="000000"/>
          <w:szCs w:val="21"/>
          <w:lang w:eastAsia="zh-CN"/>
        </w:rPr>
      </w:pPr>
      <w:permStart w:id="6" w:edGrp="everyone"/>
      <w:r>
        <w:rPr>
          <w:rFonts w:hint="eastAsia"/>
          <w:color w:val="000000"/>
          <w:szCs w:val="21"/>
          <w:lang w:eastAsia="zh-CN"/>
        </w:rPr>
        <w:t>《特种设备安全监察条例》</w:t>
      </w:r>
    </w:p>
    <w:permEnd w:id="6"/>
    <w:p>
      <w:pPr>
        <w:pStyle w:val="35"/>
        <w:spacing w:before="0" w:line="360" w:lineRule="auto"/>
        <w:jc w:val="left"/>
        <w:rPr>
          <w:szCs w:val="21"/>
          <w:lang w:eastAsia="zh-CN"/>
        </w:rPr>
      </w:pPr>
      <w:permStart w:id="7" w:edGrp="everyone"/>
      <w:bookmarkStart w:id="50" w:name="_GoBack"/>
      <w:bookmarkEnd w:id="50"/>
    </w:p>
    <w:permEnd w:id="7"/>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0986667"/>
      <w:r>
        <w:rPr>
          <w:rFonts w:ascii="Times New Roman" w:hAnsi="Times New Roman"/>
          <w:b/>
        </w:rPr>
        <w:t>系统描述</w:t>
      </w:r>
      <w:bookmarkEnd w:id="21"/>
      <w:bookmarkEnd w:id="22"/>
    </w:p>
    <w:p>
      <w:pPr>
        <w:pStyle w:val="8"/>
        <w:spacing w:line="360" w:lineRule="auto"/>
        <w:ind w:firstLine="420" w:firstLineChars="200"/>
        <w:rPr>
          <w:rFonts w:ascii="宋体" w:hAnsi="宋体"/>
          <w:sz w:val="21"/>
          <w:szCs w:val="21"/>
          <w:lang w:eastAsia="zh-CN"/>
        </w:rPr>
      </w:pPr>
      <w:permStart w:id="8" w:edGrp="everyone"/>
      <w:r>
        <w:rPr>
          <w:rFonts w:hint="eastAsia" w:ascii="宋体" w:hAnsi="宋体" w:cs="Arial"/>
          <w:sz w:val="21"/>
          <w:szCs w:val="21"/>
          <w:lang w:val="en-US" w:eastAsia="zh-CN"/>
        </w:rPr>
        <w:t>流感疫苗大楼二层2个预灌封</w:t>
      </w:r>
      <w:r>
        <w:rPr>
          <w:rFonts w:hint="eastAsia" w:ascii="宋体" w:hAnsi="宋体" w:cs="Arial"/>
          <w:sz w:val="21"/>
          <w:szCs w:val="21"/>
          <w:lang w:eastAsia="zh-CN"/>
        </w:rPr>
        <w:t>分装车间</w:t>
      </w:r>
      <w:r>
        <w:rPr>
          <w:rFonts w:hint="eastAsia" w:ascii="宋体" w:hAnsi="宋体"/>
          <w:sz w:val="21"/>
          <w:szCs w:val="21"/>
          <w:lang w:eastAsia="zh-CN"/>
        </w:rPr>
        <w:t>需要购买</w:t>
      </w:r>
      <w:r>
        <w:rPr>
          <w:rFonts w:ascii="宋体" w:hAnsi="宋体"/>
          <w:sz w:val="21"/>
          <w:szCs w:val="21"/>
          <w:lang w:eastAsia="zh-CN"/>
        </w:rPr>
        <w:t>2</w:t>
      </w:r>
      <w:r>
        <w:rPr>
          <w:rFonts w:hint="eastAsia"/>
          <w:sz w:val="21"/>
          <w:szCs w:val="21"/>
          <w:lang w:eastAsia="zh-CN"/>
        </w:rPr>
        <w:t>台VHP传递舱</w:t>
      </w:r>
      <w:r>
        <w:rPr>
          <w:rFonts w:hint="eastAsia" w:ascii="宋体" w:hAnsi="宋体"/>
          <w:sz w:val="21"/>
          <w:szCs w:val="21"/>
          <w:lang w:eastAsia="zh-CN"/>
        </w:rPr>
        <w:t>：用于胶塞袋、大立瓶等的表面灭菌</w:t>
      </w:r>
    </w:p>
    <w:permEnd w:id="8"/>
    <w:p>
      <w:pPr>
        <w:pStyle w:val="35"/>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b/>
          <w:szCs w:val="21"/>
        </w:rPr>
      </w:pPr>
      <w:bookmarkStart w:id="23" w:name="_Toc50986668"/>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4"/>
        <w:gridCol w:w="7125"/>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4" w:type="dxa"/>
            <w:shd w:val="clear" w:color="auto" w:fill="D9D9D9"/>
            <w:vAlign w:val="center"/>
          </w:tcPr>
          <w:p>
            <w:pPr>
              <w:jc w:val="center"/>
              <w:rPr>
                <w:b/>
                <w:szCs w:val="21"/>
              </w:rPr>
            </w:pPr>
            <w:bookmarkStart w:id="24" w:name="OLE_LINK1"/>
            <w:bookmarkStart w:id="25" w:name="OLE_LINK2"/>
            <w:r>
              <w:rPr>
                <w:b/>
                <w:szCs w:val="21"/>
              </w:rPr>
              <w:t>编号</w:t>
            </w:r>
          </w:p>
        </w:tc>
        <w:tc>
          <w:tcPr>
            <w:tcW w:w="7125" w:type="dxa"/>
            <w:shd w:val="clear" w:color="auto" w:fill="D9D9D9"/>
            <w:vAlign w:val="center"/>
          </w:tcPr>
          <w:p>
            <w:pPr>
              <w:jc w:val="center"/>
              <w:rPr>
                <w:b/>
                <w:szCs w:val="21"/>
                <w:lang w:eastAsia="zh-CN"/>
              </w:rPr>
            </w:pPr>
            <w:r>
              <w:rPr>
                <w:b/>
                <w:szCs w:val="21"/>
                <w:lang w:eastAsia="zh-CN"/>
              </w:rPr>
              <w:t>需求</w:t>
            </w:r>
          </w:p>
        </w:tc>
        <w:tc>
          <w:tcPr>
            <w:tcW w:w="21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0" w:edGrp="everyone"/>
          </w:p>
        </w:tc>
        <w:tc>
          <w:tcPr>
            <w:tcW w:w="7125" w:type="dxa"/>
            <w:vAlign w:val="center"/>
          </w:tcPr>
          <w:p>
            <w:pPr>
              <w:spacing w:line="276" w:lineRule="auto"/>
              <w:jc w:val="both"/>
              <w:rPr>
                <w:i/>
                <w:color w:val="0070C0"/>
                <w:szCs w:val="21"/>
                <w:lang w:eastAsia="zh-CN"/>
              </w:rPr>
            </w:pPr>
            <w:r>
              <w:rPr>
                <w:rFonts w:hint="eastAsia" w:ascii="Arial" w:hAnsi="Arial" w:cs="Arial"/>
                <w:szCs w:val="24"/>
                <w:lang w:eastAsia="zh-CN"/>
              </w:rPr>
              <w:t>流感疫苗大楼二层预灌封分装车间灭菌间</w:t>
            </w:r>
          </w:p>
        </w:tc>
        <w:tc>
          <w:tcPr>
            <w:tcW w:w="2124" w:type="dxa"/>
            <w:vAlign w:val="center"/>
          </w:tcPr>
          <w:p>
            <w:pPr>
              <w:rPr>
                <w:i/>
                <w:szCs w:val="21"/>
                <w:lang w:eastAsia="zh-CN"/>
              </w:rPr>
            </w:pPr>
            <w:r>
              <w:rPr>
                <w:rFonts w:hint="eastAsia" w:ascii="Arial" w:hAnsi="Arial" w:cs="Arial"/>
                <w:szCs w:val="24"/>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1" w:edGrp="everyone"/>
          </w:p>
        </w:tc>
        <w:tc>
          <w:tcPr>
            <w:tcW w:w="7125" w:type="dxa"/>
            <w:vAlign w:val="center"/>
          </w:tcPr>
          <w:p>
            <w:pPr>
              <w:spacing w:line="276" w:lineRule="auto"/>
              <w:jc w:val="both"/>
              <w:rPr>
                <w:i/>
                <w:szCs w:val="21"/>
                <w:lang w:eastAsia="zh-CN"/>
              </w:rPr>
            </w:pPr>
            <w:r>
              <w:rPr>
                <w:rFonts w:hint="eastAsia" w:ascii="宋体" w:hAnsi="宋体"/>
                <w:szCs w:val="21"/>
                <w:lang w:eastAsia="zh-CN"/>
              </w:rPr>
              <w:t>内部实用灭菌容积为3m³，双扉门</w:t>
            </w:r>
            <w:r>
              <w:rPr>
                <w:i/>
                <w:szCs w:val="21"/>
                <w:lang w:eastAsia="zh-CN"/>
              </w:rPr>
              <w:t xml:space="preserve"> </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eastAsia="zh-CN"/>
              </w:rPr>
              <w:t>外形尺寸适宜，必须适应厂房面积。</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安装双扉门，装载侧位于D</w:t>
            </w:r>
            <w:r>
              <w:rPr>
                <w:rFonts w:ascii="宋体" w:hAnsi="宋体"/>
                <w:szCs w:val="21"/>
                <w:lang w:val="en-US" w:eastAsia="zh-CN"/>
              </w:rPr>
              <w:t>/</w:t>
            </w:r>
            <w:r>
              <w:rPr>
                <w:rFonts w:hint="eastAsia" w:ascii="宋体" w:hAnsi="宋体"/>
                <w:szCs w:val="21"/>
                <w:lang w:val="en-US" w:eastAsia="zh-CN"/>
              </w:rPr>
              <w:t>C级灭菌间内，卸载侧位于B级区</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eastAsia="zh-CN"/>
              </w:rPr>
              <w:t>操作</w:t>
            </w:r>
            <w:r>
              <w:rPr>
                <w:rFonts w:hint="eastAsia" w:ascii="宋体" w:hAnsi="宋体"/>
                <w:szCs w:val="21"/>
                <w:lang w:val="en-US" w:eastAsia="zh-CN"/>
              </w:rPr>
              <w:t>触摸屏、打印机安装在D</w:t>
            </w:r>
            <w:r>
              <w:rPr>
                <w:rFonts w:ascii="宋体" w:hAnsi="宋体"/>
                <w:szCs w:val="21"/>
                <w:lang w:val="en-US" w:eastAsia="zh-CN"/>
              </w:rPr>
              <w:t>/</w:t>
            </w:r>
            <w:r>
              <w:rPr>
                <w:rFonts w:hint="eastAsia" w:ascii="宋体" w:hAnsi="宋体"/>
                <w:szCs w:val="21"/>
                <w:lang w:val="en-US" w:eastAsia="zh-CN"/>
              </w:rPr>
              <w:t>C级灭菌间的一侧， 卸载侧的开关门按钮必须安装在便于人员操作的位置。</w:t>
            </w:r>
          </w:p>
        </w:tc>
        <w:tc>
          <w:tcPr>
            <w:tcW w:w="2124"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val="en-US" w:eastAsia="zh-CN"/>
              </w:rPr>
              <w:t>B级区内的压力表安装位置不应高于大门，便于查看、校验和更换</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VHP发生器等</w:t>
            </w:r>
            <w:r>
              <w:rPr>
                <w:rFonts w:hint="eastAsia" w:ascii="宋体" w:hAnsi="宋体"/>
                <w:szCs w:val="21"/>
                <w:lang w:eastAsia="zh-CN"/>
              </w:rPr>
              <w:t>经常需要检查和维修的部件都需要安装在维修面的一侧</w:t>
            </w:r>
            <w:r>
              <w:rPr>
                <w:rFonts w:ascii="宋体" w:hAnsi="宋体"/>
                <w:szCs w:val="21"/>
                <w:lang w:val="en-US" w:eastAsia="zh-CN"/>
              </w:rPr>
              <w:t xml:space="preserve"> </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eastAsia="zh-CN"/>
              </w:rPr>
              <w:t>验证孔安装在维修面一侧</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2" w:edGrp="everyone"/>
          </w:p>
        </w:tc>
        <w:tc>
          <w:tcPr>
            <w:tcW w:w="7125" w:type="dxa"/>
            <w:vAlign w:val="center"/>
          </w:tcPr>
          <w:p>
            <w:pPr>
              <w:spacing w:line="276" w:lineRule="auto"/>
              <w:jc w:val="both"/>
              <w:rPr>
                <w:color w:val="0070C0"/>
                <w:szCs w:val="21"/>
                <w:lang w:val="en-US" w:eastAsia="zh-CN"/>
              </w:rPr>
            </w:pPr>
            <w:r>
              <w:rPr>
                <w:color w:val="000000"/>
                <w:szCs w:val="21"/>
                <w:lang w:eastAsia="zh-CN"/>
              </w:rPr>
              <w:t>设备的形式尺寸应符合制造商说明书及技术文件规定的要求。</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70C0"/>
                <w:szCs w:val="21"/>
                <w:lang w:eastAsia="zh-CN"/>
              </w:rPr>
            </w:pPr>
            <w:r>
              <w:rPr>
                <w:rFonts w:hint="eastAsia" w:ascii="Arial" w:hAnsi="Arial" w:cs="Arial"/>
                <w:szCs w:val="21"/>
                <w:lang w:eastAsia="zh-CN"/>
              </w:rPr>
              <w:t>供应商必须给出设备选型方案及相应附件选型方案，并交给我公司使用部门及工程类部门审核。</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Arial" w:hAnsi="Arial" w:cs="Arial"/>
                <w:szCs w:val="21"/>
                <w:lang w:eastAsia="zh-CN"/>
              </w:rPr>
            </w:pPr>
            <w:r>
              <w:rPr>
                <w:color w:val="111111"/>
                <w:szCs w:val="21"/>
                <w:lang w:eastAsia="zh-CN"/>
              </w:rPr>
              <w:t>设备在DQ阶段时，设备供应商需标注设备正常运行的所需公用介质的最小压力值及正常使用时的参数要求</w:t>
            </w:r>
            <w:r>
              <w:rPr>
                <w:rFonts w:hint="eastAsia"/>
                <w:color w:val="111111"/>
                <w:szCs w:val="21"/>
                <w:lang w:eastAsia="zh-CN"/>
              </w:rPr>
              <w:t>。</w:t>
            </w:r>
          </w:p>
        </w:tc>
        <w:tc>
          <w:tcPr>
            <w:tcW w:w="2124"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jc w:val="center"/>
              <w:rPr>
                <w:szCs w:val="21"/>
                <w:lang w:eastAsia="zh-CN"/>
              </w:rPr>
            </w:pPr>
            <w:permStart w:id="13" w:edGrp="everyone"/>
          </w:p>
        </w:tc>
        <w:tc>
          <w:tcPr>
            <w:tcW w:w="9249" w:type="dxa"/>
            <w:gridSpan w:val="2"/>
            <w:vAlign w:val="center"/>
          </w:tcPr>
          <w:p>
            <w:pPr>
              <w:rPr>
                <w:sz w:val="18"/>
                <w:szCs w:val="21"/>
                <w:lang w:eastAsia="zh-CN"/>
              </w:rPr>
            </w:pPr>
            <w:r>
              <w:rPr>
                <w:rFonts w:hint="eastAsia"/>
                <w:sz w:val="18"/>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4" w:edGrp="everyone"/>
          </w:p>
        </w:tc>
        <w:tc>
          <w:tcPr>
            <w:tcW w:w="7125" w:type="dxa"/>
            <w:vAlign w:val="center"/>
          </w:tcPr>
          <w:p>
            <w:pPr>
              <w:pStyle w:val="36"/>
              <w:spacing w:before="0" w:after="0"/>
              <w:ind w:right="-6"/>
              <w:rPr>
                <w:rFonts w:ascii="宋体" w:hAnsi="宋体" w:eastAsia="宋体" w:cs="Arial"/>
                <w:szCs w:val="24"/>
                <w:lang w:eastAsia="zh-CN"/>
              </w:rPr>
            </w:pPr>
            <w:r>
              <w:rPr>
                <w:rFonts w:hint="eastAsia" w:ascii="宋体" w:hAnsi="宋体" w:eastAsia="宋体" w:cs="Arial"/>
                <w:szCs w:val="24"/>
                <w:lang w:eastAsia="zh-CN"/>
              </w:rPr>
              <w:t>洁净压缩空气：供应商必须提前提供设备需要的压缩空气的流量和压力数据</w:t>
            </w:r>
          </w:p>
        </w:tc>
        <w:tc>
          <w:tcPr>
            <w:tcW w:w="2124"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49"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6" w:edGrp="everyone"/>
          </w:p>
        </w:tc>
        <w:tc>
          <w:tcPr>
            <w:tcW w:w="71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工作环境温度：能适应</w:t>
            </w:r>
            <w:r>
              <w:rPr>
                <w:rFonts w:ascii="宋体" w:hAnsi="宋体" w:eastAsia="宋体" w:cs="Arial"/>
                <w:szCs w:val="24"/>
                <w:lang w:eastAsia="zh-CN"/>
              </w:rPr>
              <w:t>18</w:t>
            </w:r>
            <w:r>
              <w:rPr>
                <w:rFonts w:hint="eastAsia" w:ascii="宋体" w:hAnsi="宋体" w:eastAsia="宋体" w:cs="Arial"/>
                <w:szCs w:val="24"/>
                <w:lang w:eastAsia="zh-CN"/>
              </w:rPr>
              <w:t>℃～</w:t>
            </w:r>
            <w:r>
              <w:rPr>
                <w:rFonts w:ascii="宋体" w:hAnsi="宋体" w:eastAsia="宋体" w:cs="Arial"/>
                <w:szCs w:val="24"/>
                <w:lang w:eastAsia="zh-CN"/>
              </w:rPr>
              <w:t>26</w:t>
            </w:r>
            <w:r>
              <w:rPr>
                <w:rFonts w:hint="eastAsia" w:ascii="宋体" w:hAnsi="宋体" w:eastAsia="宋体" w:cs="Arial"/>
                <w:szCs w:val="24"/>
                <w:lang w:eastAsia="zh-CN"/>
              </w:rPr>
              <w:t>℃环境。</w:t>
            </w:r>
          </w:p>
        </w:tc>
        <w:tc>
          <w:tcPr>
            <w:tcW w:w="2124"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7" w:edGrp="everyone"/>
          </w:p>
        </w:tc>
        <w:tc>
          <w:tcPr>
            <w:tcW w:w="71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工作环境湿度：至少包括</w:t>
            </w:r>
            <w:r>
              <w:rPr>
                <w:rFonts w:ascii="宋体" w:hAnsi="宋体" w:eastAsia="宋体" w:cs="Arial"/>
                <w:szCs w:val="24"/>
                <w:lang w:eastAsia="zh-CN"/>
              </w:rPr>
              <w:t>45%</w:t>
            </w:r>
            <w:r>
              <w:rPr>
                <w:rFonts w:hint="eastAsia" w:ascii="宋体" w:hAnsi="宋体" w:eastAsia="宋体" w:cs="Arial"/>
                <w:szCs w:val="24"/>
                <w:lang w:eastAsia="zh-CN"/>
              </w:rPr>
              <w:t>～8</w:t>
            </w:r>
            <w:r>
              <w:rPr>
                <w:rFonts w:ascii="宋体" w:hAnsi="宋体" w:eastAsia="宋体" w:cs="Arial"/>
                <w:szCs w:val="24"/>
                <w:lang w:eastAsia="zh-CN"/>
              </w:rPr>
              <w:t>5%</w:t>
            </w:r>
            <w:r>
              <w:rPr>
                <w:rFonts w:hint="eastAsia" w:ascii="宋体" w:hAnsi="宋体" w:eastAsia="宋体" w:cs="Arial"/>
                <w:szCs w:val="24"/>
                <w:lang w:eastAsia="zh-CN"/>
              </w:rPr>
              <w:t>。</w:t>
            </w:r>
          </w:p>
        </w:tc>
        <w:tc>
          <w:tcPr>
            <w:tcW w:w="2124"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8" w:edGrp="everyone"/>
          </w:p>
        </w:tc>
        <w:tc>
          <w:tcPr>
            <w:tcW w:w="7125" w:type="dxa"/>
            <w:vAlign w:val="center"/>
          </w:tcPr>
          <w:p>
            <w:pPr>
              <w:spacing w:line="276" w:lineRule="auto"/>
              <w:jc w:val="both"/>
              <w:rPr>
                <w:rFonts w:ascii="宋体" w:hAnsi="宋体" w:eastAsia="宋体"/>
                <w:color w:val="000000"/>
                <w:lang w:eastAsia="zh-CN"/>
              </w:rPr>
            </w:pPr>
            <w:r>
              <w:rPr>
                <w:rFonts w:hint="eastAsia" w:ascii="宋体" w:hAnsi="宋体" w:eastAsia="宋体" w:cs="Arial"/>
                <w:szCs w:val="24"/>
                <w:lang w:eastAsia="zh-CN"/>
              </w:rPr>
              <w:t>工作环境洁净级别：装载侧为C级，卸载侧为B级。</w:t>
            </w:r>
          </w:p>
        </w:tc>
        <w:tc>
          <w:tcPr>
            <w:tcW w:w="2124"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9" w:edGrp="everyone"/>
          </w:p>
        </w:tc>
        <w:tc>
          <w:tcPr>
            <w:tcW w:w="7125" w:type="dxa"/>
            <w:vAlign w:val="center"/>
          </w:tcPr>
          <w:p>
            <w:pPr>
              <w:spacing w:line="276" w:lineRule="auto"/>
              <w:jc w:val="both"/>
              <w:rPr>
                <w:color w:val="000000"/>
                <w:lang w:eastAsia="zh-CN"/>
              </w:rPr>
            </w:pPr>
            <w:r>
              <w:rPr>
                <w:rFonts w:hint="eastAsia"/>
                <w:bCs/>
                <w:lang w:eastAsia="zh-CN"/>
              </w:rPr>
              <w:t>交流电电源：</w:t>
            </w:r>
            <w:r>
              <w:rPr>
                <w:bCs/>
                <w:lang w:eastAsia="zh-CN"/>
              </w:rPr>
              <w:t>380V</w:t>
            </w:r>
            <w:r>
              <w:rPr>
                <w:rFonts w:hint="eastAsia"/>
                <w:bCs/>
                <w:lang w:eastAsia="zh-CN"/>
              </w:rPr>
              <w:t>±</w:t>
            </w:r>
            <w:r>
              <w:rPr>
                <w:bCs/>
                <w:lang w:eastAsia="zh-CN"/>
              </w:rPr>
              <w:t>10%</w:t>
            </w:r>
            <w:r>
              <w:rPr>
                <w:rFonts w:hint="eastAsia"/>
                <w:bCs/>
                <w:lang w:eastAsia="zh-CN"/>
              </w:rPr>
              <w:t>，</w:t>
            </w:r>
            <w:r>
              <w:rPr>
                <w:bCs/>
                <w:lang w:eastAsia="zh-CN"/>
              </w:rPr>
              <w:t>50</w:t>
            </w:r>
            <w:r>
              <w:rPr>
                <w:rFonts w:hint="eastAsia"/>
                <w:bCs/>
                <w:lang w:eastAsia="zh-CN"/>
              </w:rPr>
              <w:t>±</w:t>
            </w:r>
            <w:r>
              <w:rPr>
                <w:bCs/>
                <w:lang w:eastAsia="zh-CN"/>
              </w:rPr>
              <w:t>1HZ</w:t>
            </w:r>
            <w:r>
              <w:rPr>
                <w:rFonts w:hint="eastAsia"/>
                <w:bCs/>
                <w:lang w:eastAsia="zh-CN"/>
              </w:rPr>
              <w:t>。</w:t>
            </w:r>
          </w:p>
        </w:tc>
        <w:tc>
          <w:tcPr>
            <w:tcW w:w="2124" w:type="dxa"/>
            <w:vAlign w:val="center"/>
          </w:tcPr>
          <w:p>
            <w:pPr>
              <w:jc w:val="both"/>
              <w:rPr>
                <w:szCs w:val="21"/>
                <w:lang w:val="en-US"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20" w:edGrp="everyone"/>
          </w:p>
        </w:tc>
        <w:tc>
          <w:tcPr>
            <w:tcW w:w="7125" w:type="dxa"/>
            <w:vAlign w:val="center"/>
          </w:tcPr>
          <w:p>
            <w:pPr>
              <w:spacing w:line="276" w:lineRule="auto"/>
              <w:jc w:val="both"/>
              <w:rPr>
                <w:rFonts w:ascii="宋体" w:hAnsi="宋体" w:eastAsia="宋体"/>
                <w:i/>
                <w:color w:val="000000"/>
                <w:szCs w:val="21"/>
                <w:lang w:eastAsia="zh-CN"/>
              </w:rPr>
            </w:pPr>
            <w:r>
              <w:rPr>
                <w:rFonts w:hint="eastAsia" w:ascii="宋体" w:hAnsi="宋体" w:eastAsia="宋体"/>
                <w:szCs w:val="21"/>
                <w:lang w:eastAsia="zh-CN"/>
              </w:rPr>
              <w:t>传递舱外形应端正、整齐，所有表面（包括焊接面）不得有锈蚀、毛刺、凹陷、鼓包等缺陷</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olor w:val="0070C0"/>
                <w:sz w:val="21"/>
                <w:szCs w:val="21"/>
                <w:lang w:eastAsia="zh-CN"/>
              </w:rPr>
            </w:pPr>
            <w:r>
              <w:rPr>
                <w:rFonts w:hint="eastAsia" w:ascii="宋体" w:hAnsi="宋体" w:eastAsia="宋体" w:cs="Arial"/>
                <w:sz w:val="21"/>
                <w:szCs w:val="21"/>
                <w:lang w:eastAsia="zh-CN"/>
              </w:rPr>
              <w:t>所有制造用材料都应符合中国和</w:t>
            </w:r>
            <w:r>
              <w:rPr>
                <w:rFonts w:ascii="宋体" w:hAnsi="宋体" w:eastAsia="宋体" w:cs="Arial"/>
                <w:sz w:val="21"/>
                <w:szCs w:val="21"/>
                <w:lang w:eastAsia="zh-CN"/>
              </w:rPr>
              <w:t>WHO/GMP</w:t>
            </w:r>
            <w:r>
              <w:rPr>
                <w:rFonts w:hint="eastAsia" w:ascii="宋体" w:hAnsi="宋体" w:eastAsia="宋体" w:cs="Arial"/>
                <w:sz w:val="21"/>
                <w:szCs w:val="21"/>
                <w:lang w:eastAsia="zh-CN"/>
              </w:rPr>
              <w:t>的要求，所有材料应当是新的，无缺陷，完全符合于目标用途。</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最外层装饰面罩采用</w:t>
            </w:r>
            <w:r>
              <w:rPr>
                <w:rFonts w:ascii="宋体" w:hAnsi="宋体" w:eastAsia="宋体" w:cs="Arial"/>
                <w:sz w:val="21"/>
                <w:szCs w:val="21"/>
                <w:lang w:eastAsia="zh-CN"/>
              </w:rPr>
              <w:t>304</w:t>
            </w:r>
            <w:r>
              <w:rPr>
                <w:rFonts w:hint="eastAsia" w:ascii="宋体" w:hAnsi="宋体" w:eastAsia="宋体" w:cs="Arial"/>
                <w:sz w:val="21"/>
                <w:szCs w:val="21"/>
                <w:lang w:eastAsia="zh-CN"/>
              </w:rPr>
              <w:t>不锈钢拉丝板，光亮易清洁。</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7"/>
              <w:rPr>
                <w:rFonts w:ascii="宋体" w:hAnsi="宋体" w:eastAsia="宋体" w:cs="Arial"/>
                <w:szCs w:val="21"/>
                <w:lang w:eastAsia="zh-CN"/>
              </w:rPr>
            </w:pPr>
            <w:r>
              <w:rPr>
                <w:rFonts w:hint="eastAsia"/>
                <w:lang w:eastAsia="zh-CN"/>
              </w:rPr>
              <w:t>设备上应有过氧化氢危害的警示标识</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内腔为</w:t>
            </w:r>
            <w:r>
              <w:rPr>
                <w:rFonts w:ascii="宋体" w:hAnsi="宋体" w:eastAsia="宋体" w:cs="Arial"/>
                <w:sz w:val="21"/>
                <w:szCs w:val="21"/>
                <w:lang w:eastAsia="zh-CN"/>
              </w:rPr>
              <w:t>316L</w:t>
            </w:r>
            <w:r>
              <w:rPr>
                <w:rFonts w:hint="eastAsia" w:ascii="宋体" w:hAnsi="宋体" w:eastAsia="宋体" w:cs="Arial"/>
                <w:sz w:val="21"/>
                <w:szCs w:val="21"/>
                <w:lang w:eastAsia="zh-CN"/>
              </w:rPr>
              <w:t>不锈钢，厚度不低于</w:t>
            </w:r>
            <w:r>
              <w:rPr>
                <w:rFonts w:ascii="宋体" w:hAnsi="宋体" w:eastAsia="宋体" w:cs="Arial"/>
                <w:sz w:val="21"/>
                <w:szCs w:val="21"/>
                <w:lang w:eastAsia="zh-CN"/>
              </w:rPr>
              <w:t>2mm</w:t>
            </w:r>
            <w:r>
              <w:rPr>
                <w:rFonts w:hint="eastAsia" w:ascii="宋体" w:hAnsi="宋体" w:eastAsia="宋体" w:cs="Arial"/>
                <w:sz w:val="21"/>
                <w:szCs w:val="21"/>
                <w:lang w:eastAsia="zh-CN"/>
              </w:rPr>
              <w:t>，抛光度</w:t>
            </w:r>
            <w:r>
              <w:rPr>
                <w:rFonts w:ascii="宋体" w:hAnsi="宋体" w:eastAsia="宋体" w:cs="Arial"/>
                <w:sz w:val="21"/>
                <w:szCs w:val="21"/>
                <w:lang w:eastAsia="zh-CN"/>
              </w:rPr>
              <w:t>Ra&lt;0.6um</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表面光滑无死角，所有焊接与接头处必须去毛刺</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设备上所有可能与过氧化氢接触的材料（包括所有密封垫）应能够耐受过氧化氢的腐蚀，不会释放出导致危害健康与环境的有毒物质。</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sz w:val="21"/>
                <w:szCs w:val="21"/>
                <w:lang w:eastAsia="zh-CN"/>
              </w:rPr>
              <w:t>内架和外车使用304</w:t>
            </w:r>
            <w:r>
              <w:rPr>
                <w:rFonts w:ascii="宋体" w:hAnsi="宋体" w:eastAsia="宋体"/>
                <w:sz w:val="21"/>
                <w:szCs w:val="21"/>
                <w:lang w:eastAsia="zh-CN"/>
              </w:rPr>
              <w:t>/316</w:t>
            </w:r>
            <w:r>
              <w:rPr>
                <w:rFonts w:hint="eastAsia" w:ascii="宋体" w:hAnsi="宋体" w:eastAsia="宋体"/>
                <w:sz w:val="21"/>
                <w:szCs w:val="21"/>
                <w:lang w:eastAsia="zh-CN"/>
              </w:rPr>
              <w:t>不锈钢材料制成，承重不锈钢厚度不小于2mm</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设备供应商应提供合适型号的排风机和下方的风管并负责安装，使设备排气可以顺畅排出；风机和管道必须耐过氧化氢</w:t>
            </w:r>
            <w:r>
              <w:rPr>
                <w:rFonts w:ascii="宋体" w:hAnsi="宋体"/>
                <w:sz w:val="21"/>
                <w:szCs w:val="21"/>
                <w:lang w:eastAsia="zh-CN"/>
              </w:rPr>
              <w:t>腐蚀</w:t>
            </w:r>
            <w:r>
              <w:rPr>
                <w:rFonts w:hint="eastAsia" w:ascii="宋体" w:hAnsi="宋体"/>
                <w:sz w:val="21"/>
                <w:szCs w:val="21"/>
                <w:lang w:eastAsia="zh-CN"/>
              </w:rPr>
              <w:t>。</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125" w:type="dxa"/>
            <w:vAlign w:val="center"/>
          </w:tcPr>
          <w:p>
            <w:pPr>
              <w:pStyle w:val="8"/>
              <w:spacing w:line="276" w:lineRule="auto"/>
              <w:rPr>
                <w:rFonts w:ascii="宋体" w:hAnsi="宋体"/>
                <w:sz w:val="21"/>
                <w:szCs w:val="21"/>
                <w:lang w:eastAsia="zh-CN"/>
              </w:rPr>
            </w:pPr>
            <w:r>
              <w:rPr>
                <w:rFonts w:hint="eastAsia" w:ascii="宋体" w:hAnsi="宋体"/>
                <w:sz w:val="21"/>
                <w:szCs w:val="21"/>
                <w:lang w:val="en-US" w:eastAsia="zh-CN"/>
              </w:rPr>
              <w:t>安装</w:t>
            </w:r>
            <w:r>
              <w:rPr>
                <w:rFonts w:hint="eastAsia" w:ascii="宋体" w:hAnsi="宋体"/>
                <w:sz w:val="21"/>
                <w:szCs w:val="21"/>
                <w:lang w:eastAsia="zh-CN"/>
              </w:rPr>
              <w:t>尘埃粒子、浮游菌检测口，供验证时使用</w:t>
            </w:r>
          </w:p>
        </w:tc>
        <w:tc>
          <w:tcPr>
            <w:tcW w:w="21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125" w:type="dxa"/>
            <w:vAlign w:val="center"/>
          </w:tcPr>
          <w:p>
            <w:pPr>
              <w:pStyle w:val="8"/>
              <w:spacing w:line="276" w:lineRule="auto"/>
              <w:rPr>
                <w:rFonts w:ascii="宋体" w:hAnsi="宋体"/>
                <w:sz w:val="21"/>
                <w:szCs w:val="21"/>
                <w:lang w:val="en-US" w:eastAsia="zh-CN"/>
              </w:rPr>
            </w:pPr>
            <w:r>
              <w:rPr>
                <w:rFonts w:hint="eastAsia" w:ascii="宋体" w:hAnsi="宋体"/>
                <w:bCs/>
                <w:sz w:val="21"/>
                <w:szCs w:val="21"/>
                <w:lang w:eastAsia="zh-CN"/>
              </w:rPr>
              <w:t>应设发烟孔和上游浓度检测孔，可对</w:t>
            </w:r>
            <w:r>
              <w:rPr>
                <w:rFonts w:hint="eastAsia" w:ascii="宋体" w:hAnsi="宋体"/>
                <w:sz w:val="21"/>
                <w:szCs w:val="21"/>
                <w:lang w:eastAsia="zh-CN"/>
              </w:rPr>
              <w:t>每块</w:t>
            </w:r>
            <w:r>
              <w:rPr>
                <w:rFonts w:hint="eastAsia" w:ascii="宋体" w:hAnsi="宋体"/>
                <w:bCs/>
                <w:sz w:val="21"/>
                <w:szCs w:val="21"/>
                <w:lang w:eastAsia="zh-CN"/>
              </w:rPr>
              <w:t>高效过滤器进行检漏，包括进风口高效。</w:t>
            </w:r>
          </w:p>
        </w:tc>
        <w:tc>
          <w:tcPr>
            <w:tcW w:w="21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125" w:type="dxa"/>
            <w:vAlign w:val="center"/>
          </w:tcPr>
          <w:p>
            <w:pPr>
              <w:pStyle w:val="8"/>
              <w:spacing w:line="276" w:lineRule="auto"/>
              <w:rPr>
                <w:rFonts w:ascii="宋体" w:hAnsi="宋体"/>
                <w:sz w:val="21"/>
                <w:szCs w:val="21"/>
                <w:lang w:val="en-US" w:eastAsia="zh-CN"/>
              </w:rPr>
            </w:pPr>
            <w:r>
              <w:rPr>
                <w:rFonts w:hint="eastAsia" w:ascii="宋体" w:hAnsi="宋体" w:eastAsia="宋体" w:cs="Arial"/>
                <w:sz w:val="21"/>
                <w:szCs w:val="21"/>
                <w:lang w:eastAsia="zh-CN"/>
              </w:rPr>
              <w:t>进风口高效、循环风高效和排风口高效都需要安装康菲尔或类似品牌H14高效过滤器，过滤后空气洁净度达到</w:t>
            </w:r>
            <w:r>
              <w:rPr>
                <w:rFonts w:ascii="宋体" w:hAnsi="宋体" w:eastAsia="宋体" w:cs="Arial"/>
                <w:sz w:val="21"/>
                <w:szCs w:val="21"/>
                <w:lang w:eastAsia="zh-CN"/>
              </w:rPr>
              <w:t>A</w:t>
            </w:r>
            <w:r>
              <w:rPr>
                <w:rFonts w:hint="eastAsia" w:ascii="宋体" w:hAnsi="宋体" w:eastAsia="宋体" w:cs="Arial"/>
                <w:sz w:val="21"/>
                <w:szCs w:val="21"/>
                <w:lang w:eastAsia="zh-CN"/>
              </w:rPr>
              <w:t>级</w:t>
            </w:r>
          </w:p>
        </w:tc>
        <w:tc>
          <w:tcPr>
            <w:tcW w:w="21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125" w:type="dxa"/>
            <w:vAlign w:val="center"/>
          </w:tcPr>
          <w:p>
            <w:pPr>
              <w:pStyle w:val="8"/>
              <w:spacing w:line="276" w:lineRule="auto"/>
              <w:rPr>
                <w:rFonts w:ascii="宋体" w:hAnsi="宋体"/>
                <w:sz w:val="21"/>
                <w:szCs w:val="21"/>
                <w:lang w:val="en-US" w:eastAsia="zh-CN"/>
              </w:rPr>
            </w:pPr>
            <w:r>
              <w:rPr>
                <w:rFonts w:hint="eastAsia" w:ascii="宋体" w:hAnsi="宋体"/>
                <w:sz w:val="21"/>
                <w:szCs w:val="21"/>
                <w:lang w:eastAsia="zh-CN"/>
              </w:rPr>
              <w:t xml:space="preserve">VHP管路应便于清洗  </w:t>
            </w:r>
          </w:p>
        </w:tc>
        <w:tc>
          <w:tcPr>
            <w:tcW w:w="21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设备内部构造中起密封作用的部件材质，如垫圈等应当防过氧化氢腐蚀</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各部件应悬挂金属标识牌，标识牌与</w:t>
            </w:r>
            <w:r>
              <w:rPr>
                <w:rFonts w:ascii="宋体" w:hAnsi="宋体" w:eastAsia="宋体" w:cs="Arial"/>
                <w:sz w:val="21"/>
                <w:szCs w:val="21"/>
                <w:lang w:eastAsia="zh-CN"/>
              </w:rPr>
              <w:t>PID</w:t>
            </w:r>
            <w:r>
              <w:rPr>
                <w:rFonts w:hint="eastAsia" w:ascii="宋体" w:hAnsi="宋体" w:eastAsia="宋体" w:cs="Arial"/>
                <w:sz w:val="21"/>
                <w:szCs w:val="21"/>
                <w:lang w:eastAsia="zh-CN"/>
              </w:rPr>
              <w:t>图相符。</w:t>
            </w:r>
          </w:p>
        </w:tc>
        <w:tc>
          <w:tcPr>
            <w:tcW w:w="2124" w:type="dxa"/>
            <w:vAlign w:val="center"/>
          </w:tcPr>
          <w:p>
            <w:pPr>
              <w:jc w:val="both"/>
              <w:rPr>
                <w:szCs w:val="21"/>
                <w:lang w:eastAsia="zh-CN"/>
              </w:rPr>
            </w:pPr>
            <w:bookmarkStart w:id="26" w:name="OLE_LINK5"/>
            <w:bookmarkStart w:id="27" w:name="OLE_LINK6"/>
            <w:r>
              <w:rPr>
                <w:rFonts w:hint="eastAsia"/>
                <w:szCs w:val="21"/>
                <w:lang w:eastAsia="zh-CN"/>
              </w:rPr>
              <w:t>关键</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sz w:val="21"/>
                <w:szCs w:val="21"/>
                <w:lang w:eastAsia="zh-CN"/>
              </w:rPr>
              <w:t>控制系统</w:t>
            </w:r>
            <w:r>
              <w:rPr>
                <w:rFonts w:ascii="宋体" w:hAnsi="宋体" w:eastAsia="宋体"/>
                <w:sz w:val="21"/>
                <w:szCs w:val="21"/>
                <w:lang w:eastAsia="zh-CN"/>
              </w:rPr>
              <w:t>必须</w:t>
            </w:r>
            <w:r>
              <w:rPr>
                <w:rFonts w:hint="eastAsia" w:ascii="宋体" w:hAnsi="宋体" w:eastAsia="宋体"/>
                <w:sz w:val="21"/>
                <w:szCs w:val="21"/>
                <w:lang w:eastAsia="zh-CN"/>
              </w:rPr>
              <w:t>选用</w:t>
            </w:r>
            <w:r>
              <w:rPr>
                <w:rFonts w:ascii="宋体" w:hAnsi="宋体" w:eastAsia="宋体"/>
                <w:sz w:val="21"/>
                <w:szCs w:val="21"/>
                <w:lang w:eastAsia="zh-CN"/>
              </w:rPr>
              <w:t>是</w:t>
            </w:r>
            <w:r>
              <w:rPr>
                <w:rFonts w:hint="eastAsia" w:ascii="宋体" w:hAnsi="宋体" w:eastAsia="宋体"/>
                <w:sz w:val="21"/>
                <w:szCs w:val="21"/>
                <w:lang w:eastAsia="zh-CN"/>
              </w:rPr>
              <w:t>西门子等进口知名品牌；其他电子元器件、电机、压力变送器、温度传感器、过氧化氢传感器等也必须选用优质进口或合资品牌，应在配置文件中标明</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sz w:val="21"/>
                <w:szCs w:val="21"/>
                <w:lang w:eastAsia="zh-CN"/>
              </w:rPr>
              <w:t>需要在显眼处设置至少包含以下信息的铭牌：制造</w:t>
            </w:r>
            <w:r>
              <w:rPr>
                <w:rFonts w:ascii="宋体" w:hAnsi="宋体" w:eastAsia="宋体"/>
                <w:sz w:val="21"/>
                <w:szCs w:val="21"/>
                <w:lang w:eastAsia="zh-CN"/>
              </w:rPr>
              <w:t>/</w:t>
            </w:r>
            <w:r>
              <w:rPr>
                <w:rFonts w:hint="eastAsia" w:ascii="宋体" w:hAnsi="宋体" w:eastAsia="宋体"/>
                <w:sz w:val="21"/>
                <w:szCs w:val="21"/>
                <w:lang w:eastAsia="zh-CN"/>
              </w:rPr>
              <w:t>供应单位；产品注册号；型号；生产日期、编号等</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cs="Arial"/>
                <w:sz w:val="21"/>
                <w:szCs w:val="21"/>
                <w:lang w:eastAsia="zh-CN"/>
              </w:rPr>
              <w:t>各部件应悬挂金属标识牌，标识牌与</w:t>
            </w:r>
            <w:r>
              <w:rPr>
                <w:rFonts w:ascii="宋体" w:hAnsi="宋体" w:eastAsia="宋体" w:cs="Arial"/>
                <w:sz w:val="21"/>
                <w:szCs w:val="21"/>
                <w:lang w:eastAsia="zh-CN"/>
              </w:rPr>
              <w:t>PID</w:t>
            </w:r>
            <w:r>
              <w:rPr>
                <w:rFonts w:hint="eastAsia" w:ascii="宋体" w:hAnsi="宋体" w:eastAsia="宋体" w:cs="Arial"/>
                <w:sz w:val="21"/>
                <w:szCs w:val="21"/>
                <w:lang w:eastAsia="zh-CN"/>
              </w:rPr>
              <w:t>图相符。</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应提供过氧化氢储液瓶2个</w:t>
            </w:r>
          </w:p>
        </w:tc>
        <w:tc>
          <w:tcPr>
            <w:tcW w:w="2124" w:type="dxa"/>
            <w:vAlign w:val="center"/>
          </w:tcPr>
          <w:p>
            <w:pPr>
              <w:jc w:val="both"/>
              <w:rPr>
                <w:szCs w:val="21"/>
                <w:lang w:eastAsia="zh-CN"/>
              </w:rPr>
            </w:pPr>
            <w:r>
              <w:rPr>
                <w:rFonts w:hint="eastAsia"/>
                <w:szCs w:val="21"/>
                <w:lang w:eastAsia="zh-CN"/>
              </w:rPr>
              <w:t>关键</w:t>
            </w:r>
          </w:p>
        </w:tc>
      </w:tr>
      <w:bookmarkEnd w:id="24"/>
      <w:bookmarkEnd w:id="25"/>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8" w:name="_Toc522107740"/>
      <w:bookmarkStart w:id="29" w:name="_Toc50986669"/>
      <w:r>
        <w:rPr>
          <w:rFonts w:ascii="Times New Roman" w:hAnsi="Times New Roman"/>
          <w:b/>
        </w:rPr>
        <w:t>运行要求</w:t>
      </w:r>
      <w:bookmarkEnd w:id="28"/>
      <w:bookmarkEnd w:id="29"/>
    </w:p>
    <w:tbl>
      <w:tblPr>
        <w:tblStyle w:val="24"/>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02"/>
        <w:gridCol w:w="702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402" w:type="dxa"/>
            <w:shd w:val="clear" w:color="auto" w:fill="D9D9D9"/>
            <w:vAlign w:val="center"/>
          </w:tcPr>
          <w:p>
            <w:pPr>
              <w:jc w:val="center"/>
              <w:rPr>
                <w:b/>
                <w:szCs w:val="21"/>
              </w:rPr>
            </w:pPr>
            <w:permStart w:id="21" w:edGrp="everyone"/>
            <w:permEnd w:id="21"/>
            <w:r>
              <w:rPr>
                <w:b/>
                <w:szCs w:val="21"/>
              </w:rPr>
              <w:t>编号</w:t>
            </w:r>
          </w:p>
        </w:tc>
        <w:tc>
          <w:tcPr>
            <w:tcW w:w="7026" w:type="dxa"/>
            <w:shd w:val="clear" w:color="auto" w:fill="D9D9D9"/>
            <w:vAlign w:val="center"/>
          </w:tcPr>
          <w:p>
            <w:pPr>
              <w:jc w:val="center"/>
              <w:rPr>
                <w:b/>
                <w:szCs w:val="21"/>
                <w:lang w:eastAsia="zh-CN"/>
              </w:rPr>
            </w:pPr>
            <w:r>
              <w:rPr>
                <w:b/>
                <w:szCs w:val="21"/>
                <w:lang w:eastAsia="zh-CN"/>
              </w:rPr>
              <w:t>需求</w:t>
            </w:r>
          </w:p>
        </w:tc>
        <w:tc>
          <w:tcPr>
            <w:tcW w:w="2046"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22" w:edGrp="everyone"/>
          </w:p>
        </w:tc>
        <w:tc>
          <w:tcPr>
            <w:tcW w:w="9072" w:type="dxa"/>
            <w:gridSpan w:val="2"/>
            <w:vAlign w:val="center"/>
          </w:tcPr>
          <w:p>
            <w:pPr>
              <w:rPr>
                <w:sz w:val="18"/>
                <w:szCs w:val="21"/>
                <w:lang w:eastAsia="zh-CN"/>
              </w:rPr>
            </w:pPr>
            <w:r>
              <w:rPr>
                <w:rFonts w:hint="eastAsia"/>
                <w:sz w:val="18"/>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3" w:edGrp="everyone"/>
            <w:permEnd w:id="23"/>
          </w:p>
        </w:tc>
        <w:tc>
          <w:tcPr>
            <w:tcW w:w="907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4" w:edGrp="everyone"/>
          </w:p>
        </w:tc>
        <w:tc>
          <w:tcPr>
            <w:tcW w:w="7026" w:type="dxa"/>
            <w:vAlign w:val="center"/>
          </w:tcPr>
          <w:p>
            <w:pPr>
              <w:spacing w:line="276" w:lineRule="auto"/>
              <w:jc w:val="both"/>
              <w:rPr>
                <w:szCs w:val="21"/>
                <w:lang w:eastAsia="zh-CN"/>
              </w:rPr>
            </w:pPr>
            <w:r>
              <w:rPr>
                <w:rFonts w:hint="eastAsia"/>
                <w:color w:val="000000"/>
                <w:szCs w:val="21"/>
                <w:lang w:eastAsia="zh-CN"/>
              </w:rPr>
              <w:t>内室有效容积不低于3m³</w:t>
            </w:r>
          </w:p>
        </w:tc>
        <w:tc>
          <w:tcPr>
            <w:tcW w:w="2046"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i/>
                <w:szCs w:val="21"/>
                <w:lang w:eastAsia="zh-CN"/>
              </w:rPr>
            </w:pPr>
            <w:r>
              <w:rPr>
                <w:rFonts w:hint="eastAsia" w:ascii="宋体" w:hAnsi="宋体" w:eastAsia="宋体" w:cs="Arial"/>
                <w:szCs w:val="21"/>
                <w:lang w:val="en-US" w:eastAsia="zh-CN"/>
              </w:rPr>
              <w:t>灭菌物品：无菌胶塞袋、10L大立瓶若干，</w:t>
            </w:r>
            <w:r>
              <w:rPr>
                <w:rFonts w:hint="eastAsia" w:ascii="宋体" w:hAnsi="宋体" w:eastAsia="宋体"/>
                <w:szCs w:val="21"/>
                <w:lang w:eastAsia="zh-CN"/>
              </w:rPr>
              <w:t>物品以我公司实际物品大小为准。</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5" w:edGrp="everyone"/>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灭菌温度</w:t>
            </w:r>
            <w:r>
              <w:rPr>
                <w:rFonts w:hint="eastAsia" w:ascii="宋体" w:hAnsi="宋体"/>
                <w:szCs w:val="24"/>
                <w:lang w:eastAsia="zh-CN"/>
              </w:rPr>
              <w:t>＜30</w:t>
            </w:r>
            <w:r>
              <w:rPr>
                <w:rFonts w:hint="eastAsia" w:ascii="宋体" w:hAnsi="宋体"/>
                <w:szCs w:val="24"/>
              </w:rPr>
              <w:t>℃</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cs="宋体"/>
                <w:szCs w:val="21"/>
                <w:lang w:eastAsia="zh-CN"/>
              </w:rPr>
              <w:t>灭菌+排残周期＜100min</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szCs w:val="21"/>
                <w:lang w:val="en-US" w:eastAsia="zh-CN"/>
              </w:rPr>
            </w:pPr>
            <w:r>
              <w:rPr>
                <w:rFonts w:hint="eastAsia" w:ascii="宋体" w:hAnsi="宋体"/>
                <w:szCs w:val="24"/>
                <w:lang w:eastAsia="zh-CN"/>
              </w:rPr>
              <w:t>过氧化氢残留：</w:t>
            </w:r>
            <w:r>
              <w:rPr>
                <w:rFonts w:hint="eastAsia" w:ascii="宋体" w:hAnsi="宋体" w:cs="宋体"/>
                <w:szCs w:val="24"/>
                <w:lang w:eastAsia="zh-CN"/>
              </w:rPr>
              <w:t>灭菌完成、排残结束后内室的过氧化氢浓度应小于</w:t>
            </w:r>
            <w:r>
              <w:rPr>
                <w:rFonts w:ascii="宋体" w:hAnsi="宋体" w:cs="宋体"/>
                <w:szCs w:val="24"/>
                <w:lang w:eastAsia="zh-CN"/>
              </w:rPr>
              <w:t>1ppm</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szCs w:val="24"/>
                <w:shd w:val="clear" w:color="auto" w:fill="FFFFFF"/>
                <w:lang w:eastAsia="zh-CN"/>
              </w:rPr>
              <w:t>对嗜热脂肪芽胞的杀灭能力达到</w:t>
            </w:r>
            <w:r>
              <w:rPr>
                <w:rFonts w:ascii="宋体" w:hAnsi="宋体"/>
                <w:szCs w:val="24"/>
                <w:shd w:val="clear" w:color="auto" w:fill="FFFFFF"/>
                <w:lang w:eastAsia="zh-CN"/>
              </w:rPr>
              <w:t>10</w:t>
            </w:r>
            <w:r>
              <w:rPr>
                <w:rFonts w:ascii="宋体" w:hAnsi="宋体"/>
                <w:szCs w:val="24"/>
                <w:shd w:val="clear" w:color="auto" w:fill="FFFFFF"/>
                <w:vertAlign w:val="superscript"/>
                <w:lang w:eastAsia="zh-CN"/>
              </w:rPr>
              <w:t>6</w:t>
            </w:r>
          </w:p>
        </w:tc>
        <w:tc>
          <w:tcPr>
            <w:tcW w:w="2046"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6" w:edGrp="everyone"/>
          </w:p>
        </w:tc>
        <w:tc>
          <w:tcPr>
            <w:tcW w:w="7026" w:type="dxa"/>
            <w:vAlign w:val="center"/>
          </w:tcPr>
          <w:p>
            <w:pPr>
              <w:spacing w:line="276" w:lineRule="auto"/>
              <w:jc w:val="both"/>
              <w:rPr>
                <w:rFonts w:ascii="宋体" w:hAnsi="宋体" w:eastAsia="宋体"/>
                <w:szCs w:val="21"/>
                <w:lang w:val="en-US" w:eastAsia="zh-CN"/>
              </w:rPr>
            </w:pPr>
            <w:r>
              <w:rPr>
                <w:rFonts w:hint="eastAsia" w:ascii="宋体" w:hAnsi="宋体"/>
                <w:szCs w:val="24"/>
                <w:lang w:eastAsia="zh-CN"/>
              </w:rPr>
              <w:t>舱内照明：</w:t>
            </w:r>
            <w:r>
              <w:rPr>
                <w:rFonts w:hint="eastAsia" w:ascii="宋体" w:hAnsi="宋体" w:cs="宋体"/>
                <w:szCs w:val="24"/>
                <w:lang w:eastAsia="zh-CN"/>
              </w:rPr>
              <w:t>冷光源、照度≥</w:t>
            </w:r>
            <w:r>
              <w:rPr>
                <w:rFonts w:ascii="宋体" w:hAnsi="宋体" w:cs="宋体"/>
                <w:szCs w:val="24"/>
                <w:lang w:eastAsia="zh-CN"/>
              </w:rPr>
              <w:t>300lx</w:t>
            </w:r>
          </w:p>
        </w:tc>
        <w:tc>
          <w:tcPr>
            <w:tcW w:w="2046"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7" w:edGrp="everyone"/>
          </w:p>
        </w:tc>
        <w:tc>
          <w:tcPr>
            <w:tcW w:w="7026" w:type="dxa"/>
            <w:vAlign w:val="center"/>
          </w:tcPr>
          <w:p>
            <w:pPr>
              <w:spacing w:line="276" w:lineRule="auto"/>
              <w:jc w:val="both"/>
              <w:rPr>
                <w:rFonts w:ascii="宋体" w:hAnsi="宋体" w:eastAsia="宋体"/>
                <w:szCs w:val="21"/>
                <w:lang w:eastAsia="zh-CN"/>
              </w:rPr>
            </w:pPr>
            <w:r>
              <w:rPr>
                <w:rFonts w:hint="eastAsia" w:ascii="宋体" w:hAnsi="宋体" w:eastAsia="宋体" w:cs="Arial"/>
                <w:szCs w:val="21"/>
                <w:lang w:eastAsia="zh-CN"/>
              </w:rPr>
              <w:t xml:space="preserve">保压测试不低于以下标准： </w:t>
            </w:r>
            <w:r>
              <w:rPr>
                <w:lang w:eastAsia="zh-CN"/>
              </w:rPr>
              <w:t>从100pa降到80pa的时间大于128秒</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szCs w:val="24"/>
                <w:lang w:eastAsia="zh-CN"/>
              </w:rPr>
              <w:t>灭菌腔内外压差：</w:t>
            </w:r>
            <w:r>
              <w:rPr>
                <w:rFonts w:ascii="宋体" w:hAnsi="宋体" w:cs="宋体"/>
                <w:szCs w:val="24"/>
                <w:lang w:eastAsia="zh-CN"/>
              </w:rPr>
              <w:t>10</w:t>
            </w:r>
            <w:r>
              <w:rPr>
                <w:rFonts w:hint="eastAsia" w:ascii="宋体" w:hAnsi="宋体" w:cs="宋体"/>
                <w:szCs w:val="24"/>
                <w:lang w:eastAsia="zh-CN"/>
              </w:rPr>
              <w:t>～</w:t>
            </w:r>
            <w:r>
              <w:rPr>
                <w:rFonts w:ascii="宋体" w:hAnsi="宋体" w:cs="宋体"/>
                <w:szCs w:val="24"/>
                <w:lang w:eastAsia="zh-CN"/>
              </w:rPr>
              <w:t>80Pa</w:t>
            </w:r>
            <w:r>
              <w:rPr>
                <w:rFonts w:hint="eastAsia" w:ascii="宋体" w:hAnsi="宋体" w:cs="宋体"/>
                <w:szCs w:val="24"/>
                <w:lang w:eastAsia="zh-CN"/>
              </w:rPr>
              <w:t>可调</w:t>
            </w:r>
          </w:p>
        </w:tc>
        <w:tc>
          <w:tcPr>
            <w:tcW w:w="2046"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pStyle w:val="8"/>
              <w:spacing w:line="360" w:lineRule="auto"/>
              <w:rPr>
                <w:rFonts w:ascii="宋体" w:hAnsi="宋体" w:cs="宋体"/>
                <w:sz w:val="21"/>
                <w:szCs w:val="21"/>
                <w:lang w:eastAsia="zh-CN"/>
              </w:rPr>
            </w:pPr>
            <w:r>
              <w:rPr>
                <w:rFonts w:hint="eastAsia" w:ascii="宋体" w:hAnsi="宋体" w:cs="宋体"/>
                <w:sz w:val="21"/>
                <w:szCs w:val="21"/>
                <w:lang w:eastAsia="zh-CN"/>
              </w:rPr>
              <w:t>腔室内洁净环境要求：</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浮游菌</w:t>
            </w:r>
            <w:r>
              <w:rPr>
                <w:rFonts w:ascii="宋体" w:hAnsi="宋体" w:cs="宋体"/>
                <w:sz w:val="21"/>
                <w:szCs w:val="21"/>
                <w:lang w:eastAsia="zh-CN"/>
              </w:rPr>
              <w:t>cfu/m</w:t>
            </w:r>
            <w:r>
              <w:rPr>
                <w:rFonts w:hint="eastAsia" w:ascii="宋体" w:hAnsi="宋体" w:cs="宋体"/>
                <w:sz w:val="21"/>
                <w:szCs w:val="21"/>
                <w:lang w:eastAsia="zh-CN"/>
              </w:rPr>
              <w:t>³＜</w:t>
            </w:r>
            <w:r>
              <w:rPr>
                <w:rFonts w:ascii="宋体" w:hAnsi="宋体" w:cs="宋体"/>
                <w:sz w:val="21"/>
                <w:szCs w:val="21"/>
                <w:lang w:eastAsia="zh-CN"/>
              </w:rPr>
              <w:t>1</w:t>
            </w:r>
            <w:r>
              <w:rPr>
                <w:rFonts w:hint="eastAsia" w:ascii="宋体" w:hAnsi="宋体" w:cs="宋体"/>
                <w:sz w:val="21"/>
                <w:szCs w:val="21"/>
                <w:lang w:eastAsia="zh-CN"/>
              </w:rPr>
              <w:t>；</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表面微生物接触（</w:t>
            </w:r>
            <w:r>
              <w:rPr>
                <w:rFonts w:hint="eastAsia" w:ascii="宋体" w:hAnsi="宋体" w:cs="宋体"/>
                <w:sz w:val="21"/>
                <w:szCs w:val="21"/>
              </w:rPr>
              <w:t>φ</w:t>
            </w:r>
            <w:r>
              <w:rPr>
                <w:rFonts w:ascii="宋体" w:hAnsi="宋体" w:cs="宋体"/>
                <w:sz w:val="21"/>
                <w:szCs w:val="21"/>
                <w:lang w:eastAsia="zh-CN"/>
              </w:rPr>
              <w:t>55mm</w:t>
            </w:r>
            <w:r>
              <w:rPr>
                <w:rFonts w:hint="eastAsia" w:ascii="宋体" w:hAnsi="宋体" w:cs="宋体"/>
                <w:sz w:val="21"/>
                <w:szCs w:val="21"/>
                <w:lang w:eastAsia="zh-CN"/>
              </w:rPr>
              <w:t>）</w:t>
            </w:r>
            <w:r>
              <w:rPr>
                <w:rFonts w:ascii="宋体" w:hAnsi="宋体" w:cs="宋体"/>
                <w:sz w:val="21"/>
                <w:szCs w:val="21"/>
                <w:lang w:eastAsia="zh-CN"/>
              </w:rPr>
              <w:t>cfu/</w:t>
            </w:r>
            <w:r>
              <w:rPr>
                <w:rFonts w:hint="eastAsia" w:ascii="宋体" w:hAnsi="宋体" w:cs="宋体"/>
                <w:sz w:val="21"/>
                <w:szCs w:val="21"/>
                <w:lang w:eastAsia="zh-CN"/>
              </w:rPr>
              <w:t>碟；</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粒子A级标准。</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配2个不锈钢灭菌内架、4个不锈钢灭菌推车（以DQ共同确认的数量和尺寸为准，需要满足</w:t>
            </w:r>
            <w:r>
              <w:rPr>
                <w:rFonts w:hint="eastAsia" w:ascii="宋体" w:hAnsi="宋体"/>
                <w:szCs w:val="24"/>
                <w:lang w:eastAsia="zh-CN"/>
              </w:rPr>
              <w:t>装载便利的要求</w:t>
            </w:r>
            <w:r>
              <w:rPr>
                <w:rFonts w:hint="eastAsia" w:ascii="宋体" w:hAnsi="宋体" w:eastAsia="宋体"/>
                <w:szCs w:val="21"/>
                <w:lang w:val="en-US" w:eastAsia="zh-CN"/>
              </w:rPr>
              <w:t>）。</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8" w:edGrp="everyone"/>
            <w:permEnd w:id="28"/>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9" w:edGrp="everyone"/>
          </w:p>
        </w:tc>
        <w:tc>
          <w:tcPr>
            <w:tcW w:w="7026" w:type="dxa"/>
            <w:vAlign w:val="center"/>
          </w:tcPr>
          <w:p>
            <w:pPr>
              <w:spacing w:line="276" w:lineRule="auto"/>
              <w:jc w:val="both"/>
              <w:rPr>
                <w:szCs w:val="21"/>
                <w:lang w:eastAsia="zh-CN"/>
              </w:rPr>
            </w:pPr>
            <w:r>
              <w:rPr>
                <w:rFonts w:hint="eastAsia" w:ascii="宋体" w:hAnsi="宋体"/>
                <w:szCs w:val="24"/>
                <w:lang w:eastAsia="zh-CN"/>
              </w:rPr>
              <w:t>具有内置过氧化氢气体发生装置及过氧化氢气体循环接口，接口不得小于DN32</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szCs w:val="24"/>
                <w:lang w:eastAsia="zh-CN"/>
              </w:rPr>
            </w:pPr>
            <w:r>
              <w:rPr>
                <w:rFonts w:hint="eastAsia"/>
                <w:szCs w:val="21"/>
                <w:lang w:eastAsia="zh-CN"/>
              </w:rPr>
              <w:t>设备自带干燥机，进入内室的空气应该是干燥过的，必须控制腔室内部的湿度在合适的范围。</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szCs w:val="21"/>
                <w:lang w:eastAsia="zh-CN"/>
              </w:rPr>
            </w:pPr>
            <w:r>
              <w:rPr>
                <w:rFonts w:hint="eastAsia"/>
                <w:bCs/>
                <w:szCs w:val="21"/>
                <w:lang w:eastAsia="zh-CN"/>
              </w:rPr>
              <w:t>排风机应和设备联动，应根据程序需要开启排风机，不得使传递窗内形成负压。</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排气口应安装止回阀和高效过滤器，外部空气不得通过排气口返流到内腔室。</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szCs w:val="24"/>
                <w:lang w:eastAsia="zh-CN"/>
              </w:rPr>
            </w:pPr>
            <w:r>
              <w:rPr>
                <w:rFonts w:hint="eastAsia" w:ascii="宋体" w:hAnsi="宋体"/>
                <w:szCs w:val="24"/>
                <w:lang w:eastAsia="zh-CN"/>
              </w:rPr>
              <w:t>传递舱应配备有可以移动的不锈钢搁架，用于摆放灭菌物品，要便于灭菌物品全表面（包括底部）接触过氧化氢气体。</w:t>
            </w:r>
            <w:r>
              <w:rPr>
                <w:rFonts w:hint="eastAsia"/>
                <w:szCs w:val="21"/>
                <w:lang w:eastAsia="zh-CN"/>
              </w:rPr>
              <w:t>确保所有的接触面都能达到灭菌效果。</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ascii="宋体" w:hAnsi="宋体"/>
                <w:szCs w:val="24"/>
                <w:lang w:eastAsia="zh-CN"/>
              </w:rPr>
              <w:t>具备灭菌剂催化分解功能，减少排残时间，且无残留。</w:t>
            </w:r>
          </w:p>
        </w:tc>
        <w:tc>
          <w:tcPr>
            <w:tcW w:w="2046"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ascii="宋体" w:hAnsi="宋体"/>
                <w:szCs w:val="24"/>
                <w:lang w:eastAsia="zh-CN"/>
              </w:rPr>
              <w:t>设备可自动检测过氧化氢试剂使用量以及腔体内过氧化氢气体浓度。</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VHP发生器应使用闪蒸法等可稳定产生气态过氧化氢的技术，发生量可精确控制。</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szCs w:val="21"/>
                <w:lang w:eastAsia="zh-CN"/>
              </w:rPr>
              <w:t>应精确控制传递窗内的过氧化氢浓度，在保证高杀灭率的同时应尽量控制腔室内维持相对低浓度的过氧化氢。</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腔室内的过氧化氢浓度应能持续稳定，可重复性好，设备供应商应提供相应验证数据支持。</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应有措施可避免环境温度过低对灭菌效果的影响，不得发生过氧化氢凝露的情况。</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设备应能自动判断灭菌过程中出现大量凝露的情况并发出报警</w:t>
            </w:r>
          </w:p>
        </w:tc>
        <w:tc>
          <w:tcPr>
            <w:tcW w:w="2046"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ascii="宋体" w:hAnsi="宋体" w:eastAsia="宋体"/>
                <w:szCs w:val="21"/>
                <w:lang w:eastAsia="zh-CN"/>
              </w:rPr>
              <w:t>不使用含过氧乙酸的杀孢子剂作为灭菌原料</w:t>
            </w:r>
          </w:p>
        </w:tc>
        <w:tc>
          <w:tcPr>
            <w:tcW w:w="2046" w:type="dxa"/>
            <w:vAlign w:val="center"/>
          </w:tcPr>
          <w:p>
            <w:pPr>
              <w:jc w:val="both"/>
              <w:rPr>
                <w:szCs w:val="21"/>
                <w:lang w:eastAsia="zh-CN"/>
              </w:rPr>
            </w:pPr>
            <w:r>
              <w:rPr>
                <w:rFonts w:hint="eastAsia"/>
                <w:szCs w:val="21"/>
                <w:lang w:eastAsia="zh-CN"/>
              </w:rPr>
              <w:t>关键</w:t>
            </w:r>
          </w:p>
        </w:tc>
      </w:tr>
      <w:permEnd w:id="29"/>
    </w:tbl>
    <w:p>
      <w:pPr>
        <w:pStyle w:val="31"/>
        <w:numPr>
          <w:ilvl w:val="0"/>
          <w:numId w:val="3"/>
        </w:numPr>
        <w:spacing w:after="158" w:afterLines="50"/>
        <w:ind w:left="426" w:hanging="426" w:hangingChars="202"/>
        <w:outlineLvl w:val="0"/>
        <w:rPr>
          <w:rFonts w:ascii="Times New Roman" w:hAnsi="Times New Roman"/>
          <w:b/>
        </w:rPr>
      </w:pPr>
      <w:bookmarkStart w:id="30" w:name="_Toc50986670"/>
      <w:bookmarkStart w:id="31" w:name="_Toc522107742"/>
      <w:bookmarkStart w:id="32" w:name="_Toc482370359"/>
      <w:bookmarkStart w:id="33" w:name="_Toc481702480"/>
      <w:bookmarkStart w:id="34" w:name="_Toc483227237"/>
      <w:bookmarkStart w:id="35" w:name="_Toc482717202"/>
      <w:bookmarkStart w:id="36" w:name="_Toc482625289"/>
      <w:bookmarkStart w:id="37" w:name="_Toc482370767"/>
      <w:bookmarkStart w:id="38" w:name="_Toc482370071"/>
      <w:bookmarkStart w:id="39" w:name="_Toc482359946"/>
      <w:bookmarkStart w:id="40" w:name="_Toc482360291"/>
      <w:bookmarkStart w:id="41" w:name="_Toc483400317"/>
      <w:bookmarkStart w:id="42" w:name="_Toc482370151"/>
      <w:bookmarkStart w:id="43" w:name="_Toc482369815"/>
      <w:r>
        <w:rPr>
          <w:rFonts w:ascii="Times New Roman" w:hAnsi="Times New Roman"/>
          <w:b/>
        </w:rPr>
        <w:t>电气、自动控制要求</w:t>
      </w:r>
      <w:bookmarkEnd w:id="30"/>
    </w:p>
    <w:p>
      <w:pPr>
        <w:pStyle w:val="35"/>
        <w:spacing w:before="0" w:line="360" w:lineRule="auto"/>
        <w:ind w:left="425"/>
        <w:jc w:val="left"/>
        <w:rPr>
          <w:i/>
          <w:color w:val="4472C4"/>
          <w:szCs w:val="21"/>
          <w:lang w:eastAsia="zh-CN"/>
        </w:rPr>
      </w:pPr>
      <w:permStart w:id="3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使用11寸左右西门子触摸屏，应显示和记录设备工艺的各个参数，操作便捷。必须选用高端型号屏，保证</w:t>
            </w:r>
            <w:r>
              <w:rPr>
                <w:rFonts w:ascii="Arial" w:hAnsi="Arial" w:cs="Arial"/>
                <w:szCs w:val="24"/>
                <w:lang w:eastAsia="zh-CN"/>
              </w:rPr>
              <w:t>10</w:t>
            </w:r>
            <w:r>
              <w:rPr>
                <w:rFonts w:hint="eastAsia" w:ascii="Arial" w:hAnsi="Arial" w:cs="Arial"/>
                <w:szCs w:val="24"/>
                <w:lang w:eastAsia="zh-CN"/>
              </w:rPr>
              <w:t>年之内使用不卡屏。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7"/>
              <w:rPr>
                <w:rFonts w:ascii="Arial" w:hAnsi="Arial" w:cs="Arial"/>
                <w:szCs w:val="24"/>
                <w:lang w:eastAsia="zh-CN"/>
              </w:rPr>
            </w:pPr>
            <w:r>
              <w:rPr>
                <w:rFonts w:hint="eastAsia"/>
                <w:lang w:eastAsia="zh-CN"/>
              </w:rPr>
              <w:t>触摸屏上应有且不限于有以下各种界面：设备功能选择界面、参数设置界面、用户权限管理界面、报警信息界面、校准界面等。</w:t>
            </w:r>
            <w:r>
              <w:rPr>
                <w:rFonts w:hint="eastAsia" w:ascii="Arial" w:hAnsi="Arial" w:cs="Arial"/>
                <w:szCs w:val="24"/>
                <w:lang w:eastAsia="zh-CN"/>
              </w:rPr>
              <w:t xml:space="preserve">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7"/>
              <w:rPr>
                <w:lang w:eastAsia="zh-CN"/>
              </w:rPr>
            </w:pPr>
            <w:r>
              <w:rPr>
                <w:rFonts w:hint="eastAsia" w:ascii="Arial" w:hAnsi="Arial" w:cs="Arial"/>
                <w:szCs w:val="24"/>
                <w:lang w:eastAsia="zh-CN"/>
              </w:rPr>
              <w:t>主界面可显示门的开关状态、灭菌过程是否进行、灭菌周期是否完成、是否故障、实时监测温度、湿度、过氧化氢浓度等。</w:t>
            </w:r>
          </w:p>
        </w:tc>
        <w:tc>
          <w:tcPr>
            <w:tcW w:w="2125"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i/>
                <w:szCs w:val="21"/>
                <w:lang w:eastAsia="zh-CN"/>
              </w:rPr>
            </w:pPr>
            <w:r>
              <w:rPr>
                <w:rFonts w:hint="eastAsia" w:ascii="Arial" w:hAnsi="Arial" w:cs="Arial"/>
                <w:szCs w:val="24"/>
                <w:lang w:eastAsia="zh-CN"/>
              </w:rPr>
              <w:t>内设灭菌模式、保压测试模式，可自动运行，并有相关数据信息、结果打印。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有手动控制界面，当自动程序停止运行后可手动电控各阀门和泵的开关（需遵循压力、温度安全规定，从设计上应保证手动的安全性）</w:t>
            </w:r>
          </w:p>
        </w:tc>
        <w:tc>
          <w:tcPr>
            <w:tcW w:w="2125"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应有探头偏移量校准界面和功能（归入高级权限）。</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应</w:t>
            </w:r>
            <w:r>
              <w:rPr>
                <w:rFonts w:hint="eastAsia" w:ascii="宋体" w:hAnsi="宋体"/>
                <w:szCs w:val="21"/>
                <w:lang w:eastAsia="zh-CN"/>
              </w:rPr>
              <w:t>采用进口品牌的过氧化氢浓度、相对湿度及温度传感器，浓度检测精度不低于1ppm，并可定期校验</w:t>
            </w:r>
            <w:r>
              <w:rPr>
                <w:rFonts w:hint="eastAsia" w:ascii="Arial" w:hAnsi="Arial" w:cs="Arial"/>
                <w:szCs w:val="24"/>
                <w:lang w:eastAsia="zh-CN"/>
              </w:rPr>
              <w:t>传感器可在国内有资质的第三方校验机构完成校验。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使用进口压力变送器：精度不低于</w:t>
            </w:r>
            <w:r>
              <w:rPr>
                <w:rFonts w:ascii="Arial" w:hAnsi="Arial" w:cs="Arial"/>
                <w:sz w:val="21"/>
                <w:szCs w:val="24"/>
                <w:lang w:eastAsia="zh-CN"/>
              </w:rPr>
              <w:t>0.5%</w:t>
            </w:r>
            <w:r>
              <w:rPr>
                <w:rFonts w:hint="eastAsia" w:ascii="Arial" w:hAnsi="Arial" w:cs="Arial"/>
                <w:sz w:val="21"/>
                <w:szCs w:val="24"/>
                <w:lang w:eastAsia="zh-CN"/>
              </w:rPr>
              <w:t>，压力记录精确到</w:t>
            </w:r>
            <w:r>
              <w:rPr>
                <w:rFonts w:ascii="Arial" w:hAnsi="Arial" w:cs="Arial"/>
                <w:sz w:val="21"/>
                <w:szCs w:val="24"/>
                <w:lang w:eastAsia="zh-CN"/>
              </w:rPr>
              <w:t>0.1Kpa</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vAlign w:val="center"/>
          </w:tcPr>
          <w:p>
            <w:pPr>
              <w:pStyle w:val="8"/>
              <w:widowControl w:val="0"/>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温度探头的分辨率（灵敏度）不得低于</w:t>
            </w:r>
            <w:r>
              <w:rPr>
                <w:rFonts w:ascii="Arial" w:hAnsi="Arial" w:cs="Arial"/>
                <w:sz w:val="21"/>
                <w:szCs w:val="24"/>
                <w:lang w:eastAsia="zh-CN"/>
              </w:rPr>
              <w:t>0.1</w:t>
            </w:r>
            <w:r>
              <w:rPr>
                <w:rFonts w:hint="eastAsia" w:ascii="Arial" w:hAnsi="Arial" w:cs="Arial"/>
                <w:sz w:val="21"/>
                <w:szCs w:val="24"/>
                <w:lang w:eastAsia="zh-CN"/>
              </w:rPr>
              <w:t>℃</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pStyle w:val="8"/>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报警要求：</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应根据设定的检测和限制条件及时给出相应的提示、警告。</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当设备发生出错状况或出现危急时，报警同时必须自动控制停机，报警信息被全部确认后才能开机，以防止影响产品质量和损坏机器的情况发生。</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报警信息被全部确认后才能开机，以防止影响产品质量和配有声光报警器。</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可提示气压不足、浓度异常、门互锁报警、软件系统异常等各种异常情况，报警信息能够准确显示故障原因。</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要求可设置报警上下限</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pStyle w:val="8"/>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断电保护：</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在设备正常使用时，突然断电后机器的设置参数、数据记录不会丢失，软硬件不会损坏。</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突然断电后，设备应处于保护状态，以免过氧化氢气体泄漏而造成事故。</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来电后设备应处于暂停待命状态，需要人为操作设备才能运行。</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bCs/>
                <w:szCs w:val="21"/>
                <w:lang w:val="en-US" w:eastAsia="zh-CN"/>
              </w:rPr>
              <w:t>设备</w:t>
            </w:r>
            <w:r>
              <w:rPr>
                <w:rFonts w:hint="eastAsia"/>
                <w:bCs/>
                <w:szCs w:val="21"/>
                <w:lang w:eastAsia="zh-CN"/>
              </w:rPr>
              <w:t>计算机化系统至少三级用户分层权限管理及密码管理的功能；每个等级拥有相应的可设置权限，每个用户创建唯一的用户名和密码。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Arial" w:hAnsi="Arial" w:cs="Arial"/>
                <w:szCs w:val="24"/>
                <w:lang w:eastAsia="zh-CN"/>
              </w:rPr>
              <w:t>每级权限下可设置多个用户账户，每个账户可设置对应的登陆用户名及密码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管理员可新增账户、删除账户、修改权限。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关键参数设置可通相应高级别权限进行控制，防止关键参数的随意更改。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系统时间必须由特定权限来管理和控制。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屏幕显示的结果与存储的记录、打印单应是一致的。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用户在密码输入时，显示器上应不显示实际密码（比如密码会以</w:t>
            </w:r>
            <w:r>
              <w:rPr>
                <w:bCs/>
                <w:szCs w:val="21"/>
                <w:lang w:eastAsia="zh-CN"/>
              </w:rPr>
              <w:t>*</w:t>
            </w:r>
            <w:r>
              <w:rPr>
                <w:rFonts w:hint="eastAsia"/>
                <w:bCs/>
                <w:szCs w:val="21"/>
                <w:lang w:eastAsia="zh-CN"/>
              </w:rPr>
              <w:t>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系统用户应可以设置至少</w:t>
            </w:r>
            <w:r>
              <w:rPr>
                <w:bCs/>
                <w:szCs w:val="21"/>
                <w:lang w:val="en-US" w:eastAsia="zh-CN"/>
              </w:rPr>
              <w:t>8</w:t>
            </w:r>
            <w:r>
              <w:rPr>
                <w:rFonts w:hint="eastAsia"/>
                <w:bCs/>
                <w:szCs w:val="21"/>
                <w:lang w:eastAsia="zh-CN"/>
              </w:rPr>
              <w:t>位数密码。管理员可更改自己的密码和下级权限的密码，其他权限人员仅可修改自己密码。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具备最大密码登陆尝试次数设置功能，例如</w:t>
            </w:r>
            <w:r>
              <w:rPr>
                <w:rFonts w:hint="eastAsia"/>
                <w:bCs/>
                <w:szCs w:val="21"/>
                <w:lang w:eastAsia="zh-CN"/>
              </w:rPr>
              <w:t>输错</w:t>
            </w:r>
            <w:r>
              <w:rPr>
                <w:bCs/>
                <w:szCs w:val="21"/>
                <w:lang w:eastAsia="zh-CN"/>
              </w:rPr>
              <w:t>5</w:t>
            </w:r>
            <w:r>
              <w:rPr>
                <w:rFonts w:hint="eastAsia"/>
                <w:bCs/>
                <w:szCs w:val="21"/>
                <w:lang w:eastAsia="zh-CN"/>
              </w:rPr>
              <w:t>次密码时锁定</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具备自动锁屏/登出时限设置，达到规定时限后系统自动锁屏/登出，</w:t>
            </w:r>
            <w:r>
              <w:rPr>
                <w:rFonts w:hint="eastAsia"/>
                <w:szCs w:val="21"/>
                <w:lang w:eastAsia="zh-CN"/>
              </w:rPr>
              <w:t>再次操作需重新登录账户</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系统时间与标准时间偏差≤</w:t>
            </w:r>
            <w:r>
              <w:rPr>
                <w:rFonts w:ascii="宋体" w:hAnsi="宋体"/>
                <w:szCs w:val="21"/>
                <w:lang w:eastAsia="zh-CN"/>
              </w:rPr>
              <w:t>5s/24h</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可实时打印各项关键灭菌过程数据。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使用者应不能修改运行数据结果。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控制程序能够进行备份并恢复，供应商提供可用于灾难恢复的备份程序包。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bCs/>
                <w:szCs w:val="21"/>
                <w:lang w:eastAsia="zh-CN"/>
              </w:rPr>
              <w:t>系统断电恢复后不得影响系统相关设置、并可正常使用。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bCs/>
                <w:szCs w:val="21"/>
                <w:lang w:eastAsia="zh-CN"/>
              </w:rPr>
              <w:t>系统及软件必须为正版，若为</w:t>
            </w:r>
            <w:r>
              <w:rPr>
                <w:bCs/>
                <w:szCs w:val="21"/>
                <w:lang w:eastAsia="zh-CN"/>
              </w:rPr>
              <w:t xml:space="preserve">windows </w:t>
            </w:r>
            <w:r>
              <w:rPr>
                <w:rFonts w:hint="eastAsia"/>
                <w:bCs/>
                <w:szCs w:val="21"/>
                <w:lang w:eastAsia="zh-CN"/>
              </w:rPr>
              <w:t>系统，至少是专业版以上版本。</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计算机系统应该能够存储大量数据，并且在存储大量数据后不能影响系统的正常运行；当存储介质将满之时能自动发出</w:t>
            </w:r>
            <w:r>
              <w:rPr>
                <w:rFonts w:hint="eastAsia"/>
                <w:lang w:eastAsia="zh-CN"/>
              </w:rPr>
              <w:t>报警，并且自动备份，且备份数据不得被删除；重新记录的数据可覆盖以前的数据。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cs="Arial"/>
                <w:szCs w:val="21"/>
                <w:lang w:eastAsia="zh-CN"/>
              </w:rPr>
              <w:t>厂家提供备份的电子记录读取策略，必要时提供电子记录读取软件，该软件为正版，具备读取、查询、打印功能，不具备编辑功能，且可识别对电子记录的更改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备份、恢复的电子记录应与原始电子记录一致，供应商提供一致性确认策略</w:t>
            </w:r>
          </w:p>
        </w:tc>
        <w:tc>
          <w:tcPr>
            <w:tcW w:w="2125" w:type="dxa"/>
            <w:vAlign w:val="center"/>
          </w:tcPr>
          <w:p>
            <w:pPr>
              <w:jc w:val="both"/>
              <w:rPr>
                <w:szCs w:val="21"/>
                <w:lang w:eastAsia="zh-CN"/>
              </w:rPr>
            </w:pPr>
            <w:r>
              <w:rPr>
                <w:rFonts w:hint="eastAsia"/>
                <w:szCs w:val="21"/>
                <w:lang w:eastAsia="zh-CN"/>
              </w:rPr>
              <w:t>期望</w:t>
            </w:r>
          </w:p>
        </w:tc>
      </w:tr>
      <w:permEnd w:id="3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0986671"/>
      <w:r>
        <w:rPr>
          <w:rFonts w:ascii="Times New Roman" w:hAnsi="Times New Roman"/>
          <w:b/>
        </w:rPr>
        <w:t>安全要求</w:t>
      </w:r>
      <w:bookmarkEnd w:id="31"/>
      <w:bookmarkEnd w:id="44"/>
    </w:p>
    <w:p>
      <w:pPr>
        <w:pStyle w:val="35"/>
        <w:spacing w:before="0" w:line="360" w:lineRule="auto"/>
        <w:jc w:val="left"/>
        <w:rPr>
          <w:i/>
          <w:szCs w:val="21"/>
          <w:lang w:eastAsia="zh-CN"/>
        </w:rPr>
      </w:pPr>
      <w:permStart w:id="3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szCs w:val="24"/>
                <w:lang w:eastAsia="zh-CN"/>
              </w:rPr>
              <w:t>应有舱内密闭性自动检漏功能（压降法）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4"/>
                <w:lang w:eastAsia="zh-CN"/>
              </w:rPr>
            </w:pPr>
            <w:r>
              <w:rPr>
                <w:rFonts w:hint="eastAsia"/>
                <w:lang w:eastAsia="zh-CN"/>
              </w:rPr>
              <w:t>备应有过氧化氢浓度检测传感器，当过氧化氢浓度大于</w:t>
            </w:r>
            <w:r>
              <w:rPr>
                <w:lang w:eastAsia="zh-CN"/>
              </w:rPr>
              <w:t>1.</w:t>
            </w:r>
            <w:r>
              <w:rPr>
                <w:rFonts w:hint="eastAsia"/>
                <w:lang w:eastAsia="zh-CN"/>
              </w:rPr>
              <w:t>3</w:t>
            </w:r>
            <w:r>
              <w:rPr>
                <w:lang w:eastAsia="zh-CN"/>
              </w:rPr>
              <w:t>mg/m3</w:t>
            </w:r>
            <w:r>
              <w:rPr>
                <w:rFonts w:hint="eastAsia"/>
                <w:lang w:eastAsia="zh-CN"/>
              </w:rPr>
              <w:t>时，舱门应不能被打开，且有警示灯提示。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4"/>
              </w:rPr>
              <w:t>双门电子互锁</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ascii="宋体" w:hAnsi="宋体"/>
                <w:szCs w:val="24"/>
                <w:lang w:eastAsia="zh-CN"/>
              </w:rPr>
              <w:t>有失压报警功能</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jc w:val="both"/>
              <w:rPr>
                <w:szCs w:val="21"/>
                <w:lang w:eastAsia="zh-CN"/>
              </w:rPr>
            </w:pPr>
            <w:r>
              <w:rPr>
                <w:rFonts w:hint="eastAsia"/>
                <w:bCs/>
                <w:szCs w:val="21"/>
                <w:lang w:eastAsia="zh-CN"/>
              </w:rPr>
              <w:t>电气安全应符合</w:t>
            </w:r>
            <w:r>
              <w:rPr>
                <w:bCs/>
                <w:szCs w:val="21"/>
                <w:lang w:eastAsia="zh-CN"/>
              </w:rPr>
              <w:t>GB4793.1</w:t>
            </w:r>
            <w:r>
              <w:rPr>
                <w:rFonts w:hint="eastAsia"/>
                <w:bCs/>
                <w:szCs w:val="21"/>
                <w:lang w:eastAsia="zh-CN"/>
              </w:rPr>
              <w:t>的要求，电磁兼容性应符合</w:t>
            </w:r>
            <w:r>
              <w:rPr>
                <w:bCs/>
                <w:szCs w:val="21"/>
                <w:lang w:eastAsia="zh-CN"/>
              </w:rPr>
              <w:t>GB/T18268—2000</w:t>
            </w:r>
            <w:r>
              <w:rPr>
                <w:rFonts w:hint="eastAsia"/>
                <w:bCs/>
                <w:szCs w:val="21"/>
                <w:lang w:eastAsia="zh-CN"/>
              </w:rPr>
              <w:t>《测量、控制和实验室用电设备电磁兼容性要求》。</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jc w:val="both"/>
              <w:rPr>
                <w:szCs w:val="21"/>
                <w:lang w:eastAsia="zh-CN"/>
              </w:rPr>
            </w:pPr>
            <w:r>
              <w:rPr>
                <w:rFonts w:hint="eastAsia"/>
                <w:bCs/>
                <w:szCs w:val="21"/>
                <w:lang w:eastAsia="zh-CN"/>
              </w:rPr>
              <w:t>柜体外壳、电柜、过氧化氢发生器等所有部件应接地良好，有良好的漏电保护。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ascii="宋体" w:hAnsi="宋体"/>
                <w:szCs w:val="21"/>
                <w:lang w:eastAsia="zh-CN"/>
              </w:rPr>
              <w:t>控制系统需要安装良好有效的保护电路</w:t>
            </w:r>
          </w:p>
        </w:tc>
        <w:tc>
          <w:tcPr>
            <w:tcW w:w="2125" w:type="dxa"/>
            <w:vAlign w:val="center"/>
          </w:tcPr>
          <w:p>
            <w:pPr>
              <w:jc w:val="both"/>
              <w:rPr>
                <w:szCs w:val="21"/>
                <w:lang w:eastAsia="zh-CN"/>
              </w:rPr>
            </w:pPr>
            <w:r>
              <w:rPr>
                <w:rFonts w:hint="eastAsia"/>
                <w:szCs w:val="21"/>
                <w:lang w:eastAsia="zh-CN"/>
              </w:rPr>
              <w:t>关键</w:t>
            </w:r>
          </w:p>
        </w:tc>
      </w:tr>
      <w:permEnd w:id="4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107743"/>
      <w:bookmarkStart w:id="46" w:name="_Toc50986672"/>
      <w:r>
        <w:rPr>
          <w:rFonts w:ascii="Times New Roman" w:hAnsi="Times New Roman"/>
          <w:b/>
        </w:rPr>
        <w:t>文件要求</w:t>
      </w:r>
      <w:bookmarkEnd w:id="45"/>
      <w:bookmarkEnd w:id="46"/>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3" w:edGrp="everyone"/>
            <w:permEnd w:id="4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jc w:val="both"/>
              <w:rPr>
                <w:szCs w:val="21"/>
                <w:lang w:eastAsia="zh-CN"/>
              </w:rPr>
            </w:pPr>
            <w:r>
              <w:rPr>
                <w:szCs w:val="21"/>
                <w:lang w:eastAsia="zh-CN"/>
              </w:rPr>
              <w:t xml:space="preserve"> </w:t>
            </w:r>
            <w:r>
              <w:rPr>
                <w:rFonts w:hint="eastAsia"/>
                <w:bCs/>
                <w:szCs w:val="21"/>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jc w:val="both"/>
              <w:rPr>
                <w:szCs w:val="21"/>
                <w:lang w:eastAsia="zh-CN"/>
              </w:rPr>
            </w:pPr>
            <w:r>
              <w:rPr>
                <w:rFonts w:hint="eastAsia"/>
                <w:szCs w:val="21"/>
                <w:lang w:eastAsia="zh-CN"/>
              </w:rPr>
              <w:t>供应商提供满足</w:t>
            </w:r>
            <w:r>
              <w:rPr>
                <w:szCs w:val="21"/>
                <w:lang w:eastAsia="zh-CN"/>
              </w:rPr>
              <w:t>GEP</w:t>
            </w:r>
            <w:r>
              <w:rPr>
                <w:rFonts w:hint="eastAsia"/>
                <w:szCs w:val="21"/>
                <w:lang w:eastAsia="zh-CN"/>
              </w:rPr>
              <w:t>要求的文件交付包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供应商应提供所有组件、系统功能配置清单、说明书及合格证书，包含各组件名称、编号、型号、规格、品牌、材质等。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系统选型文件，包括设备标准技术文件、功能说明、设计说明。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图纸：实物图；各种确认、维修等活动所需的电子版及打印版图纸（</w:t>
            </w:r>
            <w:r>
              <w:rPr>
                <w:bCs/>
                <w:szCs w:val="21"/>
                <w:lang w:eastAsia="zh-CN"/>
              </w:rPr>
              <w:t>P&amp;ID</w:t>
            </w:r>
            <w:r>
              <w:rPr>
                <w:rFonts w:hint="eastAsia"/>
                <w:bCs/>
                <w:szCs w:val="21"/>
                <w:lang w:eastAsia="zh-CN"/>
              </w:rPr>
              <w:t>图、尺寸图、安装图、必要的细节图、控制原理图、设备装配图、设备工作原理图、气动原理图、电气原理图、控制盘面仪表、开关配置图等线图、</w:t>
            </w:r>
            <w:r>
              <w:rPr>
                <w:bCs/>
                <w:szCs w:val="21"/>
                <w:lang w:eastAsia="zh-CN"/>
              </w:rPr>
              <w:t>PLC</w:t>
            </w:r>
            <w:r>
              <w:rPr>
                <w:rFonts w:hint="eastAsia"/>
                <w:bCs/>
                <w:szCs w:val="21"/>
                <w:lang w:eastAsia="zh-CN"/>
              </w:rPr>
              <w:t>相关图纸等）；注释参考等；图纸清单。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配件清单、易损件清单、备件、消耗品、仪表清单：包括名称、编号、对应厂家名称、生产地、规格及必要说明。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设备操作手册（</w:t>
            </w:r>
            <w:r>
              <w:rPr>
                <w:bCs/>
                <w:szCs w:val="21"/>
                <w:lang w:eastAsia="zh-CN"/>
              </w:rPr>
              <w:t>SOP</w:t>
            </w:r>
            <w:r>
              <w:rPr>
                <w:rFonts w:hint="eastAsia"/>
                <w:bCs/>
                <w:szCs w:val="21"/>
                <w:lang w:eastAsia="zh-CN"/>
              </w:rPr>
              <w:t>）：语言为中文，应说明相关仪表校准周期，并能提供校准服务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提供所有计量仪器仪表和环路的第三方校验合格报告。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供应商需提供各种必要的合格证，包括部件合格证、材质证书等。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供应商需提供工厂验收测试（</w:t>
            </w:r>
            <w:r>
              <w:rPr>
                <w:bCs/>
                <w:szCs w:val="21"/>
                <w:lang w:eastAsia="zh-CN"/>
              </w:rPr>
              <w:t>FAT</w:t>
            </w:r>
            <w:r>
              <w:rPr>
                <w:rFonts w:hint="eastAsia"/>
                <w:bCs/>
                <w:szCs w:val="21"/>
                <w:lang w:eastAsia="zh-CN"/>
              </w:rPr>
              <w:t>）和现场验收测试（</w:t>
            </w:r>
            <w:r>
              <w:rPr>
                <w:bCs/>
                <w:szCs w:val="21"/>
                <w:lang w:eastAsia="zh-CN"/>
              </w:rPr>
              <w:t>SAT</w:t>
            </w:r>
            <w:r>
              <w:rPr>
                <w:rFonts w:hint="eastAsia"/>
                <w:bCs/>
                <w:szCs w:val="21"/>
                <w:lang w:eastAsia="zh-CN"/>
              </w:rPr>
              <w:t>）报告。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供应商需提供的验证文件：</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bCs/>
                <w:color w:val="000000"/>
                <w:sz w:val="21"/>
                <w:szCs w:val="21"/>
                <w:lang w:eastAsia="zh-CN"/>
              </w:rPr>
              <w:t>验</w:t>
            </w:r>
            <w:r>
              <w:rPr>
                <w:rFonts w:hint="eastAsia" w:ascii="宋体" w:hAnsi="宋体"/>
                <w:bCs/>
                <w:color w:val="000000"/>
                <w:sz w:val="21"/>
                <w:szCs w:val="21"/>
                <w:lang w:eastAsia="zh-CN"/>
              </w:rPr>
              <w:t>证计划；</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满足</w:t>
            </w:r>
            <w:r>
              <w:rPr>
                <w:rFonts w:ascii="宋体" w:hAnsi="宋体"/>
                <w:bCs/>
                <w:color w:val="000000"/>
                <w:sz w:val="21"/>
                <w:szCs w:val="21"/>
                <w:lang w:eastAsia="zh-CN"/>
              </w:rPr>
              <w:t>GMP</w:t>
            </w:r>
            <w:r>
              <w:rPr>
                <w:rFonts w:hint="eastAsia" w:ascii="宋体" w:hAnsi="宋体"/>
                <w:bCs/>
                <w:color w:val="000000"/>
                <w:sz w:val="21"/>
                <w:szCs w:val="21"/>
                <w:lang w:eastAsia="zh-CN"/>
              </w:rPr>
              <w:t>和</w:t>
            </w:r>
            <w:r>
              <w:rPr>
                <w:rFonts w:ascii="宋体" w:hAnsi="宋体"/>
                <w:bCs/>
                <w:color w:val="000000"/>
                <w:sz w:val="21"/>
                <w:szCs w:val="21"/>
                <w:lang w:eastAsia="zh-CN"/>
              </w:rPr>
              <w:t>GAMP5</w:t>
            </w:r>
            <w:r>
              <w:rPr>
                <w:rFonts w:hint="eastAsia" w:ascii="宋体" w:hAnsi="宋体"/>
                <w:bCs/>
                <w:color w:val="000000"/>
                <w:sz w:val="21"/>
                <w:szCs w:val="21"/>
                <w:lang w:eastAsia="zh-CN"/>
              </w:rPr>
              <w:t>等相关法规的评估文件；</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设计确认及文件（</w:t>
            </w:r>
            <w:r>
              <w:rPr>
                <w:rFonts w:ascii="宋体" w:hAnsi="宋体"/>
                <w:bCs/>
                <w:color w:val="000000"/>
                <w:sz w:val="21"/>
                <w:szCs w:val="21"/>
                <w:lang w:eastAsia="zh-CN"/>
              </w:rPr>
              <w:t>DQ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安装确认及文件（</w:t>
            </w:r>
            <w:r>
              <w:rPr>
                <w:rFonts w:ascii="宋体" w:hAnsi="宋体"/>
                <w:bCs/>
                <w:color w:val="000000"/>
                <w:sz w:val="21"/>
                <w:szCs w:val="21"/>
                <w:lang w:eastAsia="zh-CN"/>
              </w:rPr>
              <w:t>IQ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运行确认及文件（</w:t>
            </w:r>
            <w:r>
              <w:rPr>
                <w:rFonts w:ascii="宋体" w:hAnsi="宋体"/>
                <w:bCs/>
                <w:color w:val="000000"/>
                <w:sz w:val="21"/>
                <w:szCs w:val="21"/>
                <w:lang w:eastAsia="zh-CN"/>
              </w:rPr>
              <w:t>OQ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性能确认及未见（PQ）</w:t>
            </w:r>
          </w:p>
          <w:p>
            <w:pPr>
              <w:pStyle w:val="8"/>
              <w:numPr>
                <w:ilvl w:val="0"/>
                <w:numId w:val="13"/>
              </w:numPr>
              <w:tabs>
                <w:tab w:val="left" w:pos="420"/>
              </w:tabs>
              <w:spacing w:line="276" w:lineRule="auto"/>
              <w:rPr>
                <w:bCs/>
                <w:sz w:val="21"/>
                <w:szCs w:val="21"/>
                <w:lang w:eastAsia="zh-CN"/>
              </w:rPr>
            </w:pPr>
            <w:r>
              <w:rPr>
                <w:rFonts w:hint="eastAsia" w:ascii="宋体" w:hAnsi="宋体"/>
                <w:bCs/>
                <w:color w:val="000000"/>
                <w:sz w:val="21"/>
                <w:szCs w:val="21"/>
                <w:lang w:eastAsia="zh-CN"/>
              </w:rPr>
              <w:t>设备生产商负责制定设备验证计划、风险评估文件、</w:t>
            </w:r>
            <w:r>
              <w:rPr>
                <w:rFonts w:ascii="宋体" w:hAnsi="宋体"/>
                <w:bCs/>
                <w:color w:val="000000"/>
                <w:sz w:val="21"/>
                <w:szCs w:val="21"/>
                <w:lang w:eastAsia="zh-CN"/>
              </w:rPr>
              <w:t>DQ/IQ/OQ</w:t>
            </w:r>
            <w:r>
              <w:rPr>
                <w:rFonts w:hint="eastAsia" w:ascii="宋体" w:hAnsi="宋体"/>
                <w:bCs/>
                <w:color w:val="000000"/>
                <w:sz w:val="21"/>
                <w:szCs w:val="21"/>
                <w:lang w:eastAsia="zh-CN"/>
              </w:rPr>
              <w:t>验证文件、并负责验证工作的实施，该验证文件作为设备必备文件</w:t>
            </w:r>
            <w:r>
              <w:rPr>
                <w:rFonts w:hint="eastAsia"/>
                <w:bCs/>
                <w:color w:val="000000"/>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bCs/>
                <w:sz w:val="21"/>
                <w:szCs w:val="21"/>
                <w:lang w:eastAsia="zh-CN"/>
              </w:rPr>
            </w:pPr>
            <w:r>
              <w:rPr>
                <w:rFonts w:hint="eastAsia" w:ascii="宋体" w:hAnsi="宋体"/>
                <w:bCs/>
                <w:sz w:val="21"/>
                <w:szCs w:val="21"/>
                <w:lang w:eastAsia="zh-CN"/>
              </w:rPr>
              <w:t>项目质量计划（PQP）</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bCs/>
                <w:szCs w:val="21"/>
                <w:lang w:eastAsia="zh-CN"/>
              </w:rPr>
            </w:pPr>
            <w:r>
              <w:rPr>
                <w:rFonts w:hint="eastAsia" w:ascii="宋体" w:hAnsi="宋体"/>
                <w:bCs/>
                <w:szCs w:val="21"/>
                <w:lang w:eastAsia="zh-CN"/>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使用操作说明书及维护保养说明（即运行及维护手册）</w:t>
            </w:r>
            <w:r>
              <w:rPr>
                <w:bCs/>
                <w:szCs w:val="21"/>
                <w:lang w:eastAsia="zh-CN"/>
              </w:rPr>
              <w:t>3</w:t>
            </w:r>
            <w:r>
              <w:rPr>
                <w:rFonts w:hint="eastAsia"/>
                <w:bCs/>
                <w:szCs w:val="21"/>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应有针对每一部件所作序号的简明图册，以便于维修人员查找和辩识。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标书中明确系统所有关键组件的品牌、材质、型号。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需要提供必要的备件，列出主要配件清单，并作单项报价备案，列在合同方案之内。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供应商需提供所有组件的合格证和说明书。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上述条款规定的文件需提供电子版，并在设备开箱验收时将最终批准的电子版全套资料交工程技术部存档。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4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7" w:name="_Toc50986673"/>
      <w:r>
        <w:rPr>
          <w:rFonts w:ascii="Times New Roman" w:hAnsi="Times New Roman"/>
          <w:b/>
          <w:szCs w:val="21"/>
        </w:rPr>
        <w:t>服务要求</w:t>
      </w:r>
      <w:bookmarkEnd w:id="4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6" w:edGrp="everyone"/>
            <w:permEnd w:id="4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color w:val="0070C0"/>
                <w:szCs w:val="21"/>
                <w:lang w:eastAsia="zh-CN"/>
              </w:rPr>
            </w:pPr>
            <w:r>
              <w:rPr>
                <w:rFonts w:hint="eastAsia"/>
                <w:bCs/>
                <w:szCs w:val="21"/>
                <w:lang w:eastAsia="zh-CN"/>
              </w:rPr>
              <w:t>设备供应商应免费对设备使用方人员进行全面培训，包括对生产操作人员及设备维护、维修人员，并填写培训记录。</w:t>
            </w:r>
            <w:r>
              <w:rPr>
                <w:rFonts w:hint="eastAsia"/>
                <w:lang w:eastAsia="zh-CN"/>
              </w:rPr>
              <w:t>培训应有安全使用和应急处置措施相关的内容</w:t>
            </w:r>
          </w:p>
        </w:tc>
        <w:tc>
          <w:tcPr>
            <w:tcW w:w="2125"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color w:val="0070C0"/>
                <w:szCs w:val="21"/>
                <w:lang w:eastAsia="zh-CN"/>
              </w:rPr>
            </w:pPr>
            <w:r>
              <w:rPr>
                <w:rFonts w:hint="eastAsia"/>
                <w:bCs/>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color w:val="0070C0"/>
                <w:lang w:eastAsia="zh-CN"/>
              </w:rPr>
            </w:pPr>
            <w:r>
              <w:rPr>
                <w:rFonts w:hint="eastAsia"/>
                <w:bCs/>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r>
              <w:rPr>
                <w:rFonts w:hint="eastAsia"/>
                <w:lang w:eastAsia="zh-CN"/>
              </w:rPr>
              <w:t>培训应有安全使用和应急处置措施相关的内容</w:t>
            </w:r>
          </w:p>
        </w:tc>
        <w:tc>
          <w:tcPr>
            <w:tcW w:w="2125" w:type="dxa"/>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vAlign w:val="center"/>
          </w:tcPr>
          <w:p>
            <w:pPr>
              <w:pStyle w:val="8"/>
              <w:spacing w:line="460" w:lineRule="exact"/>
              <w:rPr>
                <w:bCs/>
                <w:sz w:val="21"/>
                <w:szCs w:val="21"/>
                <w:lang w:eastAsia="zh-CN"/>
              </w:rPr>
            </w:pPr>
            <w:r>
              <w:rPr>
                <w:rFonts w:hint="eastAsia"/>
                <w:bCs/>
                <w:sz w:val="21"/>
                <w:szCs w:val="21"/>
                <w:lang w:eastAsia="zh-CN"/>
              </w:rPr>
              <w:t>设备运输在运输途中需做好防护措施，不得有任何损伤。</w:t>
            </w:r>
          </w:p>
          <w:p>
            <w:pPr>
              <w:spacing w:line="276" w:lineRule="auto"/>
              <w:jc w:val="both"/>
              <w:rPr>
                <w:szCs w:val="21"/>
                <w:lang w:eastAsia="zh-CN"/>
              </w:rPr>
            </w:pPr>
            <w:r>
              <w:rPr>
                <w:rFonts w:hint="eastAsia"/>
                <w:bCs/>
                <w:szCs w:val="21"/>
                <w:lang w:eastAsia="zh-CN"/>
              </w:rPr>
              <w:t>吊装费用含在设备合同内，由设备供应商提供费用。</w:t>
            </w:r>
          </w:p>
        </w:tc>
        <w:tc>
          <w:tcPr>
            <w:tcW w:w="2125" w:type="dxa"/>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i/>
                <w:szCs w:val="21"/>
                <w:lang w:eastAsia="zh-CN"/>
              </w:rPr>
            </w:pPr>
            <w:r>
              <w:rPr>
                <w:rFonts w:hint="eastAsia"/>
                <w:bCs/>
                <w:szCs w:val="21"/>
                <w:lang w:eastAsia="zh-CN"/>
              </w:rPr>
              <w:t>说明：验证要求包括硬件和软件（计算机系统）</w:t>
            </w:r>
          </w:p>
        </w:tc>
        <w:tc>
          <w:tcPr>
            <w:tcW w:w="2125" w:type="dxa"/>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bCs/>
                <w:szCs w:val="21"/>
                <w:lang w:eastAsia="zh-CN"/>
              </w:rPr>
              <w:t>验证包括</w:t>
            </w:r>
            <w:r>
              <w:rPr>
                <w:rFonts w:hint="eastAsia"/>
                <w:bCs/>
                <w:color w:val="000000"/>
                <w:szCs w:val="21"/>
                <w:lang w:eastAsia="zh-CN"/>
              </w:rPr>
              <w:t>验证计划、系统评估、计算机化系统评估、风险评估、</w:t>
            </w:r>
            <w:r>
              <w:rPr>
                <w:bCs/>
                <w:color w:val="000000"/>
                <w:szCs w:val="21"/>
                <w:lang w:eastAsia="zh-CN"/>
              </w:rPr>
              <w:t>DQ</w:t>
            </w:r>
            <w:r>
              <w:rPr>
                <w:rFonts w:hint="eastAsia"/>
                <w:bCs/>
                <w:color w:val="000000"/>
                <w:szCs w:val="21"/>
                <w:lang w:eastAsia="zh-CN"/>
              </w:rPr>
              <w:t>、</w:t>
            </w:r>
            <w:r>
              <w:rPr>
                <w:bCs/>
                <w:color w:val="000000"/>
                <w:szCs w:val="21"/>
                <w:lang w:eastAsia="zh-CN"/>
              </w:rPr>
              <w:t>FAT</w:t>
            </w:r>
            <w:r>
              <w:rPr>
                <w:rFonts w:hint="eastAsia"/>
                <w:bCs/>
                <w:color w:val="000000"/>
                <w:szCs w:val="21"/>
                <w:lang w:eastAsia="zh-CN"/>
              </w:rPr>
              <w:t>、</w:t>
            </w:r>
            <w:r>
              <w:rPr>
                <w:bCs/>
                <w:color w:val="000000"/>
                <w:szCs w:val="21"/>
                <w:lang w:eastAsia="zh-CN"/>
              </w:rPr>
              <w:t>SAT</w:t>
            </w:r>
            <w:r>
              <w:rPr>
                <w:rFonts w:hint="eastAsia"/>
                <w:bCs/>
                <w:color w:val="000000"/>
                <w:szCs w:val="21"/>
                <w:lang w:eastAsia="zh-CN"/>
              </w:rPr>
              <w:t>、</w:t>
            </w:r>
            <w:r>
              <w:rPr>
                <w:bCs/>
                <w:color w:val="000000"/>
                <w:szCs w:val="21"/>
                <w:lang w:eastAsia="zh-CN"/>
              </w:rPr>
              <w:t>IQ</w:t>
            </w:r>
            <w:r>
              <w:rPr>
                <w:rFonts w:hint="eastAsia"/>
                <w:bCs/>
                <w:color w:val="000000"/>
                <w:szCs w:val="21"/>
                <w:lang w:eastAsia="zh-CN"/>
              </w:rPr>
              <w:t>、</w:t>
            </w:r>
            <w:r>
              <w:rPr>
                <w:bCs/>
                <w:color w:val="000000"/>
                <w:szCs w:val="21"/>
                <w:lang w:eastAsia="zh-CN"/>
              </w:rPr>
              <w:t>OQ</w:t>
            </w:r>
            <w:r>
              <w:rPr>
                <w:rFonts w:hint="eastAsia"/>
                <w:bCs/>
                <w:color w:val="000000"/>
                <w:szCs w:val="21"/>
                <w:lang w:eastAsia="zh-CN"/>
              </w:rPr>
              <w:t>，PQ，供应商必须派出具备该类系统验证经验，且熟悉验证相关文件编写及验证工作实施的验证工程师开展验证工作。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color w:val="000000"/>
                <w:szCs w:val="21"/>
                <w:lang w:eastAsia="zh-CN"/>
              </w:rPr>
              <w:t>供应商必须派出工程师完成满载的参数和工艺开发。我公司人员配合。</w:t>
            </w:r>
          </w:p>
        </w:tc>
        <w:tc>
          <w:tcPr>
            <w:tcW w:w="2125" w:type="dxa"/>
            <w:vAlign w:val="center"/>
          </w:tcPr>
          <w:p>
            <w:pPr>
              <w:jc w:val="both"/>
              <w:rPr>
                <w:szCs w:val="21"/>
                <w:lang w:eastAsia="zh-CN"/>
              </w:rPr>
            </w:pPr>
            <w:r>
              <w:rPr>
                <w:rFonts w:hint="eastAsia"/>
                <w:szCs w:val="21"/>
                <w:lang w:eastAsia="zh-CN"/>
              </w:rPr>
              <w:t>关键</w:t>
            </w:r>
            <w:r>
              <w:rPr>
                <w:rFonts w:hint="eastAsia" w:ascii="宋体" w:hAnsi="宋体"/>
                <w:szCs w:val="21"/>
                <w:lang w:eastAsia="zh-CN"/>
              </w:rPr>
              <w:t>※</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szCs w:val="21"/>
                <w:lang w:eastAsia="zh-CN"/>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bCs/>
                <w:szCs w:val="21"/>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bCs/>
                <w:szCs w:val="21"/>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szCs w:val="21"/>
                <w:lang w:eastAsia="zh-CN"/>
              </w:rPr>
            </w:pPr>
            <w:r>
              <w:rPr>
                <w:rFonts w:hint="eastAsia"/>
                <w:bCs/>
                <w:szCs w:val="21"/>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bCs/>
                <w:szCs w:val="21"/>
                <w:lang w:eastAsia="zh-CN"/>
              </w:rPr>
            </w:pPr>
            <w:r>
              <w:rPr>
                <w:rFonts w:hint="eastAsia"/>
                <w:bCs/>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8" w:edGrp="everyone"/>
          </w:p>
        </w:tc>
        <w:tc>
          <w:tcPr>
            <w:tcW w:w="7128" w:type="dxa"/>
            <w:vAlign w:val="center"/>
          </w:tcPr>
          <w:p>
            <w:pPr>
              <w:pStyle w:val="8"/>
              <w:rPr>
                <w:szCs w:val="21"/>
                <w:lang w:eastAsia="zh-CN"/>
              </w:rPr>
            </w:pPr>
            <w:r>
              <w:rPr>
                <w:rFonts w:hint="eastAsia"/>
                <w:bCs/>
                <w:sz w:val="21"/>
                <w:szCs w:val="21"/>
                <w:lang w:eastAsia="zh-CN"/>
              </w:rPr>
              <w:t>设备保质期从确认验收文件签署之后开始计算。</w:t>
            </w:r>
          </w:p>
        </w:tc>
        <w:tc>
          <w:tcPr>
            <w:tcW w:w="2125" w:type="dxa"/>
            <w:vAlign w:val="center"/>
          </w:tcPr>
          <w:p>
            <w:pPr>
              <w:jc w:val="both"/>
              <w:rPr>
                <w:szCs w:val="21"/>
                <w:lang w:eastAsia="zh-CN"/>
              </w:rPr>
            </w:pPr>
            <w:r>
              <w:rPr>
                <w:rFonts w:hint="eastAsia"/>
                <w:szCs w:val="21"/>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9" w:edGrp="everyone"/>
          </w:p>
        </w:tc>
        <w:tc>
          <w:tcPr>
            <w:tcW w:w="7128" w:type="dxa"/>
            <w:vAlign w:val="center"/>
          </w:tcPr>
          <w:p>
            <w:pPr>
              <w:pStyle w:val="8"/>
              <w:spacing w:line="360" w:lineRule="auto"/>
              <w:rPr>
                <w:szCs w:val="21"/>
                <w:lang w:eastAsia="zh-CN"/>
              </w:rPr>
            </w:pPr>
            <w:r>
              <w:rPr>
                <w:rFonts w:hint="eastAsia"/>
                <w:bCs/>
                <w:sz w:val="21"/>
                <w:szCs w:val="21"/>
                <w:lang w:eastAsia="zh-CN"/>
              </w:rPr>
              <w:t>设备整机质保期为1年，保质期内免费保修并免费更换所有配件，保质期后应提供良好的售后服务。</w:t>
            </w:r>
          </w:p>
        </w:tc>
        <w:tc>
          <w:tcPr>
            <w:tcW w:w="2125" w:type="dxa"/>
            <w:vAlign w:val="center"/>
          </w:tcPr>
          <w:p>
            <w:pPr>
              <w:jc w:val="both"/>
              <w:rPr>
                <w:szCs w:val="21"/>
                <w:lang w:eastAsia="zh-CN"/>
              </w:rPr>
            </w:pPr>
            <w:r>
              <w:rPr>
                <w:rFonts w:hint="eastAsia"/>
                <w:szCs w:val="21"/>
                <w:lang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0" w:edGrp="everyone"/>
          </w:p>
        </w:tc>
        <w:tc>
          <w:tcPr>
            <w:tcW w:w="7128" w:type="dxa"/>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1" w:edGrp="everyone"/>
          </w:p>
        </w:tc>
        <w:tc>
          <w:tcPr>
            <w:tcW w:w="7128" w:type="dxa"/>
            <w:vAlign w:val="center"/>
          </w:tcPr>
          <w:p>
            <w:pPr>
              <w:spacing w:line="276" w:lineRule="auto"/>
              <w:jc w:val="both"/>
              <w:rPr>
                <w:szCs w:val="21"/>
                <w:lang w:eastAsia="zh-CN"/>
              </w:rPr>
            </w:pPr>
            <w:r>
              <w:rPr>
                <w:rFonts w:hint="eastAsia"/>
                <w:bCs/>
                <w:szCs w:val="21"/>
                <w:lang w:eastAsia="zh-CN"/>
              </w:rPr>
              <w:t>供应商进厂安装需遵守施工和施工规定。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61"/>
    </w:tbl>
    <w:p>
      <w:pPr>
        <w:rPr>
          <w:lang w:eastAsia="zh-CN"/>
        </w:rPr>
      </w:pPr>
    </w:p>
    <w:p>
      <w:pPr>
        <w:pStyle w:val="31"/>
        <w:numPr>
          <w:ilvl w:val="0"/>
          <w:numId w:val="3"/>
        </w:numPr>
        <w:spacing w:after="158" w:afterLines="50"/>
        <w:ind w:left="426" w:hanging="426" w:hangingChars="202"/>
        <w:outlineLvl w:val="0"/>
        <w:rPr>
          <w:rFonts w:ascii="Times New Roman" w:hAnsi="Times New Roman"/>
          <w:b/>
        </w:rPr>
      </w:pPr>
      <w:bookmarkStart w:id="48" w:name="_Toc50986674"/>
      <w:bookmarkStart w:id="49" w:name="_Toc522107746"/>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spacing w:line="276" w:lineRule="auto"/>
        <w:rPr>
          <w:szCs w:val="21"/>
          <w:lang w:eastAsia="zh-CN"/>
        </w:rPr>
      </w:pPr>
      <w:permStart w:id="62" w:edGrp="everyone"/>
      <w:r>
        <w:rPr>
          <w:rFonts w:hint="eastAsia"/>
          <w:szCs w:val="21"/>
        </w:rPr>
        <w:t>N</w:t>
      </w:r>
      <w:r>
        <w:rPr>
          <w:szCs w:val="21"/>
        </w:rPr>
        <w:t>/A</w:t>
      </w:r>
      <w:permEnd w:id="62"/>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2446982">
    <w:nsid w:val="C274FD86"/>
    <w:multiLevelType w:val="singleLevel"/>
    <w:tmpl w:val="C274FD86"/>
    <w:lvl w:ilvl="0" w:tentative="1">
      <w:start w:val="1"/>
      <w:numFmt w:val="decimal"/>
      <w:lvlText w:val="(%1)"/>
      <w:lvlJc w:val="left"/>
      <w:pPr>
        <w:ind w:left="425" w:hanging="425"/>
      </w:pPr>
      <w:rPr>
        <w:rFonts w:hint="default"/>
      </w:rPr>
    </w:lvl>
  </w:abstractNum>
  <w:abstractNum w:abstractNumId="2912242486">
    <w:nsid w:val="AD954B36"/>
    <w:multiLevelType w:val="singleLevel"/>
    <w:tmpl w:val="AD954B36"/>
    <w:lvl w:ilvl="0" w:tentative="1">
      <w:start w:val="1"/>
      <w:numFmt w:val="decimal"/>
      <w:lvlText w:val="(%1)"/>
      <w:lvlJc w:val="left"/>
      <w:pPr>
        <w:ind w:left="425" w:hanging="425"/>
      </w:pPr>
      <w:rPr>
        <w:rFonts w:hint="default" w:ascii="宋体" w:hAnsi="宋体" w:eastAsia="宋体"/>
      </w:rPr>
    </w:lvl>
  </w:abstractNum>
  <w:abstractNum w:abstractNumId="2501040652">
    <w:nsid w:val="9512DA0C"/>
    <w:multiLevelType w:val="singleLevel"/>
    <w:tmpl w:val="9512DA0C"/>
    <w:lvl w:ilvl="0" w:tentative="1">
      <w:start w:val="1"/>
      <w:numFmt w:val="decimal"/>
      <w:lvlText w:val="(%1)"/>
      <w:lvlJc w:val="left"/>
      <w:pPr>
        <w:ind w:left="425" w:hanging="425"/>
      </w:pPr>
      <w:rPr>
        <w:rFonts w:hint="default"/>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2501040652"/>
  </w:num>
  <w:num w:numId="11">
    <w:abstractNumId w:val="3262446982"/>
  </w:num>
  <w:num w:numId="12">
    <w:abstractNumId w:val="196115971"/>
  </w:num>
  <w:num w:numId="13">
    <w:abstractNumId w:val="2912242486"/>
  </w:num>
  <w:num w:numId="14">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277"/>
    <w:rsid w:val="000169DD"/>
    <w:rsid w:val="00020FEA"/>
    <w:rsid w:val="00022818"/>
    <w:rsid w:val="000233DE"/>
    <w:rsid w:val="00023B07"/>
    <w:rsid w:val="00023CAD"/>
    <w:rsid w:val="0002457E"/>
    <w:rsid w:val="00026B17"/>
    <w:rsid w:val="000275E7"/>
    <w:rsid w:val="000303D0"/>
    <w:rsid w:val="00031243"/>
    <w:rsid w:val="00031900"/>
    <w:rsid w:val="000355F3"/>
    <w:rsid w:val="00037987"/>
    <w:rsid w:val="00037F15"/>
    <w:rsid w:val="00037F55"/>
    <w:rsid w:val="000404F1"/>
    <w:rsid w:val="00041104"/>
    <w:rsid w:val="00041A2A"/>
    <w:rsid w:val="00041D89"/>
    <w:rsid w:val="00044227"/>
    <w:rsid w:val="00044DFD"/>
    <w:rsid w:val="00045D22"/>
    <w:rsid w:val="000467C2"/>
    <w:rsid w:val="00046B5E"/>
    <w:rsid w:val="00047038"/>
    <w:rsid w:val="00047BA8"/>
    <w:rsid w:val="00047CAF"/>
    <w:rsid w:val="0005063F"/>
    <w:rsid w:val="00053A4C"/>
    <w:rsid w:val="00054BB1"/>
    <w:rsid w:val="00055ED6"/>
    <w:rsid w:val="00056478"/>
    <w:rsid w:val="000567F2"/>
    <w:rsid w:val="00056AE2"/>
    <w:rsid w:val="00056E9E"/>
    <w:rsid w:val="00057046"/>
    <w:rsid w:val="000576C2"/>
    <w:rsid w:val="00063572"/>
    <w:rsid w:val="00063B90"/>
    <w:rsid w:val="000644D0"/>
    <w:rsid w:val="00064A43"/>
    <w:rsid w:val="000662D2"/>
    <w:rsid w:val="00071DD4"/>
    <w:rsid w:val="00072340"/>
    <w:rsid w:val="00072945"/>
    <w:rsid w:val="00073B81"/>
    <w:rsid w:val="00074ED1"/>
    <w:rsid w:val="0007673E"/>
    <w:rsid w:val="00077AE1"/>
    <w:rsid w:val="000818AC"/>
    <w:rsid w:val="00082C13"/>
    <w:rsid w:val="00083D58"/>
    <w:rsid w:val="000844A8"/>
    <w:rsid w:val="000848BD"/>
    <w:rsid w:val="00084F90"/>
    <w:rsid w:val="00086CA0"/>
    <w:rsid w:val="00087002"/>
    <w:rsid w:val="00092C03"/>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417D"/>
    <w:rsid w:val="000B4424"/>
    <w:rsid w:val="000B45E0"/>
    <w:rsid w:val="000B4EC4"/>
    <w:rsid w:val="000B5888"/>
    <w:rsid w:val="000B6280"/>
    <w:rsid w:val="000C0A41"/>
    <w:rsid w:val="000C0DD3"/>
    <w:rsid w:val="000C0FA5"/>
    <w:rsid w:val="000C3C81"/>
    <w:rsid w:val="000C41B6"/>
    <w:rsid w:val="000C4C60"/>
    <w:rsid w:val="000C6DC2"/>
    <w:rsid w:val="000C7137"/>
    <w:rsid w:val="000D101E"/>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706D"/>
    <w:rsid w:val="00100F65"/>
    <w:rsid w:val="0010110F"/>
    <w:rsid w:val="00102DC9"/>
    <w:rsid w:val="001031DF"/>
    <w:rsid w:val="00103F05"/>
    <w:rsid w:val="00104160"/>
    <w:rsid w:val="00104F51"/>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053"/>
    <w:rsid w:val="00117665"/>
    <w:rsid w:val="00117A01"/>
    <w:rsid w:val="0012026C"/>
    <w:rsid w:val="00121B6E"/>
    <w:rsid w:val="00122051"/>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AE5"/>
    <w:rsid w:val="001541A9"/>
    <w:rsid w:val="001549D1"/>
    <w:rsid w:val="00154CD3"/>
    <w:rsid w:val="001560AD"/>
    <w:rsid w:val="0015633E"/>
    <w:rsid w:val="0015742B"/>
    <w:rsid w:val="0015752C"/>
    <w:rsid w:val="0016077F"/>
    <w:rsid w:val="00161486"/>
    <w:rsid w:val="0016194A"/>
    <w:rsid w:val="00161F7F"/>
    <w:rsid w:val="00162A78"/>
    <w:rsid w:val="00163A08"/>
    <w:rsid w:val="00164400"/>
    <w:rsid w:val="00164CDC"/>
    <w:rsid w:val="00164E0D"/>
    <w:rsid w:val="00166311"/>
    <w:rsid w:val="00166478"/>
    <w:rsid w:val="00166E59"/>
    <w:rsid w:val="00167B0E"/>
    <w:rsid w:val="00171A51"/>
    <w:rsid w:val="001746E7"/>
    <w:rsid w:val="001757AB"/>
    <w:rsid w:val="001769A8"/>
    <w:rsid w:val="0018030F"/>
    <w:rsid w:val="001814FA"/>
    <w:rsid w:val="001815A9"/>
    <w:rsid w:val="00182A27"/>
    <w:rsid w:val="00184DDD"/>
    <w:rsid w:val="00184FFD"/>
    <w:rsid w:val="00185449"/>
    <w:rsid w:val="00186314"/>
    <w:rsid w:val="00187B04"/>
    <w:rsid w:val="00190000"/>
    <w:rsid w:val="001929C2"/>
    <w:rsid w:val="00192B8F"/>
    <w:rsid w:val="00193D66"/>
    <w:rsid w:val="001948AD"/>
    <w:rsid w:val="00194BB7"/>
    <w:rsid w:val="00196D0E"/>
    <w:rsid w:val="001A1DE7"/>
    <w:rsid w:val="001A3BB0"/>
    <w:rsid w:val="001A4947"/>
    <w:rsid w:val="001A64C0"/>
    <w:rsid w:val="001A685F"/>
    <w:rsid w:val="001A7EB6"/>
    <w:rsid w:val="001A7FE4"/>
    <w:rsid w:val="001B0278"/>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F8E"/>
    <w:rsid w:val="001F7405"/>
    <w:rsid w:val="001F7E95"/>
    <w:rsid w:val="00201487"/>
    <w:rsid w:val="00203D4B"/>
    <w:rsid w:val="00203D68"/>
    <w:rsid w:val="00204C3A"/>
    <w:rsid w:val="0020539A"/>
    <w:rsid w:val="00205E00"/>
    <w:rsid w:val="00206107"/>
    <w:rsid w:val="002070B2"/>
    <w:rsid w:val="0020756B"/>
    <w:rsid w:val="00210177"/>
    <w:rsid w:val="00212297"/>
    <w:rsid w:val="002129BC"/>
    <w:rsid w:val="00212BD9"/>
    <w:rsid w:val="00213AA9"/>
    <w:rsid w:val="00215346"/>
    <w:rsid w:val="002168FE"/>
    <w:rsid w:val="00217048"/>
    <w:rsid w:val="002178C5"/>
    <w:rsid w:val="00220757"/>
    <w:rsid w:val="00220A52"/>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C79"/>
    <w:rsid w:val="002424D8"/>
    <w:rsid w:val="00245088"/>
    <w:rsid w:val="00246C0B"/>
    <w:rsid w:val="002478D0"/>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0C8B"/>
    <w:rsid w:val="002810E3"/>
    <w:rsid w:val="002823D0"/>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E1D21"/>
    <w:rsid w:val="002E3B36"/>
    <w:rsid w:val="002E3E4D"/>
    <w:rsid w:val="002E59BF"/>
    <w:rsid w:val="002E63F6"/>
    <w:rsid w:val="002E69A1"/>
    <w:rsid w:val="002F1C5E"/>
    <w:rsid w:val="002F1D63"/>
    <w:rsid w:val="002F340E"/>
    <w:rsid w:val="002F4392"/>
    <w:rsid w:val="002F4641"/>
    <w:rsid w:val="002F4B22"/>
    <w:rsid w:val="002F7F05"/>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37E"/>
    <w:rsid w:val="00333C91"/>
    <w:rsid w:val="0033695C"/>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70514"/>
    <w:rsid w:val="0037056A"/>
    <w:rsid w:val="003720F0"/>
    <w:rsid w:val="003726DF"/>
    <w:rsid w:val="0037345A"/>
    <w:rsid w:val="00373FFA"/>
    <w:rsid w:val="0037455F"/>
    <w:rsid w:val="0037639B"/>
    <w:rsid w:val="00376C31"/>
    <w:rsid w:val="00380EB7"/>
    <w:rsid w:val="003810F5"/>
    <w:rsid w:val="00381C39"/>
    <w:rsid w:val="00381CF6"/>
    <w:rsid w:val="00382B2D"/>
    <w:rsid w:val="0038326A"/>
    <w:rsid w:val="0038367F"/>
    <w:rsid w:val="00383994"/>
    <w:rsid w:val="00385E60"/>
    <w:rsid w:val="00387B81"/>
    <w:rsid w:val="00391016"/>
    <w:rsid w:val="00393529"/>
    <w:rsid w:val="00393B6A"/>
    <w:rsid w:val="003946C3"/>
    <w:rsid w:val="00395BFE"/>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1BE5"/>
    <w:rsid w:val="003E49F8"/>
    <w:rsid w:val="003E5109"/>
    <w:rsid w:val="003E60EE"/>
    <w:rsid w:val="003E6B48"/>
    <w:rsid w:val="003E748F"/>
    <w:rsid w:val="003E797E"/>
    <w:rsid w:val="003E7DF1"/>
    <w:rsid w:val="003F3F47"/>
    <w:rsid w:val="003F6E0C"/>
    <w:rsid w:val="004003A8"/>
    <w:rsid w:val="0040240E"/>
    <w:rsid w:val="00402756"/>
    <w:rsid w:val="00405B3A"/>
    <w:rsid w:val="004074DC"/>
    <w:rsid w:val="004111CC"/>
    <w:rsid w:val="004122A3"/>
    <w:rsid w:val="00416D73"/>
    <w:rsid w:val="00416E8B"/>
    <w:rsid w:val="0041798C"/>
    <w:rsid w:val="00420273"/>
    <w:rsid w:val="00420AA0"/>
    <w:rsid w:val="0042116C"/>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06D7"/>
    <w:rsid w:val="004510B1"/>
    <w:rsid w:val="00451C5D"/>
    <w:rsid w:val="00451D74"/>
    <w:rsid w:val="00452E73"/>
    <w:rsid w:val="004565EF"/>
    <w:rsid w:val="00457FF9"/>
    <w:rsid w:val="004601ED"/>
    <w:rsid w:val="00460711"/>
    <w:rsid w:val="0046108B"/>
    <w:rsid w:val="00467AE6"/>
    <w:rsid w:val="00467EC9"/>
    <w:rsid w:val="00472288"/>
    <w:rsid w:val="00472676"/>
    <w:rsid w:val="00477791"/>
    <w:rsid w:val="00480286"/>
    <w:rsid w:val="00480C3B"/>
    <w:rsid w:val="00480FE3"/>
    <w:rsid w:val="00481C94"/>
    <w:rsid w:val="00484A8D"/>
    <w:rsid w:val="00486A4E"/>
    <w:rsid w:val="00486B09"/>
    <w:rsid w:val="0049139F"/>
    <w:rsid w:val="00494F07"/>
    <w:rsid w:val="00496116"/>
    <w:rsid w:val="004965A0"/>
    <w:rsid w:val="00497335"/>
    <w:rsid w:val="00497D9B"/>
    <w:rsid w:val="004A05A7"/>
    <w:rsid w:val="004A215D"/>
    <w:rsid w:val="004A3A50"/>
    <w:rsid w:val="004A3F98"/>
    <w:rsid w:val="004A5532"/>
    <w:rsid w:val="004A5958"/>
    <w:rsid w:val="004A76DF"/>
    <w:rsid w:val="004B0A75"/>
    <w:rsid w:val="004B2190"/>
    <w:rsid w:val="004B25CC"/>
    <w:rsid w:val="004B4334"/>
    <w:rsid w:val="004B69B2"/>
    <w:rsid w:val="004B7507"/>
    <w:rsid w:val="004B7DC4"/>
    <w:rsid w:val="004B7F85"/>
    <w:rsid w:val="004C099B"/>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F0539"/>
    <w:rsid w:val="004F10A4"/>
    <w:rsid w:val="004F342E"/>
    <w:rsid w:val="004F3FA4"/>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AF2"/>
    <w:rsid w:val="005247DE"/>
    <w:rsid w:val="00530B8F"/>
    <w:rsid w:val="00531434"/>
    <w:rsid w:val="00531754"/>
    <w:rsid w:val="00534840"/>
    <w:rsid w:val="00534D08"/>
    <w:rsid w:val="00536973"/>
    <w:rsid w:val="00536C6B"/>
    <w:rsid w:val="00537036"/>
    <w:rsid w:val="00540088"/>
    <w:rsid w:val="00540F61"/>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7142"/>
    <w:rsid w:val="005773E5"/>
    <w:rsid w:val="00581AD5"/>
    <w:rsid w:val="00581C4E"/>
    <w:rsid w:val="00582DB0"/>
    <w:rsid w:val="00583476"/>
    <w:rsid w:val="005840DA"/>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B769F"/>
    <w:rsid w:val="005C10D7"/>
    <w:rsid w:val="005C2B89"/>
    <w:rsid w:val="005C2FA7"/>
    <w:rsid w:val="005C386F"/>
    <w:rsid w:val="005C42AC"/>
    <w:rsid w:val="005C4D05"/>
    <w:rsid w:val="005C506B"/>
    <w:rsid w:val="005C71BF"/>
    <w:rsid w:val="005C723D"/>
    <w:rsid w:val="005C7601"/>
    <w:rsid w:val="005D1094"/>
    <w:rsid w:val="005D120E"/>
    <w:rsid w:val="005D3394"/>
    <w:rsid w:val="005D3989"/>
    <w:rsid w:val="005D42FF"/>
    <w:rsid w:val="005E0379"/>
    <w:rsid w:val="005E2725"/>
    <w:rsid w:val="005E65FA"/>
    <w:rsid w:val="005F19CE"/>
    <w:rsid w:val="005F28F4"/>
    <w:rsid w:val="005F43BB"/>
    <w:rsid w:val="005F503E"/>
    <w:rsid w:val="005F6CB3"/>
    <w:rsid w:val="005F7612"/>
    <w:rsid w:val="005F7663"/>
    <w:rsid w:val="005F7D63"/>
    <w:rsid w:val="006054AC"/>
    <w:rsid w:val="00607170"/>
    <w:rsid w:val="00607408"/>
    <w:rsid w:val="00610AEE"/>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A76"/>
    <w:rsid w:val="00650CD0"/>
    <w:rsid w:val="00650DA4"/>
    <w:rsid w:val="00651DA5"/>
    <w:rsid w:val="00652D22"/>
    <w:rsid w:val="006550F9"/>
    <w:rsid w:val="0065558C"/>
    <w:rsid w:val="00656797"/>
    <w:rsid w:val="006571EC"/>
    <w:rsid w:val="0066032D"/>
    <w:rsid w:val="0066086B"/>
    <w:rsid w:val="00660A8C"/>
    <w:rsid w:val="006632B2"/>
    <w:rsid w:val="00664084"/>
    <w:rsid w:val="0066445E"/>
    <w:rsid w:val="00667045"/>
    <w:rsid w:val="006701FB"/>
    <w:rsid w:val="00670A00"/>
    <w:rsid w:val="00670C23"/>
    <w:rsid w:val="00672B86"/>
    <w:rsid w:val="00673031"/>
    <w:rsid w:val="00673EB3"/>
    <w:rsid w:val="00674D3B"/>
    <w:rsid w:val="00680BE8"/>
    <w:rsid w:val="00684DF5"/>
    <w:rsid w:val="00685EF5"/>
    <w:rsid w:val="00686409"/>
    <w:rsid w:val="00686D19"/>
    <w:rsid w:val="0068777F"/>
    <w:rsid w:val="00691E7E"/>
    <w:rsid w:val="00693018"/>
    <w:rsid w:val="006A0059"/>
    <w:rsid w:val="006A2354"/>
    <w:rsid w:val="006A351D"/>
    <w:rsid w:val="006A4A60"/>
    <w:rsid w:val="006A7425"/>
    <w:rsid w:val="006B058A"/>
    <w:rsid w:val="006B1128"/>
    <w:rsid w:val="006B1299"/>
    <w:rsid w:val="006B26D9"/>
    <w:rsid w:val="006B310C"/>
    <w:rsid w:val="006B664C"/>
    <w:rsid w:val="006C1125"/>
    <w:rsid w:val="006C1C83"/>
    <w:rsid w:val="006C3106"/>
    <w:rsid w:val="006C3E78"/>
    <w:rsid w:val="006C4623"/>
    <w:rsid w:val="006C54E6"/>
    <w:rsid w:val="006C5762"/>
    <w:rsid w:val="006C690D"/>
    <w:rsid w:val="006D149F"/>
    <w:rsid w:val="006D216B"/>
    <w:rsid w:val="006D2691"/>
    <w:rsid w:val="006D3396"/>
    <w:rsid w:val="006D5AFF"/>
    <w:rsid w:val="006D6B02"/>
    <w:rsid w:val="006E050C"/>
    <w:rsid w:val="006E152B"/>
    <w:rsid w:val="006E3312"/>
    <w:rsid w:val="006E36D1"/>
    <w:rsid w:val="006E4002"/>
    <w:rsid w:val="006E4DB6"/>
    <w:rsid w:val="006E622E"/>
    <w:rsid w:val="006E7938"/>
    <w:rsid w:val="006E79FB"/>
    <w:rsid w:val="006F0346"/>
    <w:rsid w:val="006F229A"/>
    <w:rsid w:val="006F3BB9"/>
    <w:rsid w:val="006F4AA6"/>
    <w:rsid w:val="007007FA"/>
    <w:rsid w:val="007036CA"/>
    <w:rsid w:val="007041CB"/>
    <w:rsid w:val="00705090"/>
    <w:rsid w:val="00705102"/>
    <w:rsid w:val="00705DDB"/>
    <w:rsid w:val="0070675E"/>
    <w:rsid w:val="00706A0E"/>
    <w:rsid w:val="00706B96"/>
    <w:rsid w:val="00710573"/>
    <w:rsid w:val="00710808"/>
    <w:rsid w:val="007116CB"/>
    <w:rsid w:val="0071211E"/>
    <w:rsid w:val="00712B1B"/>
    <w:rsid w:val="0071452D"/>
    <w:rsid w:val="0071622D"/>
    <w:rsid w:val="007168CC"/>
    <w:rsid w:val="007176BB"/>
    <w:rsid w:val="00717811"/>
    <w:rsid w:val="00720A17"/>
    <w:rsid w:val="00720D4B"/>
    <w:rsid w:val="00723A0F"/>
    <w:rsid w:val="007242AC"/>
    <w:rsid w:val="00726CB6"/>
    <w:rsid w:val="00727255"/>
    <w:rsid w:val="0072779B"/>
    <w:rsid w:val="00727CCF"/>
    <w:rsid w:val="0073446D"/>
    <w:rsid w:val="007349FF"/>
    <w:rsid w:val="00734B45"/>
    <w:rsid w:val="00736FFB"/>
    <w:rsid w:val="00737F53"/>
    <w:rsid w:val="00740080"/>
    <w:rsid w:val="00741A30"/>
    <w:rsid w:val="007467B2"/>
    <w:rsid w:val="007504DC"/>
    <w:rsid w:val="007512B1"/>
    <w:rsid w:val="0075142F"/>
    <w:rsid w:val="00751965"/>
    <w:rsid w:val="007524EF"/>
    <w:rsid w:val="00752689"/>
    <w:rsid w:val="00756D1D"/>
    <w:rsid w:val="00760886"/>
    <w:rsid w:val="007615CA"/>
    <w:rsid w:val="00761ADD"/>
    <w:rsid w:val="0076219D"/>
    <w:rsid w:val="00762B3A"/>
    <w:rsid w:val="007644C4"/>
    <w:rsid w:val="00765D6E"/>
    <w:rsid w:val="00765D7E"/>
    <w:rsid w:val="007674B6"/>
    <w:rsid w:val="00770E90"/>
    <w:rsid w:val="00772C42"/>
    <w:rsid w:val="0077302F"/>
    <w:rsid w:val="00773661"/>
    <w:rsid w:val="00774A61"/>
    <w:rsid w:val="00774E08"/>
    <w:rsid w:val="00774E72"/>
    <w:rsid w:val="00777291"/>
    <w:rsid w:val="0077746F"/>
    <w:rsid w:val="007775FE"/>
    <w:rsid w:val="00780A5F"/>
    <w:rsid w:val="00783455"/>
    <w:rsid w:val="0078428A"/>
    <w:rsid w:val="00784913"/>
    <w:rsid w:val="00785B90"/>
    <w:rsid w:val="0078639C"/>
    <w:rsid w:val="007913D3"/>
    <w:rsid w:val="00793179"/>
    <w:rsid w:val="00793527"/>
    <w:rsid w:val="00794E57"/>
    <w:rsid w:val="0079790C"/>
    <w:rsid w:val="007A102A"/>
    <w:rsid w:val="007A15E6"/>
    <w:rsid w:val="007A194B"/>
    <w:rsid w:val="007A1EB7"/>
    <w:rsid w:val="007A4BCD"/>
    <w:rsid w:val="007A5714"/>
    <w:rsid w:val="007A5EFA"/>
    <w:rsid w:val="007A670B"/>
    <w:rsid w:val="007A6821"/>
    <w:rsid w:val="007A75EF"/>
    <w:rsid w:val="007B03B6"/>
    <w:rsid w:val="007B1257"/>
    <w:rsid w:val="007B33CC"/>
    <w:rsid w:val="007B4133"/>
    <w:rsid w:val="007B49F4"/>
    <w:rsid w:val="007B4F68"/>
    <w:rsid w:val="007B7AB4"/>
    <w:rsid w:val="007C2405"/>
    <w:rsid w:val="007C2A54"/>
    <w:rsid w:val="007C2B69"/>
    <w:rsid w:val="007C2DC1"/>
    <w:rsid w:val="007C3B05"/>
    <w:rsid w:val="007C3D25"/>
    <w:rsid w:val="007C4998"/>
    <w:rsid w:val="007C5459"/>
    <w:rsid w:val="007C668F"/>
    <w:rsid w:val="007C723F"/>
    <w:rsid w:val="007C778D"/>
    <w:rsid w:val="007D07D6"/>
    <w:rsid w:val="007D169C"/>
    <w:rsid w:val="007D18A6"/>
    <w:rsid w:val="007D1CA0"/>
    <w:rsid w:val="007D2DF5"/>
    <w:rsid w:val="007D4994"/>
    <w:rsid w:val="007D4BB3"/>
    <w:rsid w:val="007D4F6E"/>
    <w:rsid w:val="007D5ECD"/>
    <w:rsid w:val="007D61CA"/>
    <w:rsid w:val="007D6DCF"/>
    <w:rsid w:val="007D6F0D"/>
    <w:rsid w:val="007D7963"/>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D0F"/>
    <w:rsid w:val="00822F2B"/>
    <w:rsid w:val="00823D9A"/>
    <w:rsid w:val="00827EA4"/>
    <w:rsid w:val="008301D6"/>
    <w:rsid w:val="008305B7"/>
    <w:rsid w:val="00830C78"/>
    <w:rsid w:val="00830FB9"/>
    <w:rsid w:val="00834968"/>
    <w:rsid w:val="00834B53"/>
    <w:rsid w:val="00835018"/>
    <w:rsid w:val="00840298"/>
    <w:rsid w:val="00841BE4"/>
    <w:rsid w:val="00845A53"/>
    <w:rsid w:val="00847338"/>
    <w:rsid w:val="00847E8C"/>
    <w:rsid w:val="008505E1"/>
    <w:rsid w:val="00850B19"/>
    <w:rsid w:val="00852488"/>
    <w:rsid w:val="0085405E"/>
    <w:rsid w:val="00854A40"/>
    <w:rsid w:val="008571DD"/>
    <w:rsid w:val="0085772E"/>
    <w:rsid w:val="00860344"/>
    <w:rsid w:val="00860E2C"/>
    <w:rsid w:val="00864BC6"/>
    <w:rsid w:val="00865EE6"/>
    <w:rsid w:val="00870D23"/>
    <w:rsid w:val="00872A15"/>
    <w:rsid w:val="00872B72"/>
    <w:rsid w:val="00873022"/>
    <w:rsid w:val="00876468"/>
    <w:rsid w:val="008767E1"/>
    <w:rsid w:val="00876CC7"/>
    <w:rsid w:val="0087729B"/>
    <w:rsid w:val="008823E4"/>
    <w:rsid w:val="008837C4"/>
    <w:rsid w:val="008849F3"/>
    <w:rsid w:val="00884E78"/>
    <w:rsid w:val="0088673B"/>
    <w:rsid w:val="00887265"/>
    <w:rsid w:val="00887500"/>
    <w:rsid w:val="008905AD"/>
    <w:rsid w:val="008920F2"/>
    <w:rsid w:val="0089348A"/>
    <w:rsid w:val="00894E9F"/>
    <w:rsid w:val="00895424"/>
    <w:rsid w:val="00896CEC"/>
    <w:rsid w:val="00897AB5"/>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062F"/>
    <w:rsid w:val="008C1132"/>
    <w:rsid w:val="008C302A"/>
    <w:rsid w:val="008C3931"/>
    <w:rsid w:val="008C3E42"/>
    <w:rsid w:val="008C4B72"/>
    <w:rsid w:val="008C5279"/>
    <w:rsid w:val="008C527D"/>
    <w:rsid w:val="008C5C9F"/>
    <w:rsid w:val="008C6773"/>
    <w:rsid w:val="008C72BB"/>
    <w:rsid w:val="008D140C"/>
    <w:rsid w:val="008D2BAE"/>
    <w:rsid w:val="008D2C9E"/>
    <w:rsid w:val="008D3A54"/>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281A"/>
    <w:rsid w:val="00942E64"/>
    <w:rsid w:val="00944E85"/>
    <w:rsid w:val="0094634C"/>
    <w:rsid w:val="009463AB"/>
    <w:rsid w:val="00950239"/>
    <w:rsid w:val="00950332"/>
    <w:rsid w:val="009537CF"/>
    <w:rsid w:val="009538C8"/>
    <w:rsid w:val="00955899"/>
    <w:rsid w:val="00955A03"/>
    <w:rsid w:val="0096203D"/>
    <w:rsid w:val="0096224A"/>
    <w:rsid w:val="00963289"/>
    <w:rsid w:val="00964A78"/>
    <w:rsid w:val="009656B4"/>
    <w:rsid w:val="00966CA0"/>
    <w:rsid w:val="00966D74"/>
    <w:rsid w:val="009675DC"/>
    <w:rsid w:val="00967F9D"/>
    <w:rsid w:val="00970275"/>
    <w:rsid w:val="00970ABF"/>
    <w:rsid w:val="009710E2"/>
    <w:rsid w:val="009727F2"/>
    <w:rsid w:val="00972E9C"/>
    <w:rsid w:val="0097391E"/>
    <w:rsid w:val="00973DF3"/>
    <w:rsid w:val="009742DA"/>
    <w:rsid w:val="009743BE"/>
    <w:rsid w:val="009753A0"/>
    <w:rsid w:val="00977437"/>
    <w:rsid w:val="00977C89"/>
    <w:rsid w:val="00980AB3"/>
    <w:rsid w:val="0098138F"/>
    <w:rsid w:val="009848CB"/>
    <w:rsid w:val="00984D10"/>
    <w:rsid w:val="0098600B"/>
    <w:rsid w:val="009861C1"/>
    <w:rsid w:val="00987177"/>
    <w:rsid w:val="00987F11"/>
    <w:rsid w:val="0099128D"/>
    <w:rsid w:val="009917F1"/>
    <w:rsid w:val="00991E37"/>
    <w:rsid w:val="00991E74"/>
    <w:rsid w:val="009926A6"/>
    <w:rsid w:val="00993A52"/>
    <w:rsid w:val="0099415E"/>
    <w:rsid w:val="009948BF"/>
    <w:rsid w:val="00997844"/>
    <w:rsid w:val="009978C2"/>
    <w:rsid w:val="009A345F"/>
    <w:rsid w:val="009A4AE5"/>
    <w:rsid w:val="009A5218"/>
    <w:rsid w:val="009A6806"/>
    <w:rsid w:val="009B1717"/>
    <w:rsid w:val="009B22D2"/>
    <w:rsid w:val="009B2839"/>
    <w:rsid w:val="009B4C17"/>
    <w:rsid w:val="009B57EA"/>
    <w:rsid w:val="009B5BF6"/>
    <w:rsid w:val="009C1C79"/>
    <w:rsid w:val="009C339C"/>
    <w:rsid w:val="009C33B8"/>
    <w:rsid w:val="009C5DCE"/>
    <w:rsid w:val="009D07A0"/>
    <w:rsid w:val="009D107D"/>
    <w:rsid w:val="009D1871"/>
    <w:rsid w:val="009D2985"/>
    <w:rsid w:val="009D3033"/>
    <w:rsid w:val="009D5770"/>
    <w:rsid w:val="009D6AF5"/>
    <w:rsid w:val="009D6CF1"/>
    <w:rsid w:val="009D74BA"/>
    <w:rsid w:val="009E0874"/>
    <w:rsid w:val="009E1A16"/>
    <w:rsid w:val="009E2045"/>
    <w:rsid w:val="009E432A"/>
    <w:rsid w:val="009E4A84"/>
    <w:rsid w:val="009E6973"/>
    <w:rsid w:val="009F0466"/>
    <w:rsid w:val="009F2C37"/>
    <w:rsid w:val="009F2D5D"/>
    <w:rsid w:val="009F4200"/>
    <w:rsid w:val="009F4933"/>
    <w:rsid w:val="009F5FD0"/>
    <w:rsid w:val="009F6DD5"/>
    <w:rsid w:val="009F7B12"/>
    <w:rsid w:val="00A020A2"/>
    <w:rsid w:val="00A0297B"/>
    <w:rsid w:val="00A0358E"/>
    <w:rsid w:val="00A038E3"/>
    <w:rsid w:val="00A049F9"/>
    <w:rsid w:val="00A0529B"/>
    <w:rsid w:val="00A0766F"/>
    <w:rsid w:val="00A10713"/>
    <w:rsid w:val="00A1252C"/>
    <w:rsid w:val="00A13B8B"/>
    <w:rsid w:val="00A151B7"/>
    <w:rsid w:val="00A1618F"/>
    <w:rsid w:val="00A21225"/>
    <w:rsid w:val="00A2139C"/>
    <w:rsid w:val="00A217F3"/>
    <w:rsid w:val="00A218F9"/>
    <w:rsid w:val="00A21E37"/>
    <w:rsid w:val="00A23314"/>
    <w:rsid w:val="00A235BB"/>
    <w:rsid w:val="00A23F10"/>
    <w:rsid w:val="00A23F72"/>
    <w:rsid w:val="00A255D4"/>
    <w:rsid w:val="00A26810"/>
    <w:rsid w:val="00A26AB8"/>
    <w:rsid w:val="00A322BF"/>
    <w:rsid w:val="00A330F5"/>
    <w:rsid w:val="00A3373F"/>
    <w:rsid w:val="00A33F51"/>
    <w:rsid w:val="00A349DF"/>
    <w:rsid w:val="00A40311"/>
    <w:rsid w:val="00A41032"/>
    <w:rsid w:val="00A4106C"/>
    <w:rsid w:val="00A428E7"/>
    <w:rsid w:val="00A43E49"/>
    <w:rsid w:val="00A44018"/>
    <w:rsid w:val="00A45DE9"/>
    <w:rsid w:val="00A46C34"/>
    <w:rsid w:val="00A47070"/>
    <w:rsid w:val="00A47471"/>
    <w:rsid w:val="00A47666"/>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D9F"/>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5C9"/>
    <w:rsid w:val="00A927A4"/>
    <w:rsid w:val="00A94CC0"/>
    <w:rsid w:val="00A9534A"/>
    <w:rsid w:val="00A957FA"/>
    <w:rsid w:val="00A968DC"/>
    <w:rsid w:val="00A97454"/>
    <w:rsid w:val="00A977BA"/>
    <w:rsid w:val="00AA1A89"/>
    <w:rsid w:val="00AA2736"/>
    <w:rsid w:val="00AA346E"/>
    <w:rsid w:val="00AA3770"/>
    <w:rsid w:val="00AA3CFA"/>
    <w:rsid w:val="00AA41C3"/>
    <w:rsid w:val="00AA423C"/>
    <w:rsid w:val="00AA53E2"/>
    <w:rsid w:val="00AA73FD"/>
    <w:rsid w:val="00AB0065"/>
    <w:rsid w:val="00AB1C0F"/>
    <w:rsid w:val="00AB2C81"/>
    <w:rsid w:val="00AB2F87"/>
    <w:rsid w:val="00AB32C3"/>
    <w:rsid w:val="00AB4C0D"/>
    <w:rsid w:val="00AB52AA"/>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5F3"/>
    <w:rsid w:val="00AD7E6F"/>
    <w:rsid w:val="00AE1BD8"/>
    <w:rsid w:val="00AE2817"/>
    <w:rsid w:val="00AE304B"/>
    <w:rsid w:val="00AE3D3E"/>
    <w:rsid w:val="00AE46FF"/>
    <w:rsid w:val="00AE49B2"/>
    <w:rsid w:val="00AE4AC4"/>
    <w:rsid w:val="00AE6BEB"/>
    <w:rsid w:val="00AE7789"/>
    <w:rsid w:val="00AF32BE"/>
    <w:rsid w:val="00AF32EA"/>
    <w:rsid w:val="00AF3DED"/>
    <w:rsid w:val="00AF48B1"/>
    <w:rsid w:val="00AF4FB8"/>
    <w:rsid w:val="00AF6713"/>
    <w:rsid w:val="00AF6BD6"/>
    <w:rsid w:val="00AF753A"/>
    <w:rsid w:val="00B021ED"/>
    <w:rsid w:val="00B0250D"/>
    <w:rsid w:val="00B032B1"/>
    <w:rsid w:val="00B03510"/>
    <w:rsid w:val="00B03F46"/>
    <w:rsid w:val="00B059B8"/>
    <w:rsid w:val="00B07418"/>
    <w:rsid w:val="00B076E9"/>
    <w:rsid w:val="00B11547"/>
    <w:rsid w:val="00B11C55"/>
    <w:rsid w:val="00B11EF0"/>
    <w:rsid w:val="00B1226C"/>
    <w:rsid w:val="00B14C2E"/>
    <w:rsid w:val="00B14F05"/>
    <w:rsid w:val="00B15D01"/>
    <w:rsid w:val="00B20EBF"/>
    <w:rsid w:val="00B2337E"/>
    <w:rsid w:val="00B24155"/>
    <w:rsid w:val="00B24F44"/>
    <w:rsid w:val="00B25428"/>
    <w:rsid w:val="00B255BB"/>
    <w:rsid w:val="00B25E24"/>
    <w:rsid w:val="00B2609A"/>
    <w:rsid w:val="00B26D52"/>
    <w:rsid w:val="00B301B1"/>
    <w:rsid w:val="00B353E7"/>
    <w:rsid w:val="00B35759"/>
    <w:rsid w:val="00B3619A"/>
    <w:rsid w:val="00B365B7"/>
    <w:rsid w:val="00B40BCA"/>
    <w:rsid w:val="00B41C1D"/>
    <w:rsid w:val="00B4308D"/>
    <w:rsid w:val="00B440DA"/>
    <w:rsid w:val="00B4415A"/>
    <w:rsid w:val="00B460CE"/>
    <w:rsid w:val="00B503CD"/>
    <w:rsid w:val="00B548AB"/>
    <w:rsid w:val="00B54BBE"/>
    <w:rsid w:val="00B553F8"/>
    <w:rsid w:val="00B560B6"/>
    <w:rsid w:val="00B5630E"/>
    <w:rsid w:val="00B57891"/>
    <w:rsid w:val="00B602B9"/>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2FFE"/>
    <w:rsid w:val="00B93679"/>
    <w:rsid w:val="00B9422D"/>
    <w:rsid w:val="00B94CC3"/>
    <w:rsid w:val="00B95A1D"/>
    <w:rsid w:val="00B9634B"/>
    <w:rsid w:val="00BA0B6F"/>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6B29"/>
    <w:rsid w:val="00BC798C"/>
    <w:rsid w:val="00BC7D11"/>
    <w:rsid w:val="00BD00FD"/>
    <w:rsid w:val="00BD0C01"/>
    <w:rsid w:val="00BD15A2"/>
    <w:rsid w:val="00BD2153"/>
    <w:rsid w:val="00BD337A"/>
    <w:rsid w:val="00BD558D"/>
    <w:rsid w:val="00BD5CC3"/>
    <w:rsid w:val="00BD65A0"/>
    <w:rsid w:val="00BE1F47"/>
    <w:rsid w:val="00BE24AD"/>
    <w:rsid w:val="00BE2787"/>
    <w:rsid w:val="00BE51BB"/>
    <w:rsid w:val="00BE66B5"/>
    <w:rsid w:val="00BE7ECD"/>
    <w:rsid w:val="00BF1682"/>
    <w:rsid w:val="00BF241A"/>
    <w:rsid w:val="00BF3AFB"/>
    <w:rsid w:val="00BF3DD2"/>
    <w:rsid w:val="00BF4344"/>
    <w:rsid w:val="00BF6970"/>
    <w:rsid w:val="00BF69C6"/>
    <w:rsid w:val="00C005D8"/>
    <w:rsid w:val="00C0126C"/>
    <w:rsid w:val="00C02F31"/>
    <w:rsid w:val="00C042B9"/>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33D2"/>
    <w:rsid w:val="00C4771E"/>
    <w:rsid w:val="00C47772"/>
    <w:rsid w:val="00C47D15"/>
    <w:rsid w:val="00C50279"/>
    <w:rsid w:val="00C505EC"/>
    <w:rsid w:val="00C5165A"/>
    <w:rsid w:val="00C52841"/>
    <w:rsid w:val="00C54FC6"/>
    <w:rsid w:val="00C56F88"/>
    <w:rsid w:val="00C57B7E"/>
    <w:rsid w:val="00C60217"/>
    <w:rsid w:val="00C60CCD"/>
    <w:rsid w:val="00C620E5"/>
    <w:rsid w:val="00C66D15"/>
    <w:rsid w:val="00C66FDD"/>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339D"/>
    <w:rsid w:val="00C950D6"/>
    <w:rsid w:val="00C97646"/>
    <w:rsid w:val="00C97672"/>
    <w:rsid w:val="00C97705"/>
    <w:rsid w:val="00CA19BE"/>
    <w:rsid w:val="00CA3510"/>
    <w:rsid w:val="00CA3925"/>
    <w:rsid w:val="00CA55BD"/>
    <w:rsid w:val="00CB0837"/>
    <w:rsid w:val="00CB1153"/>
    <w:rsid w:val="00CB2AC4"/>
    <w:rsid w:val="00CB2BFA"/>
    <w:rsid w:val="00CB3888"/>
    <w:rsid w:val="00CB3D15"/>
    <w:rsid w:val="00CB400E"/>
    <w:rsid w:val="00CB48F6"/>
    <w:rsid w:val="00CB59BF"/>
    <w:rsid w:val="00CB5F04"/>
    <w:rsid w:val="00CB67F1"/>
    <w:rsid w:val="00CB7DC8"/>
    <w:rsid w:val="00CC06D2"/>
    <w:rsid w:val="00CC0EC0"/>
    <w:rsid w:val="00CC2AFB"/>
    <w:rsid w:val="00CC34DB"/>
    <w:rsid w:val="00CC4BA7"/>
    <w:rsid w:val="00CC51AC"/>
    <w:rsid w:val="00CC609D"/>
    <w:rsid w:val="00CC7044"/>
    <w:rsid w:val="00CD11FF"/>
    <w:rsid w:val="00CD15E7"/>
    <w:rsid w:val="00CD18B9"/>
    <w:rsid w:val="00CD55F9"/>
    <w:rsid w:val="00CD6F81"/>
    <w:rsid w:val="00CE07A9"/>
    <w:rsid w:val="00CE1012"/>
    <w:rsid w:val="00CE419E"/>
    <w:rsid w:val="00CE5011"/>
    <w:rsid w:val="00CE574A"/>
    <w:rsid w:val="00CE5DC5"/>
    <w:rsid w:val="00CE629E"/>
    <w:rsid w:val="00CE66CE"/>
    <w:rsid w:val="00CE77AA"/>
    <w:rsid w:val="00CE7B59"/>
    <w:rsid w:val="00CF2BFB"/>
    <w:rsid w:val="00CF352C"/>
    <w:rsid w:val="00CF4570"/>
    <w:rsid w:val="00CF58EE"/>
    <w:rsid w:val="00D00811"/>
    <w:rsid w:val="00D00CBC"/>
    <w:rsid w:val="00D00D2B"/>
    <w:rsid w:val="00D019B9"/>
    <w:rsid w:val="00D02A43"/>
    <w:rsid w:val="00D04518"/>
    <w:rsid w:val="00D05489"/>
    <w:rsid w:val="00D05CA1"/>
    <w:rsid w:val="00D061CB"/>
    <w:rsid w:val="00D0796C"/>
    <w:rsid w:val="00D07B7D"/>
    <w:rsid w:val="00D1101F"/>
    <w:rsid w:val="00D11A35"/>
    <w:rsid w:val="00D13130"/>
    <w:rsid w:val="00D146D4"/>
    <w:rsid w:val="00D14B3C"/>
    <w:rsid w:val="00D14BA5"/>
    <w:rsid w:val="00D16580"/>
    <w:rsid w:val="00D20E20"/>
    <w:rsid w:val="00D21C3A"/>
    <w:rsid w:val="00D228DA"/>
    <w:rsid w:val="00D22E01"/>
    <w:rsid w:val="00D238A5"/>
    <w:rsid w:val="00D24621"/>
    <w:rsid w:val="00D25449"/>
    <w:rsid w:val="00D2555B"/>
    <w:rsid w:val="00D2600F"/>
    <w:rsid w:val="00D30EEA"/>
    <w:rsid w:val="00D31534"/>
    <w:rsid w:val="00D32C1F"/>
    <w:rsid w:val="00D33FC2"/>
    <w:rsid w:val="00D34CED"/>
    <w:rsid w:val="00D37394"/>
    <w:rsid w:val="00D46699"/>
    <w:rsid w:val="00D46ABA"/>
    <w:rsid w:val="00D47345"/>
    <w:rsid w:val="00D5073F"/>
    <w:rsid w:val="00D51573"/>
    <w:rsid w:val="00D5185E"/>
    <w:rsid w:val="00D5399A"/>
    <w:rsid w:val="00D5444F"/>
    <w:rsid w:val="00D54E0D"/>
    <w:rsid w:val="00D54F7D"/>
    <w:rsid w:val="00D57528"/>
    <w:rsid w:val="00D60066"/>
    <w:rsid w:val="00D602CA"/>
    <w:rsid w:val="00D60DD8"/>
    <w:rsid w:val="00D615D6"/>
    <w:rsid w:val="00D64C6C"/>
    <w:rsid w:val="00D66D42"/>
    <w:rsid w:val="00D71734"/>
    <w:rsid w:val="00D722CC"/>
    <w:rsid w:val="00D7244A"/>
    <w:rsid w:val="00D72BCC"/>
    <w:rsid w:val="00D746C0"/>
    <w:rsid w:val="00D74723"/>
    <w:rsid w:val="00D76091"/>
    <w:rsid w:val="00D76B9C"/>
    <w:rsid w:val="00D76D82"/>
    <w:rsid w:val="00D77D65"/>
    <w:rsid w:val="00D80448"/>
    <w:rsid w:val="00D80C4F"/>
    <w:rsid w:val="00D8149F"/>
    <w:rsid w:val="00D814FB"/>
    <w:rsid w:val="00D83D95"/>
    <w:rsid w:val="00D844E1"/>
    <w:rsid w:val="00D90293"/>
    <w:rsid w:val="00D90496"/>
    <w:rsid w:val="00D917BC"/>
    <w:rsid w:val="00D942DE"/>
    <w:rsid w:val="00D9491E"/>
    <w:rsid w:val="00D94BF2"/>
    <w:rsid w:val="00D95CB5"/>
    <w:rsid w:val="00D972D8"/>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1EEE"/>
    <w:rsid w:val="00DF6C58"/>
    <w:rsid w:val="00DF787C"/>
    <w:rsid w:val="00E001C1"/>
    <w:rsid w:val="00E015CA"/>
    <w:rsid w:val="00E039F3"/>
    <w:rsid w:val="00E03C30"/>
    <w:rsid w:val="00E058F8"/>
    <w:rsid w:val="00E078BD"/>
    <w:rsid w:val="00E078F8"/>
    <w:rsid w:val="00E1113B"/>
    <w:rsid w:val="00E1142B"/>
    <w:rsid w:val="00E11F10"/>
    <w:rsid w:val="00E157E4"/>
    <w:rsid w:val="00E15950"/>
    <w:rsid w:val="00E16522"/>
    <w:rsid w:val="00E1750C"/>
    <w:rsid w:val="00E178A6"/>
    <w:rsid w:val="00E20545"/>
    <w:rsid w:val="00E21CC8"/>
    <w:rsid w:val="00E223C6"/>
    <w:rsid w:val="00E2443D"/>
    <w:rsid w:val="00E24789"/>
    <w:rsid w:val="00E26615"/>
    <w:rsid w:val="00E26F37"/>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5740C"/>
    <w:rsid w:val="00E60540"/>
    <w:rsid w:val="00E60BF6"/>
    <w:rsid w:val="00E61C74"/>
    <w:rsid w:val="00E6269A"/>
    <w:rsid w:val="00E63D8F"/>
    <w:rsid w:val="00E66910"/>
    <w:rsid w:val="00E706B6"/>
    <w:rsid w:val="00E721CA"/>
    <w:rsid w:val="00E76FF1"/>
    <w:rsid w:val="00E774FE"/>
    <w:rsid w:val="00E809A0"/>
    <w:rsid w:val="00E80AF7"/>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EC9"/>
    <w:rsid w:val="00ED3737"/>
    <w:rsid w:val="00ED3856"/>
    <w:rsid w:val="00ED3E2E"/>
    <w:rsid w:val="00ED4CC8"/>
    <w:rsid w:val="00ED501F"/>
    <w:rsid w:val="00ED6A08"/>
    <w:rsid w:val="00EE05EE"/>
    <w:rsid w:val="00EE0AE2"/>
    <w:rsid w:val="00EE35B4"/>
    <w:rsid w:val="00EE5643"/>
    <w:rsid w:val="00EE7CEC"/>
    <w:rsid w:val="00EF01B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6880"/>
    <w:rsid w:val="00F312FB"/>
    <w:rsid w:val="00F3178C"/>
    <w:rsid w:val="00F33DE5"/>
    <w:rsid w:val="00F34B8F"/>
    <w:rsid w:val="00F36D7F"/>
    <w:rsid w:val="00F37186"/>
    <w:rsid w:val="00F42FCF"/>
    <w:rsid w:val="00F44A83"/>
    <w:rsid w:val="00F5157F"/>
    <w:rsid w:val="00F51743"/>
    <w:rsid w:val="00F529D4"/>
    <w:rsid w:val="00F547F3"/>
    <w:rsid w:val="00F54F27"/>
    <w:rsid w:val="00F5527A"/>
    <w:rsid w:val="00F55FC8"/>
    <w:rsid w:val="00F604E3"/>
    <w:rsid w:val="00F610E6"/>
    <w:rsid w:val="00F61FCC"/>
    <w:rsid w:val="00F66036"/>
    <w:rsid w:val="00F6689D"/>
    <w:rsid w:val="00F67E23"/>
    <w:rsid w:val="00F71601"/>
    <w:rsid w:val="00F72C75"/>
    <w:rsid w:val="00F73F51"/>
    <w:rsid w:val="00F74033"/>
    <w:rsid w:val="00F74ED4"/>
    <w:rsid w:val="00F759EB"/>
    <w:rsid w:val="00F772F7"/>
    <w:rsid w:val="00F7762C"/>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1C6C"/>
    <w:rsid w:val="00FB3F33"/>
    <w:rsid w:val="00FB43E4"/>
    <w:rsid w:val="00FB4889"/>
    <w:rsid w:val="00FB676C"/>
    <w:rsid w:val="00FB67CC"/>
    <w:rsid w:val="00FB728E"/>
    <w:rsid w:val="00FC0ADE"/>
    <w:rsid w:val="00FC0FF1"/>
    <w:rsid w:val="00FC13CB"/>
    <w:rsid w:val="00FC1FDF"/>
    <w:rsid w:val="00FC3360"/>
    <w:rsid w:val="00FC3E27"/>
    <w:rsid w:val="00FC493B"/>
    <w:rsid w:val="00FC63E5"/>
    <w:rsid w:val="00FD0E54"/>
    <w:rsid w:val="00FD1703"/>
    <w:rsid w:val="00FD24B4"/>
    <w:rsid w:val="00FD2B71"/>
    <w:rsid w:val="00FD3576"/>
    <w:rsid w:val="00FD3CA9"/>
    <w:rsid w:val="00FD52D6"/>
    <w:rsid w:val="00FD53A2"/>
    <w:rsid w:val="00FD56FC"/>
    <w:rsid w:val="00FD752B"/>
    <w:rsid w:val="00FD7DD7"/>
    <w:rsid w:val="00FD7EB3"/>
    <w:rsid w:val="00FE033E"/>
    <w:rsid w:val="00FE0D2F"/>
    <w:rsid w:val="00FE31C6"/>
    <w:rsid w:val="00FE4A65"/>
    <w:rsid w:val="00FE51E8"/>
    <w:rsid w:val="00FE602F"/>
    <w:rsid w:val="00FE7611"/>
    <w:rsid w:val="00FE7653"/>
    <w:rsid w:val="00FF0769"/>
    <w:rsid w:val="00FF0DB8"/>
    <w:rsid w:val="00FF1A76"/>
    <w:rsid w:val="00FF1C1D"/>
    <w:rsid w:val="00FF3216"/>
    <w:rsid w:val="00FF324C"/>
    <w:rsid w:val="00FF3330"/>
    <w:rsid w:val="00FF4080"/>
    <w:rsid w:val="00FF40A5"/>
    <w:rsid w:val="00FF48DA"/>
    <w:rsid w:val="00FF4F14"/>
    <w:rsid w:val="00FF5E19"/>
    <w:rsid w:val="00FF61AD"/>
    <w:rsid w:val="00FF76BD"/>
    <w:rsid w:val="07BB1F6B"/>
    <w:rsid w:val="0CCC2D30"/>
    <w:rsid w:val="0E9300AB"/>
    <w:rsid w:val="114627A3"/>
    <w:rsid w:val="166D105A"/>
    <w:rsid w:val="19AC16E5"/>
    <w:rsid w:val="1A92705A"/>
    <w:rsid w:val="1B1A0FC5"/>
    <w:rsid w:val="1CF62488"/>
    <w:rsid w:val="1DC12C3E"/>
    <w:rsid w:val="26782392"/>
    <w:rsid w:val="276C419B"/>
    <w:rsid w:val="28C6621B"/>
    <w:rsid w:val="295C37F0"/>
    <w:rsid w:val="2B496C51"/>
    <w:rsid w:val="2BC86A76"/>
    <w:rsid w:val="315B6D83"/>
    <w:rsid w:val="347C71A6"/>
    <w:rsid w:val="36B64E9E"/>
    <w:rsid w:val="4463459D"/>
    <w:rsid w:val="45F218A5"/>
    <w:rsid w:val="46B12E8B"/>
    <w:rsid w:val="47D1450D"/>
    <w:rsid w:val="52BB0D52"/>
    <w:rsid w:val="542F4EAB"/>
    <w:rsid w:val="557760B1"/>
    <w:rsid w:val="59A83BF7"/>
    <w:rsid w:val="62170BB5"/>
    <w:rsid w:val="682C1510"/>
    <w:rsid w:val="685F2590"/>
    <w:rsid w:val="69C84DEE"/>
    <w:rsid w:val="6E4262D4"/>
    <w:rsid w:val="6F237EE9"/>
    <w:rsid w:val="6FCE32E4"/>
    <w:rsid w:val="71876160"/>
    <w:rsid w:val="71CD2B35"/>
    <w:rsid w:val="73A86D3D"/>
    <w:rsid w:val="76085BB1"/>
    <w:rsid w:val="7C080FCC"/>
    <w:rsid w:val="7DCE3C9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uiPriority w:val="99"/>
  </w:style>
  <w:style w:type="paragraph" w:styleId="8">
    <w:name w:val="Body Text 3"/>
    <w:basedOn w:val="1"/>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uiPriority w:val="99"/>
    <w:rPr>
      <w:color w:val="0000FF"/>
      <w:u w:val="single"/>
    </w:rPr>
  </w:style>
  <w:style w:type="character" w:styleId="23">
    <w:name w:val="annotation reference"/>
    <w:semiHidden/>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字符"/>
    <w:link w:val="15"/>
    <w:uiPriority w:val="0"/>
    <w:rPr>
      <w:rFonts w:eastAsia="宋体"/>
      <w:sz w:val="24"/>
      <w:lang w:eastAsia="en-US" w:bidi="ar-SA"/>
    </w:rPr>
  </w:style>
  <w:style w:type="character" w:customStyle="1" w:styleId="38">
    <w:name w:val="批注文字 字符"/>
    <w:link w:val="7"/>
    <w:semiHidden/>
    <w:qFormat/>
    <w:uiPriority w:val="99"/>
    <w:rPr>
      <w:sz w:val="24"/>
      <w:lang w:eastAsia="en-US"/>
    </w:rPr>
  </w:style>
  <w:style w:type="character" w:customStyle="1" w:styleId="39">
    <w:name w:val="页脚 字符"/>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字符"/>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1219</Words>
  <Characters>6950</Characters>
  <Lines>57</Lines>
  <Paragraphs>16</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2020-09-16T14:49:00Z</dcterms:created>
  <dc:creator>Lilly</dc:creator>
  <cp:lastModifiedBy>汪洋</cp:lastModifiedBy>
  <cp:lastPrinted>2019-09-20T02:16:00Z</cp:lastPrinted>
  <dcterms:modified xsi:type="dcterms:W3CDTF">2021-08-12T07:20:05Z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