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4532399"/>
      <w:bookmarkStart w:id="1" w:name="_Toc483227223"/>
      <w:bookmarkStart w:id="2" w:name="_Toc483400307"/>
      <w:bookmarkStart w:id="3" w:name="_Toc483666358"/>
      <w:bookmarkStart w:id="4" w:name="_Toc482717189"/>
    </w:p>
    <w:p>
      <w:pPr>
        <w:spacing w:after="158" w:afterLines="50"/>
        <w:jc w:val="center"/>
        <w:rPr>
          <w:b/>
          <w:szCs w:val="21"/>
          <w:lang w:eastAsia="zh-CN"/>
        </w:rPr>
      </w:pPr>
      <w:permStart w:id="0" w:edGrp="everyone"/>
      <w:r>
        <w:rPr>
          <w:rFonts w:hint="eastAsia"/>
          <w:b/>
          <w:sz w:val="28"/>
          <w:szCs w:val="28"/>
          <w:lang w:eastAsia="zh-CN"/>
        </w:rPr>
        <w:t>欣宁楼肠道病毒疫苗车间恒温培养箱</w:t>
      </w:r>
      <w:permEnd w:id="0"/>
      <w:r>
        <w:rPr>
          <w:b/>
          <w:sz w:val="28"/>
          <w:szCs w:val="28"/>
          <w:lang w:eastAsia="zh-CN"/>
        </w:rPr>
        <w:t>用户需求说明（URS</w:t>
      </w:r>
      <w:r>
        <w:rPr>
          <w:b/>
          <w:szCs w:val="21"/>
          <w:lang w:eastAsia="zh-CN"/>
        </w:rPr>
        <w:t>）</w:t>
      </w:r>
      <w:bookmarkEnd w:id="0"/>
      <w:bookmarkEnd w:id="1"/>
      <w:bookmarkEnd w:id="2"/>
      <w:bookmarkEnd w:id="3"/>
      <w:bookmarkEnd w:id="4"/>
      <w:permStart w:id="1" w:edGrp="everyone"/>
    </w:p>
    <w:permEnd w:id="1"/>
    <w:p>
      <w:pPr>
        <w:spacing w:after="158" w:afterLines="50"/>
        <w:jc w:val="center"/>
        <w:rPr>
          <w:sz w:val="21"/>
          <w:szCs w:val="21"/>
          <w:lang w:val="zh-CN" w:eastAsia="zh-CN"/>
        </w:rPr>
      </w:pPr>
      <w:r>
        <w:rPr>
          <w:sz w:val="21"/>
          <w:szCs w:val="21"/>
          <w:lang w:val="zh-CN" w:eastAsia="zh-CN"/>
        </w:rPr>
        <w:t>目录</w:t>
      </w:r>
    </w:p>
    <w:p>
      <w:pPr>
        <w:pStyle w:val="28"/>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0"/>
        </w:rPr>
        <w:t>修订历史</w:t>
      </w:r>
      <w:r>
        <w:tab/>
      </w:r>
      <w:r>
        <w:fldChar w:fldCharType="begin"/>
      </w:r>
      <w:r>
        <w:instrText xml:space="preserve"> PAGEREF _Toc522716114 \h </w:instrText>
      </w:r>
      <w:r>
        <w:fldChar w:fldCharType="separate"/>
      </w:r>
      <w:r>
        <w:t>3</w:t>
      </w:r>
      <w:r>
        <w:fldChar w:fldCharType="end"/>
      </w:r>
      <w:r>
        <w:fldChar w:fldCharType="end"/>
      </w:r>
    </w:p>
    <w:p>
      <w:pPr>
        <w:pStyle w:val="28"/>
        <w:rPr>
          <w:b w:val="0"/>
          <w:bCs w:val="0"/>
          <w:caps w:val="0"/>
          <w:szCs w:val="22"/>
        </w:rPr>
      </w:pPr>
      <w:r>
        <w:fldChar w:fldCharType="begin"/>
      </w:r>
      <w:r>
        <w:instrText xml:space="preserve">HYPERLINK  \l "_Toc522716115" </w:instrText>
      </w:r>
      <w:r>
        <w:fldChar w:fldCharType="separate"/>
      </w:r>
      <w:r>
        <w:rPr>
          <w:rStyle w:val="20"/>
        </w:rPr>
        <w:t>1</w:t>
      </w:r>
      <w:r>
        <w:rPr>
          <w:b w:val="0"/>
          <w:bCs w:val="0"/>
          <w:caps w:val="0"/>
          <w:szCs w:val="22"/>
        </w:rPr>
        <w:tab/>
      </w:r>
      <w:r>
        <w:rPr>
          <w:rStyle w:val="20"/>
        </w:rPr>
        <w:t>目的</w:t>
      </w:r>
      <w:r>
        <w:tab/>
      </w:r>
      <w:r>
        <w:fldChar w:fldCharType="begin"/>
      </w:r>
      <w:r>
        <w:instrText xml:space="preserve"> PAGEREF _Toc522716115 \h </w:instrText>
      </w:r>
      <w:r>
        <w:fldChar w:fldCharType="separate"/>
      </w:r>
      <w:r>
        <w:t>4</w:t>
      </w:r>
      <w:r>
        <w:fldChar w:fldCharType="end"/>
      </w:r>
      <w:r>
        <w:fldChar w:fldCharType="end"/>
      </w:r>
    </w:p>
    <w:p>
      <w:pPr>
        <w:pStyle w:val="28"/>
        <w:rPr>
          <w:b w:val="0"/>
          <w:bCs w:val="0"/>
          <w:caps w:val="0"/>
          <w:szCs w:val="22"/>
        </w:rPr>
      </w:pPr>
      <w:r>
        <w:fldChar w:fldCharType="begin"/>
      </w:r>
      <w:r>
        <w:instrText xml:space="preserve">HYPERLINK  \l "_Toc522716116" </w:instrText>
      </w:r>
      <w:r>
        <w:fldChar w:fldCharType="separate"/>
      </w:r>
      <w:r>
        <w:rPr>
          <w:rStyle w:val="20"/>
        </w:rPr>
        <w:t>2</w:t>
      </w:r>
      <w:r>
        <w:rPr>
          <w:b w:val="0"/>
          <w:bCs w:val="0"/>
          <w:caps w:val="0"/>
          <w:szCs w:val="22"/>
        </w:rPr>
        <w:tab/>
      </w:r>
      <w:r>
        <w:rPr>
          <w:rStyle w:val="20"/>
        </w:rPr>
        <w:t>范围</w:t>
      </w:r>
      <w:r>
        <w:tab/>
      </w:r>
      <w:r>
        <w:fldChar w:fldCharType="begin"/>
      </w:r>
      <w:r>
        <w:instrText xml:space="preserve"> PAGEREF _Toc522716116 \h </w:instrText>
      </w:r>
      <w:r>
        <w:fldChar w:fldCharType="separate"/>
      </w:r>
      <w:r>
        <w:t>4</w:t>
      </w:r>
      <w:r>
        <w:fldChar w:fldCharType="end"/>
      </w:r>
      <w:r>
        <w:fldChar w:fldCharType="end"/>
      </w:r>
    </w:p>
    <w:p>
      <w:pPr>
        <w:pStyle w:val="28"/>
        <w:rPr>
          <w:b w:val="0"/>
          <w:bCs w:val="0"/>
          <w:caps w:val="0"/>
          <w:szCs w:val="22"/>
        </w:rPr>
      </w:pPr>
      <w:r>
        <w:fldChar w:fldCharType="begin"/>
      </w:r>
      <w:r>
        <w:instrText xml:space="preserve">HYPERLINK  \l "_Toc522716117" </w:instrText>
      </w:r>
      <w:r>
        <w:fldChar w:fldCharType="separate"/>
      </w:r>
      <w:r>
        <w:rPr>
          <w:rStyle w:val="20"/>
        </w:rPr>
        <w:t>3</w:t>
      </w:r>
      <w:r>
        <w:rPr>
          <w:b w:val="0"/>
          <w:bCs w:val="0"/>
          <w:caps w:val="0"/>
          <w:szCs w:val="22"/>
        </w:rPr>
        <w:tab/>
      </w:r>
      <w:r>
        <w:rPr>
          <w:rStyle w:val="20"/>
        </w:rPr>
        <w:t>参考文件</w:t>
      </w:r>
      <w:r>
        <w:tab/>
      </w:r>
      <w:r>
        <w:fldChar w:fldCharType="begin"/>
      </w:r>
      <w:r>
        <w:instrText xml:space="preserve"> PAGEREF _Toc522716117 \h </w:instrText>
      </w:r>
      <w:r>
        <w:fldChar w:fldCharType="separate"/>
      </w:r>
      <w:r>
        <w:t>4</w:t>
      </w:r>
      <w:r>
        <w:fldChar w:fldCharType="end"/>
      </w:r>
      <w:r>
        <w:fldChar w:fldCharType="end"/>
      </w:r>
    </w:p>
    <w:p>
      <w:pPr>
        <w:pStyle w:val="28"/>
        <w:rPr>
          <w:b w:val="0"/>
          <w:bCs w:val="0"/>
          <w:caps w:val="0"/>
          <w:szCs w:val="22"/>
        </w:rPr>
      </w:pPr>
      <w:r>
        <w:fldChar w:fldCharType="begin"/>
      </w:r>
      <w:r>
        <w:instrText xml:space="preserve">HYPERLINK  \l "_Toc522716118" </w:instrText>
      </w:r>
      <w:r>
        <w:fldChar w:fldCharType="separate"/>
      </w:r>
      <w:r>
        <w:rPr>
          <w:rStyle w:val="20"/>
        </w:rPr>
        <w:t>4</w:t>
      </w:r>
      <w:r>
        <w:rPr>
          <w:b w:val="0"/>
          <w:bCs w:val="0"/>
          <w:caps w:val="0"/>
          <w:szCs w:val="22"/>
        </w:rPr>
        <w:tab/>
      </w:r>
      <w:r>
        <w:rPr>
          <w:rStyle w:val="20"/>
        </w:rPr>
        <w:t>职责</w:t>
      </w:r>
      <w:r>
        <w:tab/>
      </w:r>
      <w:r>
        <w:fldChar w:fldCharType="begin"/>
      </w:r>
      <w:r>
        <w:instrText xml:space="preserve"> PAGEREF _Toc522716118 \h </w:instrText>
      </w:r>
      <w:r>
        <w:fldChar w:fldCharType="separate"/>
      </w:r>
      <w:r>
        <w:t>4</w:t>
      </w:r>
      <w:r>
        <w:fldChar w:fldCharType="end"/>
      </w:r>
      <w:r>
        <w:fldChar w:fldCharType="end"/>
      </w:r>
    </w:p>
    <w:p>
      <w:pPr>
        <w:pStyle w:val="28"/>
        <w:rPr>
          <w:b w:val="0"/>
          <w:bCs w:val="0"/>
          <w:caps w:val="0"/>
          <w:szCs w:val="22"/>
        </w:rPr>
      </w:pPr>
      <w:r>
        <w:fldChar w:fldCharType="begin"/>
      </w:r>
      <w:r>
        <w:instrText xml:space="preserve">HYPERLINK  \l "_Toc522716119" </w:instrText>
      </w:r>
      <w:r>
        <w:fldChar w:fldCharType="separate"/>
      </w:r>
      <w:r>
        <w:rPr>
          <w:rStyle w:val="20"/>
        </w:rPr>
        <w:t>5</w:t>
      </w:r>
      <w:r>
        <w:rPr>
          <w:b w:val="0"/>
          <w:bCs w:val="0"/>
          <w:caps w:val="0"/>
          <w:szCs w:val="22"/>
        </w:rPr>
        <w:tab/>
      </w:r>
      <w:r>
        <w:rPr>
          <w:rStyle w:val="20"/>
        </w:rPr>
        <w:t>系统描述</w:t>
      </w:r>
      <w:r>
        <w:tab/>
      </w:r>
      <w:r>
        <w:fldChar w:fldCharType="begin"/>
      </w:r>
      <w:r>
        <w:instrText xml:space="preserve"> PAGEREF _Toc522716119 \h </w:instrText>
      </w:r>
      <w:r>
        <w:fldChar w:fldCharType="separate"/>
      </w:r>
      <w:r>
        <w:t>5</w:t>
      </w:r>
      <w:r>
        <w:fldChar w:fldCharType="end"/>
      </w:r>
      <w:r>
        <w:fldChar w:fldCharType="end"/>
      </w:r>
    </w:p>
    <w:p>
      <w:pPr>
        <w:pStyle w:val="28"/>
        <w:rPr>
          <w:b w:val="0"/>
          <w:bCs w:val="0"/>
          <w:caps w:val="0"/>
          <w:szCs w:val="22"/>
        </w:rPr>
      </w:pPr>
      <w:r>
        <w:fldChar w:fldCharType="begin"/>
      </w:r>
      <w:r>
        <w:instrText xml:space="preserve">HYPERLINK  \l "_Toc522716120" </w:instrText>
      </w:r>
      <w:r>
        <w:fldChar w:fldCharType="separate"/>
      </w:r>
      <w:r>
        <w:rPr>
          <w:rStyle w:val="20"/>
        </w:rPr>
        <w:t>6</w:t>
      </w:r>
      <w:r>
        <w:rPr>
          <w:b w:val="0"/>
          <w:bCs w:val="0"/>
          <w:caps w:val="0"/>
          <w:szCs w:val="22"/>
        </w:rPr>
        <w:tab/>
      </w:r>
      <w:r>
        <w:rPr>
          <w:rStyle w:val="20"/>
        </w:rPr>
        <w:t>安装要求</w:t>
      </w:r>
      <w:r>
        <w:tab/>
      </w:r>
      <w:r>
        <w:fldChar w:fldCharType="begin"/>
      </w:r>
      <w:r>
        <w:instrText xml:space="preserve"> PAGEREF _Toc522716120 \h </w:instrText>
      </w:r>
      <w:r>
        <w:fldChar w:fldCharType="separate"/>
      </w:r>
      <w:r>
        <w:t>5</w:t>
      </w:r>
      <w:r>
        <w:fldChar w:fldCharType="end"/>
      </w:r>
      <w:r>
        <w:fldChar w:fldCharType="end"/>
      </w:r>
    </w:p>
    <w:p>
      <w:pPr>
        <w:pStyle w:val="28"/>
        <w:rPr>
          <w:b w:val="0"/>
          <w:bCs w:val="0"/>
          <w:caps w:val="0"/>
          <w:szCs w:val="22"/>
        </w:rPr>
      </w:pPr>
      <w:r>
        <w:fldChar w:fldCharType="begin"/>
      </w:r>
      <w:r>
        <w:instrText xml:space="preserve">HYPERLINK  \l "_Toc522716121" </w:instrText>
      </w:r>
      <w:r>
        <w:fldChar w:fldCharType="separate"/>
      </w:r>
      <w:r>
        <w:rPr>
          <w:rStyle w:val="20"/>
        </w:rPr>
        <w:t>7</w:t>
      </w:r>
      <w:r>
        <w:rPr>
          <w:b w:val="0"/>
          <w:bCs w:val="0"/>
          <w:caps w:val="0"/>
          <w:szCs w:val="22"/>
        </w:rPr>
        <w:tab/>
      </w:r>
      <w:r>
        <w:rPr>
          <w:rStyle w:val="20"/>
        </w:rPr>
        <w:t>运行要求</w:t>
      </w:r>
      <w:r>
        <w:tab/>
      </w:r>
      <w:r>
        <w:fldChar w:fldCharType="begin"/>
      </w:r>
      <w:r>
        <w:instrText xml:space="preserve"> PAGEREF _Toc522716121 \h </w:instrText>
      </w:r>
      <w:r>
        <w:fldChar w:fldCharType="separate"/>
      </w:r>
      <w:r>
        <w:t>7</w:t>
      </w:r>
      <w:r>
        <w:fldChar w:fldCharType="end"/>
      </w:r>
      <w:r>
        <w:fldChar w:fldCharType="end"/>
      </w:r>
    </w:p>
    <w:p>
      <w:pPr>
        <w:pStyle w:val="28"/>
        <w:rPr>
          <w:b w:val="0"/>
          <w:bCs w:val="0"/>
          <w:caps w:val="0"/>
          <w:szCs w:val="22"/>
        </w:rPr>
      </w:pPr>
      <w:r>
        <w:fldChar w:fldCharType="begin"/>
      </w:r>
      <w:r>
        <w:instrText xml:space="preserve">HYPERLINK  \l "_Toc522716122" </w:instrText>
      </w:r>
      <w:r>
        <w:fldChar w:fldCharType="separate"/>
      </w:r>
      <w:r>
        <w:rPr>
          <w:rStyle w:val="20"/>
        </w:rPr>
        <w:t>8</w:t>
      </w:r>
      <w:r>
        <w:rPr>
          <w:b w:val="0"/>
          <w:bCs w:val="0"/>
          <w:caps w:val="0"/>
          <w:szCs w:val="22"/>
        </w:rPr>
        <w:tab/>
      </w:r>
      <w:r>
        <w:rPr>
          <w:rStyle w:val="20"/>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28"/>
        <w:rPr>
          <w:b w:val="0"/>
          <w:bCs w:val="0"/>
          <w:caps w:val="0"/>
          <w:szCs w:val="22"/>
        </w:rPr>
      </w:pPr>
      <w:r>
        <w:fldChar w:fldCharType="begin"/>
      </w:r>
      <w:r>
        <w:instrText xml:space="preserve">HYPERLINK  \l "_Toc522716123" </w:instrText>
      </w:r>
      <w:r>
        <w:fldChar w:fldCharType="separate"/>
      </w:r>
      <w:r>
        <w:rPr>
          <w:rStyle w:val="20"/>
        </w:rPr>
        <w:t>9</w:t>
      </w:r>
      <w:r>
        <w:rPr>
          <w:b w:val="0"/>
          <w:bCs w:val="0"/>
          <w:caps w:val="0"/>
          <w:szCs w:val="22"/>
        </w:rPr>
        <w:tab/>
      </w:r>
      <w:r>
        <w:rPr>
          <w:rStyle w:val="20"/>
        </w:rPr>
        <w:t>安全要求</w:t>
      </w:r>
      <w:r>
        <w:tab/>
      </w:r>
      <w:r>
        <w:fldChar w:fldCharType="begin"/>
      </w:r>
      <w:r>
        <w:instrText xml:space="preserve"> PAGEREF _Toc522716123 \h </w:instrText>
      </w:r>
      <w:r>
        <w:fldChar w:fldCharType="separate"/>
      </w:r>
      <w:r>
        <w:t>8</w:t>
      </w:r>
      <w:r>
        <w:fldChar w:fldCharType="end"/>
      </w:r>
      <w:r>
        <w:fldChar w:fldCharType="end"/>
      </w:r>
    </w:p>
    <w:p>
      <w:pPr>
        <w:pStyle w:val="28"/>
        <w:rPr>
          <w:b w:val="0"/>
          <w:bCs w:val="0"/>
          <w:caps w:val="0"/>
          <w:szCs w:val="22"/>
        </w:rPr>
      </w:pPr>
      <w:r>
        <w:fldChar w:fldCharType="begin"/>
      </w:r>
      <w:r>
        <w:instrText xml:space="preserve">HYPERLINK  \l "_Toc522716124" </w:instrText>
      </w:r>
      <w:r>
        <w:fldChar w:fldCharType="separate"/>
      </w:r>
      <w:r>
        <w:rPr>
          <w:rStyle w:val="20"/>
        </w:rPr>
        <w:t>10</w:t>
      </w:r>
      <w:r>
        <w:rPr>
          <w:b w:val="0"/>
          <w:bCs w:val="0"/>
          <w:caps w:val="0"/>
          <w:szCs w:val="22"/>
        </w:rPr>
        <w:tab/>
      </w:r>
      <w:r>
        <w:rPr>
          <w:rStyle w:val="20"/>
        </w:rPr>
        <w:t>文件要求</w:t>
      </w:r>
      <w:r>
        <w:tab/>
      </w:r>
      <w:r>
        <w:fldChar w:fldCharType="begin"/>
      </w:r>
      <w:r>
        <w:instrText xml:space="preserve"> PAGEREF _Toc522716124 \h </w:instrText>
      </w:r>
      <w:r>
        <w:fldChar w:fldCharType="separate"/>
      </w:r>
      <w:r>
        <w:t>9</w:t>
      </w:r>
      <w:r>
        <w:fldChar w:fldCharType="end"/>
      </w:r>
      <w:r>
        <w:fldChar w:fldCharType="end"/>
      </w:r>
    </w:p>
    <w:p>
      <w:pPr>
        <w:pStyle w:val="28"/>
        <w:rPr>
          <w:b w:val="0"/>
          <w:bCs w:val="0"/>
          <w:caps w:val="0"/>
          <w:szCs w:val="22"/>
        </w:rPr>
      </w:pPr>
      <w:r>
        <w:fldChar w:fldCharType="begin"/>
      </w:r>
      <w:r>
        <w:instrText xml:space="preserve">HYPERLINK  \l "_Toc522716125" </w:instrText>
      </w:r>
      <w:r>
        <w:fldChar w:fldCharType="separate"/>
      </w:r>
      <w:r>
        <w:rPr>
          <w:rStyle w:val="20"/>
        </w:rPr>
        <w:t>11</w:t>
      </w:r>
      <w:r>
        <w:rPr>
          <w:b w:val="0"/>
          <w:bCs w:val="0"/>
          <w:caps w:val="0"/>
          <w:szCs w:val="22"/>
        </w:rPr>
        <w:tab/>
      </w:r>
      <w:r>
        <w:rPr>
          <w:rStyle w:val="20"/>
        </w:rPr>
        <w:t>服务要求</w:t>
      </w:r>
      <w:r>
        <w:tab/>
      </w:r>
      <w:r>
        <w:fldChar w:fldCharType="begin"/>
      </w:r>
      <w:r>
        <w:instrText xml:space="preserve"> PAGEREF _Toc522716125 \h </w:instrText>
      </w:r>
      <w:r>
        <w:fldChar w:fldCharType="separate"/>
      </w:r>
      <w:r>
        <w:t>10</w:t>
      </w:r>
      <w:r>
        <w:fldChar w:fldCharType="end"/>
      </w:r>
      <w:r>
        <w:fldChar w:fldCharType="end"/>
      </w:r>
    </w:p>
    <w:p>
      <w:pPr>
        <w:pStyle w:val="28"/>
        <w:rPr>
          <w:b w:val="0"/>
          <w:bCs w:val="0"/>
          <w:caps w:val="0"/>
          <w:szCs w:val="22"/>
        </w:rPr>
      </w:pPr>
      <w:r>
        <w:fldChar w:fldCharType="begin"/>
      </w:r>
      <w:r>
        <w:instrText xml:space="preserve">HYPERLINK  \l "_Toc522716126" </w:instrText>
      </w:r>
      <w:r>
        <w:fldChar w:fldCharType="separate"/>
      </w:r>
      <w:r>
        <w:rPr>
          <w:rStyle w:val="20"/>
        </w:rPr>
        <w:t>12</w:t>
      </w:r>
      <w:r>
        <w:rPr>
          <w:b w:val="0"/>
          <w:bCs w:val="0"/>
          <w:caps w:val="0"/>
          <w:szCs w:val="22"/>
        </w:rPr>
        <w:tab/>
      </w:r>
      <w:r>
        <w:rPr>
          <w:rStyle w:val="20"/>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2"/>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36"/>
        <w:spacing w:before="0" w:line="360" w:lineRule="auto"/>
        <w:ind w:left="357"/>
        <w:jc w:val="left"/>
        <w:rPr>
          <w:szCs w:val="21"/>
          <w:lang w:eastAsia="zh-CN"/>
        </w:rPr>
      </w:pPr>
      <w:bookmarkStart w:id="7" w:name="_Toc482369805"/>
      <w:bookmarkStart w:id="8" w:name="_Toc482370061"/>
      <w:bookmarkStart w:id="9" w:name="_Toc481702475"/>
      <w:bookmarkStart w:id="10" w:name="_Toc482359936"/>
      <w:bookmarkStart w:id="11" w:name="_Toc482370141"/>
      <w:bookmarkStart w:id="12" w:name="_Toc482360281"/>
      <w:bookmarkStart w:id="13" w:name="_Toc482370349"/>
      <w:bookmarkStart w:id="14" w:name="_Toc482625279"/>
      <w:bookmarkStart w:id="15" w:name="_Toc482370757"/>
      <w:r>
        <w:rPr>
          <w:szCs w:val="21"/>
          <w:lang w:eastAsia="zh-CN"/>
        </w:rPr>
        <w:t>本文件的目的是描述武汉生物制品研究所有限责任公司</w:t>
      </w:r>
      <w:permStart w:id="3" w:edGrp="everyone"/>
      <w:r>
        <w:rPr>
          <w:rFonts w:hint="eastAsia" w:ascii="宋体" w:hAnsi="宋体"/>
          <w:color w:val="000000"/>
          <w:lang w:eastAsia="zh-CN"/>
        </w:rPr>
        <w:t>欣宁楼肠道病毒疫苗车间</w:t>
      </w:r>
      <w:r>
        <w:rPr>
          <w:rFonts w:hint="eastAsia"/>
          <w:szCs w:val="21"/>
          <w:lang w:eastAsia="zh-CN"/>
        </w:rPr>
        <w:t>恒温培养箱</w:t>
      </w:r>
      <w:permEnd w:id="3"/>
      <w:r>
        <w:rPr>
          <w:szCs w:val="21"/>
          <w:lang w:eastAsia="zh-CN"/>
        </w:rPr>
        <w:t>的用户需求说明（URS），以确保最终用户的需求在项目设计阶段得以实现，并作为后续验证工作的基础。</w:t>
      </w:r>
    </w:p>
    <w:p>
      <w:pPr>
        <w:pStyle w:val="36"/>
        <w:spacing w:before="0"/>
        <w:ind w:left="360"/>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36"/>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ascii="宋体" w:hAnsi="宋体"/>
          <w:color w:val="000000"/>
          <w:lang w:eastAsia="zh-CN"/>
        </w:rPr>
        <w:t>欣宁楼肠道病毒疫苗车间</w:t>
      </w:r>
      <w:r>
        <w:rPr>
          <w:rFonts w:hint="eastAsia"/>
          <w:szCs w:val="21"/>
          <w:lang w:eastAsia="zh-CN"/>
        </w:rPr>
        <w:t>恒温培养箱</w:t>
      </w:r>
      <w:permEnd w:id="4"/>
      <w:r>
        <w:rPr>
          <w:szCs w:val="21"/>
          <w:lang w:eastAsia="zh-CN"/>
        </w:rPr>
        <w:t>。</w:t>
      </w:r>
      <w:bookmarkEnd w:id="7"/>
      <w:bookmarkEnd w:id="8"/>
      <w:bookmarkEnd w:id="9"/>
      <w:bookmarkEnd w:id="10"/>
      <w:bookmarkEnd w:id="11"/>
      <w:bookmarkEnd w:id="12"/>
      <w:bookmarkEnd w:id="13"/>
      <w:bookmarkEnd w:id="14"/>
      <w:bookmarkEnd w:id="15"/>
    </w:p>
    <w:p>
      <w:pPr>
        <w:pStyle w:val="36"/>
        <w:spacing w:before="0" w:line="360" w:lineRule="auto"/>
        <w:ind w:left="357"/>
        <w:jc w:val="left"/>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36"/>
        <w:numPr>
          <w:ilvl w:val="0"/>
          <w:numId w:val="4"/>
        </w:numPr>
        <w:spacing w:before="0" w:line="360" w:lineRule="auto"/>
        <w:jc w:val="left"/>
        <w:rPr>
          <w:color w:val="000000"/>
          <w:szCs w:val="21"/>
          <w:lang w:eastAsia="zh-CN"/>
        </w:rPr>
      </w:pPr>
      <w:r>
        <w:rPr>
          <w:color w:val="000000"/>
          <w:szCs w:val="21"/>
          <w:lang w:eastAsia="zh-CN"/>
        </w:rPr>
        <w:t>GMP法规指南和SOP</w:t>
      </w:r>
    </w:p>
    <w:p>
      <w:pPr>
        <w:pStyle w:val="36"/>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6"/>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《药品质量生产管理规范》（</w:t>
      </w:r>
      <w:r>
        <w:rPr>
          <w:color w:val="000000"/>
          <w:szCs w:val="21"/>
          <w:lang w:eastAsia="zh-CN"/>
        </w:rPr>
        <w:t>2010</w:t>
      </w:r>
      <w:r>
        <w:rPr>
          <w:rFonts w:hint="eastAsia"/>
          <w:color w:val="000000"/>
          <w:szCs w:val="21"/>
          <w:lang w:eastAsia="zh-CN"/>
        </w:rPr>
        <w:t>修订版）</w:t>
      </w:r>
    </w:p>
    <w:p>
      <w:pPr>
        <w:pStyle w:val="36"/>
        <w:numPr>
          <w:ilvl w:val="0"/>
          <w:numId w:val="5"/>
        </w:numPr>
        <w:spacing w:before="0" w:line="360" w:lineRule="auto"/>
        <w:ind w:left="777"/>
        <w:jc w:val="left"/>
        <w:rPr>
          <w:color w:val="000000"/>
          <w:szCs w:val="21"/>
          <w:lang w:eastAsia="zh-CN"/>
        </w:rPr>
      </w:pPr>
      <w:r>
        <w:rPr>
          <w:rFonts w:hint="eastAsia"/>
          <w:color w:val="000000"/>
          <w:szCs w:val="21"/>
          <w:lang w:eastAsia="zh-CN"/>
        </w:rPr>
        <w:t>《药品GMP指南》无菌药品（2</w:t>
      </w:r>
      <w:r>
        <w:rPr>
          <w:color w:val="000000"/>
          <w:szCs w:val="21"/>
          <w:lang w:eastAsia="zh-CN"/>
        </w:rPr>
        <w:t>011</w:t>
      </w:r>
      <w:r>
        <w:rPr>
          <w:rFonts w:hint="eastAsia"/>
          <w:color w:val="000000"/>
          <w:szCs w:val="21"/>
          <w:lang w:eastAsia="zh-CN"/>
        </w:rPr>
        <w:t>版）</w:t>
      </w:r>
    </w:p>
    <w:p>
      <w:pPr>
        <w:pStyle w:val="36"/>
        <w:numPr>
          <w:ilvl w:val="0"/>
          <w:numId w:val="5"/>
        </w:numPr>
        <w:spacing w:before="0" w:line="360" w:lineRule="auto"/>
        <w:ind w:left="777"/>
        <w:jc w:val="left"/>
        <w:rPr>
          <w:color w:val="000000"/>
          <w:szCs w:val="21"/>
          <w:lang w:eastAsia="zh-CN"/>
        </w:rPr>
      </w:pPr>
      <w:r>
        <w:rPr>
          <w:color w:val="000000"/>
          <w:szCs w:val="21"/>
          <w:lang w:eastAsia="zh-CN"/>
        </w:rPr>
        <w:t>GEP</w:t>
      </w:r>
      <w:r>
        <w:rPr>
          <w:rFonts w:hint="eastAsia"/>
          <w:color w:val="000000"/>
          <w:szCs w:val="21"/>
          <w:lang w:eastAsia="zh-CN"/>
        </w:rPr>
        <w:t>良好工程管理规范</w:t>
      </w:r>
    </w:p>
    <w:p>
      <w:pPr>
        <w:pStyle w:val="36"/>
        <w:numPr>
          <w:ilvl w:val="0"/>
          <w:numId w:val="5"/>
        </w:numPr>
        <w:spacing w:before="0" w:line="360" w:lineRule="auto"/>
        <w:ind w:left="777"/>
        <w:jc w:val="left"/>
        <w:rPr>
          <w:color w:val="000000"/>
          <w:szCs w:val="21"/>
          <w:lang w:eastAsia="zh-CN"/>
        </w:rPr>
      </w:pPr>
      <w:r>
        <w:rPr>
          <w:rFonts w:hint="eastAsia"/>
          <w:color w:val="000000"/>
          <w:szCs w:val="21"/>
          <w:lang w:eastAsia="zh-CN"/>
        </w:rPr>
        <w:t>计算机系统符合</w:t>
      </w:r>
      <w:r>
        <w:rPr>
          <w:color w:val="000000"/>
          <w:szCs w:val="21"/>
          <w:lang w:eastAsia="zh-CN"/>
        </w:rPr>
        <w:t>GAMP5</w:t>
      </w:r>
      <w:r>
        <w:rPr>
          <w:rFonts w:hint="eastAsia"/>
          <w:color w:val="000000"/>
          <w:szCs w:val="21"/>
          <w:lang w:eastAsia="zh-CN"/>
        </w:rPr>
        <w:t>的要求</w:t>
      </w:r>
    </w:p>
    <w:permEnd w:id="5"/>
    <w:p>
      <w:pPr>
        <w:pStyle w:val="36"/>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6"/>
        <w:numPr>
          <w:ilvl w:val="0"/>
          <w:numId w:val="5"/>
        </w:numPr>
        <w:spacing w:before="0" w:line="360" w:lineRule="auto"/>
        <w:ind w:left="777"/>
        <w:jc w:val="left"/>
        <w:rPr>
          <w:color w:val="000000"/>
          <w:szCs w:val="21"/>
          <w:lang w:eastAsia="zh-CN"/>
        </w:rPr>
      </w:pPr>
      <w:permStart w:id="6" w:edGrp="everyone"/>
      <w:r>
        <w:rPr>
          <w:rFonts w:hint="eastAsia"/>
          <w:color w:val="000000"/>
          <w:szCs w:val="21"/>
          <w:lang w:eastAsia="zh-CN"/>
        </w:rPr>
        <w:t>安全：达到国内相关标准及</w:t>
      </w:r>
      <w:r>
        <w:rPr>
          <w:color w:val="000000"/>
          <w:szCs w:val="21"/>
          <w:lang w:eastAsia="zh-CN"/>
        </w:rPr>
        <w:t>CE</w:t>
      </w:r>
      <w:r>
        <w:rPr>
          <w:rFonts w:hint="eastAsia"/>
          <w:color w:val="000000"/>
          <w:szCs w:val="21"/>
          <w:lang w:eastAsia="zh-CN"/>
        </w:rPr>
        <w:t>标准要求；</w:t>
      </w:r>
    </w:p>
    <w:p>
      <w:pPr>
        <w:pStyle w:val="36"/>
        <w:numPr>
          <w:ilvl w:val="0"/>
          <w:numId w:val="5"/>
        </w:numPr>
        <w:spacing w:before="0" w:line="360" w:lineRule="auto"/>
        <w:ind w:left="777"/>
        <w:jc w:val="left"/>
        <w:rPr>
          <w:color w:val="000000"/>
          <w:szCs w:val="21"/>
          <w:lang w:eastAsia="zh-CN"/>
        </w:rPr>
      </w:pPr>
      <w:r>
        <w:rPr>
          <w:color w:val="000000"/>
          <w:szCs w:val="21"/>
          <w:lang w:eastAsia="zh-CN"/>
        </w:rPr>
        <w:t>电气安全应符合GB4793.1和GB4793.4的要求</w:t>
      </w:r>
      <w:r>
        <w:rPr>
          <w:rFonts w:hint="eastAsia"/>
          <w:color w:val="000000"/>
          <w:szCs w:val="21"/>
          <w:lang w:eastAsia="zh-CN"/>
        </w:rPr>
        <w:t>；</w:t>
      </w:r>
    </w:p>
    <w:p>
      <w:pPr>
        <w:pStyle w:val="36"/>
        <w:numPr>
          <w:ilvl w:val="0"/>
          <w:numId w:val="5"/>
        </w:numPr>
        <w:spacing w:before="0" w:line="360" w:lineRule="auto"/>
        <w:ind w:left="777"/>
        <w:jc w:val="left"/>
        <w:rPr>
          <w:color w:val="000000"/>
          <w:szCs w:val="21"/>
          <w:lang w:eastAsia="zh-CN"/>
        </w:rPr>
      </w:pPr>
      <w:r>
        <w:rPr>
          <w:rFonts w:hint="eastAsia"/>
          <w:color w:val="000000"/>
          <w:szCs w:val="21"/>
          <w:lang w:eastAsia="zh-CN"/>
        </w:rPr>
        <w:t>防护等级：电机、电气、仪表及所有控制系统的部件（包括控制盘）的防水防尘等级达到</w:t>
      </w:r>
      <w:r>
        <w:rPr>
          <w:color w:val="000000"/>
          <w:szCs w:val="21"/>
          <w:lang w:eastAsia="zh-CN"/>
        </w:rPr>
        <w:t>IP6</w:t>
      </w:r>
      <w:r>
        <w:rPr>
          <w:rFonts w:hint="eastAsia"/>
          <w:color w:val="000000"/>
          <w:szCs w:val="21"/>
          <w:lang w:eastAsia="zh-CN"/>
        </w:rPr>
        <w:t>4；</w:t>
      </w:r>
    </w:p>
    <w:p>
      <w:pPr>
        <w:pStyle w:val="36"/>
        <w:spacing w:before="0" w:line="360" w:lineRule="auto"/>
        <w:ind w:left="357"/>
        <w:jc w:val="left"/>
        <w:rPr>
          <w:color w:val="000000"/>
          <w:szCs w:val="21"/>
          <w:lang w:eastAsia="zh-CN"/>
        </w:rPr>
      </w:pPr>
      <w:r>
        <w:rPr>
          <w:rFonts w:hint="eastAsia"/>
          <w:color w:val="000000"/>
          <w:szCs w:val="21"/>
          <w:lang w:eastAsia="zh-CN"/>
        </w:rPr>
        <w:t>机械安全机械电气设备第一部分：通用技术条件</w:t>
      </w:r>
      <w:r>
        <w:rPr>
          <w:color w:val="000000"/>
          <w:szCs w:val="21"/>
          <w:lang w:eastAsia="zh-CN"/>
        </w:rPr>
        <w:t>GB-52261-2002</w:t>
      </w:r>
      <w:r>
        <w:rPr>
          <w:rFonts w:hint="eastAsia"/>
          <w:color w:val="000000"/>
          <w:szCs w:val="21"/>
          <w:lang w:eastAsia="zh-CN"/>
        </w:rPr>
        <w:t>。</w:t>
      </w:r>
    </w:p>
    <w:permEnd w:id="6"/>
    <w:p>
      <w:pPr>
        <w:pStyle w:val="36"/>
        <w:spacing w:before="0" w:line="360" w:lineRule="auto"/>
        <w:jc w:val="left"/>
        <w:rPr>
          <w:szCs w:val="21"/>
          <w:lang w:eastAsia="zh-CN"/>
        </w:rPr>
      </w:pPr>
      <w:permStart w:id="7" w:edGrp="everyone"/>
      <w:bookmarkStart w:id="50" w:name="_GoBack"/>
      <w:bookmarkEnd w:id="50"/>
    </w:p>
    <w:permEnd w:id="7"/>
    <w:p>
      <w:pPr>
        <w:pStyle w:val="32"/>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r>
        <w:rPr>
          <w:rFonts w:ascii="Times New Roman" w:hAnsi="Times New Roman"/>
          <w:b/>
        </w:rPr>
        <w:t>系统描述</w:t>
      </w:r>
      <w:bookmarkEnd w:id="20"/>
      <w:bookmarkEnd w:id="21"/>
    </w:p>
    <w:p>
      <w:pPr>
        <w:spacing w:line="460" w:lineRule="exact"/>
        <w:rPr>
          <w:rFonts w:ascii="宋体"/>
          <w:color w:val="000000"/>
          <w:lang w:eastAsia="zh-CN"/>
        </w:rPr>
      </w:pPr>
      <w:bookmarkStart w:id="22" w:name="_Toc5829"/>
      <w:bookmarkStart w:id="23" w:name="_Toc872"/>
      <w:permStart w:id="8" w:edGrp="everyone"/>
      <w:r>
        <w:rPr>
          <w:rFonts w:hint="eastAsia" w:ascii="宋体" w:hAnsi="宋体"/>
          <w:color w:val="000000"/>
          <w:lang w:eastAsia="zh-CN"/>
        </w:rPr>
        <w:t>欣宁楼肠道病毒疫苗车间需要购买2台恒温培养箱，主要用于肠道病毒疫苗室</w:t>
      </w:r>
      <w:bookmarkEnd w:id="22"/>
      <w:bookmarkEnd w:id="23"/>
      <w:r>
        <w:rPr>
          <w:rFonts w:hint="eastAsia" w:ascii="宋体" w:hAnsi="宋体"/>
          <w:color w:val="000000"/>
          <w:lang w:eastAsia="zh-CN"/>
        </w:rPr>
        <w:t>纯化病毒液灭活。</w:t>
      </w:r>
    </w:p>
    <w:permEnd w:id="8"/>
    <w:p>
      <w:pPr>
        <w:pStyle w:val="36"/>
        <w:spacing w:before="0" w:line="360" w:lineRule="auto"/>
        <w:ind w:left="357"/>
        <w:jc w:val="left"/>
        <w:rPr>
          <w:i/>
          <w:color w:val="4472C4"/>
          <w:szCs w:val="21"/>
          <w:lang w:eastAsia="zh-CN"/>
        </w:rPr>
      </w:pPr>
    </w:p>
    <w:p>
      <w:pPr>
        <w:pStyle w:val="32"/>
        <w:numPr>
          <w:ilvl w:val="0"/>
          <w:numId w:val="3"/>
        </w:numPr>
        <w:spacing w:after="158" w:afterLines="50"/>
        <w:ind w:left="426" w:hanging="426" w:hangingChars="202"/>
        <w:outlineLvl w:val="0"/>
        <w:rPr>
          <w:rFonts w:ascii="Times New Roman" w:hAnsi="Times New Roman"/>
          <w:b/>
          <w:szCs w:val="21"/>
        </w:rPr>
      </w:pPr>
      <w:bookmarkStart w:id="24" w:name="_Toc522716120"/>
      <w:r>
        <w:rPr>
          <w:rFonts w:ascii="Times New Roman" w:hAnsi="Times New Roman"/>
          <w:b/>
          <w:szCs w:val="21"/>
        </w:rPr>
        <w:t>安装要求</w:t>
      </w:r>
      <w:bookmarkEnd w:id="24"/>
    </w:p>
    <w:p>
      <w:pPr>
        <w:pStyle w:val="32"/>
        <w:spacing w:after="158" w:afterLines="50"/>
        <w:ind w:left="425" w:firstLine="0" w:firstLineChars="0"/>
        <w:rPr>
          <w:rFonts w:ascii="Times New Roman" w:hAnsi="Times New Roman"/>
          <w:szCs w:val="21"/>
        </w:rPr>
      </w:pPr>
      <w:permStart w:id="9" w:edGrp="everyone"/>
      <w:permEnd w:id="9"/>
    </w:p>
    <w:tbl>
      <w:tblPr>
        <w:tblStyle w:val="22"/>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5" w:name="OLE_LINK2"/>
            <w:bookmarkStart w:id="26"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color w:val="0070C0"/>
                <w:szCs w:val="21"/>
                <w:lang w:eastAsia="zh-CN"/>
              </w:rPr>
            </w:pPr>
            <w:r>
              <w:rPr>
                <w:rFonts w:hint="eastAsia"/>
                <w:szCs w:val="21"/>
                <w:lang w:eastAsia="zh-CN"/>
              </w:rPr>
              <w:t>该培养箱需安装在</w:t>
            </w:r>
            <w:r>
              <w:rPr>
                <w:rFonts w:hint="eastAsia" w:ascii="宋体" w:hAnsi="宋体"/>
                <w:color w:val="000000"/>
                <w:lang w:eastAsia="zh-CN"/>
              </w:rPr>
              <w:t>欣宁楼肠道病毒疫苗车间病毒灭活间</w:t>
            </w:r>
            <w:r>
              <w:rPr>
                <w:rFonts w:hint="eastAsia" w:ascii="宋体" w:hAnsi="宋体"/>
                <w:lang w:eastAsia="zh-CN"/>
              </w:rPr>
              <w:t>。</w:t>
            </w:r>
          </w:p>
        </w:tc>
        <w:tc>
          <w:tcPr>
            <w:tcW w:w="2125" w:type="dxa"/>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i/>
                <w:szCs w:val="21"/>
                <w:lang w:eastAsia="zh-CN"/>
              </w:rPr>
            </w:pPr>
            <w:r>
              <w:rPr>
                <w:rFonts w:hint="eastAsia"/>
                <w:szCs w:val="21"/>
                <w:lang w:eastAsia="zh-CN"/>
              </w:rPr>
              <w:t>恒温培养箱尺寸外形适合房间的空间布局。</w:t>
            </w:r>
          </w:p>
        </w:tc>
        <w:tc>
          <w:tcPr>
            <w:tcW w:w="2125"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color w:val="000000"/>
                <w:szCs w:val="21"/>
                <w:lang w:val="en-US" w:eastAsia="zh-CN"/>
              </w:rPr>
            </w:pPr>
            <w:r>
              <w:rPr>
                <w:color w:val="000000"/>
                <w:szCs w:val="21"/>
                <w:lang w:eastAsia="zh-CN"/>
              </w:rPr>
              <w:t>设备的形式尺寸应符合制造商说明书及技术文件规定的要求。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ermStart w:id="13" w:edGrp="everyone"/>
          </w:p>
        </w:tc>
        <w:tc>
          <w:tcPr>
            <w:tcW w:w="7128" w:type="dxa"/>
            <w:vAlign w:val="center"/>
          </w:tcPr>
          <w:p>
            <w:pPr>
              <w:spacing w:line="276" w:lineRule="auto"/>
              <w:jc w:val="both"/>
              <w:rPr>
                <w:i/>
                <w:color w:val="0070C0"/>
                <w:szCs w:val="21"/>
                <w:lang w:eastAsia="zh-CN"/>
              </w:rPr>
            </w:pPr>
            <w:r>
              <w:rPr>
                <w:rFonts w:hint="eastAsia"/>
                <w:szCs w:val="21"/>
                <w:lang w:eastAsia="zh-CN"/>
              </w:rPr>
              <w:t>重量（</w:t>
            </w:r>
            <w:r>
              <w:rPr>
                <w:szCs w:val="21"/>
                <w:lang w:eastAsia="zh-CN"/>
              </w:rPr>
              <w:t>kg</w:t>
            </w:r>
            <w:r>
              <w:rPr>
                <w:rFonts w:hint="eastAsia"/>
                <w:szCs w:val="21"/>
                <w:lang w:eastAsia="zh-CN"/>
              </w:rPr>
              <w:t>）其重量不超出房间地面承重要求。</w:t>
            </w:r>
          </w:p>
        </w:tc>
        <w:tc>
          <w:tcPr>
            <w:tcW w:w="2125" w:type="dxa"/>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ind w:left="425" w:firstLine="0" w:firstLineChars="0"/>
              <w:rPr>
                <w:rFonts w:ascii="Times New Roman" w:hAnsi="Times New Roman"/>
                <w:szCs w:val="21"/>
              </w:rPr>
            </w:pPr>
            <w:permStart w:id="14" w:edGrp="everyone"/>
          </w:p>
        </w:tc>
        <w:tc>
          <w:tcPr>
            <w:tcW w:w="9253" w:type="dxa"/>
            <w:gridSpan w:val="2"/>
            <w:vAlign w:val="center"/>
          </w:tcPr>
          <w:p>
            <w:pPr>
              <w:jc w:val="both"/>
              <w:rPr>
                <w:szCs w:val="21"/>
                <w:lang w:eastAsia="zh-CN"/>
              </w:rPr>
            </w:pPr>
            <w:r>
              <w:rPr>
                <w:rFonts w:ascii="宋体" w:hAnsi="宋体"/>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color w:val="000000"/>
                <w:szCs w:val="21"/>
                <w:lang w:eastAsia="zh-CN"/>
              </w:rPr>
            </w:pPr>
            <w:r>
              <w:rPr>
                <w:color w:val="000000"/>
                <w:lang w:eastAsia="zh-CN"/>
              </w:rPr>
              <w:t>适用于我公司工作环境温度：能适应</w:t>
            </w:r>
            <w:r>
              <w:rPr>
                <w:rFonts w:hint="eastAsia"/>
                <w:color w:val="000000"/>
                <w:lang w:eastAsia="zh-CN"/>
              </w:rPr>
              <w:t>18</w:t>
            </w:r>
            <w:r>
              <w:rPr>
                <w:rFonts w:hint="eastAsia" w:ascii="宋体" w:hAnsi="宋体" w:cs="宋体"/>
                <w:color w:val="000000"/>
                <w:lang w:eastAsia="zh-CN"/>
              </w:rPr>
              <w:t>℃</w:t>
            </w:r>
            <w:r>
              <w:rPr>
                <w:color w:val="000000"/>
                <w:lang w:eastAsia="zh-CN"/>
              </w:rPr>
              <w:t>～</w:t>
            </w:r>
            <w:r>
              <w:rPr>
                <w:rFonts w:hint="eastAsia"/>
                <w:color w:val="000000"/>
                <w:lang w:eastAsia="zh-CN"/>
              </w:rPr>
              <w:t>26</w:t>
            </w:r>
            <w:r>
              <w:rPr>
                <w:rFonts w:hint="eastAsia" w:ascii="宋体" w:hAnsi="宋体" w:cs="宋体"/>
                <w:color w:val="000000"/>
                <w:lang w:eastAsia="zh-CN"/>
              </w:rPr>
              <w:t>℃</w:t>
            </w:r>
            <w:r>
              <w:rPr>
                <w:color w:val="000000"/>
                <w:lang w:eastAsia="zh-CN"/>
              </w:rPr>
              <w:t>环境</w:t>
            </w:r>
          </w:p>
        </w:tc>
        <w:tc>
          <w:tcPr>
            <w:tcW w:w="2125" w:type="dxa"/>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color w:val="000000"/>
                <w:szCs w:val="21"/>
                <w:lang w:eastAsia="zh-CN"/>
              </w:rPr>
            </w:pPr>
            <w:r>
              <w:rPr>
                <w:color w:val="000000"/>
                <w:lang w:eastAsia="zh-CN"/>
              </w:rPr>
              <w:t>适用于我公司工作环境湿度：至少包括</w:t>
            </w:r>
            <w:r>
              <w:rPr>
                <w:rFonts w:hint="eastAsia"/>
                <w:color w:val="000000"/>
                <w:lang w:eastAsia="zh-CN"/>
              </w:rPr>
              <w:t>4</w:t>
            </w:r>
            <w:r>
              <w:rPr>
                <w:color w:val="000000"/>
                <w:lang w:eastAsia="zh-CN"/>
              </w:rPr>
              <w:t>5%～6</w:t>
            </w:r>
            <w:r>
              <w:rPr>
                <w:rFonts w:hint="eastAsia"/>
                <w:color w:val="000000"/>
                <w:lang w:eastAsia="zh-CN"/>
              </w:rPr>
              <w:t>5</w:t>
            </w:r>
            <w:r>
              <w:rPr>
                <w:color w:val="000000"/>
                <w:lang w:eastAsia="zh-CN"/>
              </w:rPr>
              <w:t>%</w:t>
            </w:r>
          </w:p>
        </w:tc>
        <w:tc>
          <w:tcPr>
            <w:tcW w:w="2125" w:type="dxa"/>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color w:val="000000"/>
                <w:lang w:eastAsia="zh-CN"/>
              </w:rPr>
              <w:t>适用于我公司工作环境洁净级别：</w:t>
            </w:r>
            <w:r>
              <w:rPr>
                <w:rFonts w:hint="eastAsia"/>
                <w:color w:val="000000"/>
                <w:lang w:eastAsia="zh-CN"/>
              </w:rPr>
              <w:t>C级区域</w:t>
            </w:r>
          </w:p>
        </w:tc>
        <w:tc>
          <w:tcPr>
            <w:tcW w:w="2125" w:type="dxa"/>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szCs w:val="21"/>
                <w:lang w:eastAsia="zh-CN"/>
              </w:rPr>
            </w:pPr>
            <w:r>
              <w:rPr>
                <w:color w:val="000000"/>
                <w:szCs w:val="21"/>
                <w:lang w:eastAsia="zh-CN"/>
              </w:rPr>
              <w:t>交流电电源：～220±10%V，50±1Hz</w:t>
            </w:r>
          </w:p>
        </w:tc>
        <w:tc>
          <w:tcPr>
            <w:tcW w:w="2125" w:type="dxa"/>
            <w:vAlign w:val="center"/>
          </w:tcPr>
          <w:p>
            <w:pPr>
              <w:jc w:val="both"/>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ermStart w:id="19" w:edGrp="everyone"/>
          </w:p>
        </w:tc>
        <w:tc>
          <w:tcPr>
            <w:tcW w:w="7128" w:type="dxa"/>
            <w:vAlign w:val="center"/>
          </w:tcPr>
          <w:p>
            <w:pPr>
              <w:pStyle w:val="8"/>
              <w:spacing w:line="276" w:lineRule="auto"/>
              <w:rPr>
                <w:rFonts w:ascii="宋体"/>
                <w:sz w:val="21"/>
                <w:lang w:eastAsia="zh-CN"/>
              </w:rPr>
            </w:pPr>
            <w:r>
              <w:rPr>
                <w:rFonts w:hint="eastAsia" w:ascii="宋体" w:hAnsi="宋体"/>
                <w:bCs/>
                <w:color w:val="000000"/>
                <w:sz w:val="21"/>
                <w:szCs w:val="20"/>
                <w:lang w:eastAsia="zh-CN"/>
              </w:rPr>
              <w:t>培养箱外观应端正、整齐，不得有明显的偏歪、毛刺和锈蚀等缺陷。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
        </w:tc>
        <w:tc>
          <w:tcPr>
            <w:tcW w:w="7128" w:type="dxa"/>
            <w:vAlign w:val="center"/>
          </w:tcPr>
          <w:p>
            <w:pPr>
              <w:pStyle w:val="9"/>
              <w:spacing w:line="276" w:lineRule="auto"/>
              <w:rPr>
                <w:rFonts w:ascii="宋体"/>
                <w:b w:val="0"/>
                <w:bCs/>
                <w:color w:val="000000"/>
                <w:sz w:val="21"/>
                <w:lang w:eastAsia="zh-CN"/>
              </w:rPr>
            </w:pPr>
            <w:r>
              <w:rPr>
                <w:rFonts w:hint="eastAsia" w:ascii="宋体" w:hAnsi="宋体"/>
                <w:b w:val="0"/>
                <w:bCs/>
                <w:color w:val="000000"/>
                <w:sz w:val="21"/>
                <w:lang w:eastAsia="zh-CN"/>
              </w:rPr>
              <w:t>温度验证仪：一体化金属或者其他耐用材质，外壳光洁，满足制药行业环境使用标准。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color w:val="000000"/>
                <w:szCs w:val="21"/>
                <w:lang w:eastAsia="zh-CN"/>
              </w:rPr>
              <w:t>设备内部表面不得有凹陷、毛刺和锈蚀等缺陷。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val="en-US" w:eastAsia="zh-CN"/>
              </w:rPr>
              <w:t>标识</w:t>
            </w:r>
            <w:r>
              <w:rPr>
                <w:color w:val="000000"/>
                <w:szCs w:val="21"/>
                <w:lang w:eastAsia="zh-CN"/>
              </w:rPr>
              <w:t>：至少应有以下永久贴牢和清楚易认的标识：</w:t>
            </w:r>
          </w:p>
          <w:p>
            <w:pPr>
              <w:spacing w:line="276" w:lineRule="auto"/>
              <w:jc w:val="both"/>
              <w:rPr>
                <w:color w:val="000000"/>
                <w:szCs w:val="21"/>
                <w:lang w:eastAsia="zh-CN"/>
              </w:rPr>
            </w:pPr>
            <w:r>
              <w:rPr>
                <w:color w:val="000000"/>
                <w:szCs w:val="21"/>
                <w:lang w:eastAsia="zh-CN"/>
              </w:rPr>
              <w:t>（1）制造/供应单位；</w:t>
            </w:r>
          </w:p>
          <w:p>
            <w:pPr>
              <w:spacing w:line="276" w:lineRule="auto"/>
              <w:jc w:val="both"/>
              <w:rPr>
                <w:color w:val="000000"/>
                <w:szCs w:val="21"/>
                <w:lang w:eastAsia="zh-CN"/>
              </w:rPr>
            </w:pPr>
            <w:r>
              <w:rPr>
                <w:color w:val="000000"/>
                <w:szCs w:val="21"/>
                <w:lang w:eastAsia="zh-CN"/>
              </w:rPr>
              <w:t>（2）产品注册号；</w:t>
            </w:r>
          </w:p>
          <w:p>
            <w:pPr>
              <w:spacing w:line="276" w:lineRule="auto"/>
              <w:jc w:val="both"/>
              <w:rPr>
                <w:color w:val="000000"/>
                <w:szCs w:val="21"/>
                <w:lang w:eastAsia="zh-CN"/>
              </w:rPr>
            </w:pPr>
            <w:r>
              <w:rPr>
                <w:color w:val="000000"/>
                <w:szCs w:val="21"/>
                <w:lang w:eastAsia="zh-CN"/>
              </w:rPr>
              <w:t>（3）型号；</w:t>
            </w:r>
          </w:p>
          <w:p>
            <w:pPr>
              <w:spacing w:line="276" w:lineRule="auto"/>
              <w:jc w:val="both"/>
              <w:rPr>
                <w:color w:val="000000"/>
                <w:szCs w:val="21"/>
                <w:lang w:eastAsia="zh-CN"/>
              </w:rPr>
            </w:pPr>
            <w:r>
              <w:rPr>
                <w:color w:val="000000"/>
                <w:szCs w:val="21"/>
                <w:lang w:eastAsia="zh-CN"/>
              </w:rPr>
              <w:t>（4）生产日期或编号；</w:t>
            </w:r>
          </w:p>
          <w:p>
            <w:pPr>
              <w:spacing w:line="276" w:lineRule="auto"/>
              <w:jc w:val="both"/>
              <w:rPr>
                <w:color w:val="000000"/>
                <w:szCs w:val="21"/>
                <w:lang w:eastAsia="zh-CN"/>
              </w:rPr>
            </w:pPr>
            <w:r>
              <w:rPr>
                <w:color w:val="000000"/>
                <w:szCs w:val="21"/>
                <w:lang w:eastAsia="zh-CN"/>
              </w:rPr>
              <w:t>（5）对设备必要的说明；</w:t>
            </w:r>
          </w:p>
          <w:p>
            <w:pPr>
              <w:pStyle w:val="8"/>
              <w:spacing w:line="276" w:lineRule="auto"/>
              <w:rPr>
                <w:color w:val="0070C0"/>
                <w:sz w:val="21"/>
                <w:szCs w:val="21"/>
                <w:lang w:eastAsia="zh-CN"/>
              </w:rPr>
            </w:pPr>
            <w:r>
              <w:rPr>
                <w:color w:val="000000"/>
                <w:sz w:val="21"/>
                <w:szCs w:val="21"/>
              </w:rPr>
              <w:t>（</w:t>
            </w:r>
            <w:r>
              <w:rPr>
                <w:color w:val="000000"/>
                <w:sz w:val="21"/>
                <w:szCs w:val="21"/>
                <w:lang w:eastAsia="zh-CN"/>
              </w:rPr>
              <w:t>6</w:t>
            </w:r>
            <w:r>
              <w:rPr>
                <w:color w:val="000000"/>
                <w:sz w:val="21"/>
                <w:szCs w:val="21"/>
              </w:rPr>
              <w:t>）安全标识。</w:t>
            </w:r>
          </w:p>
        </w:tc>
        <w:tc>
          <w:tcPr>
            <w:tcW w:w="2125" w:type="dxa"/>
            <w:vAlign w:val="center"/>
          </w:tcPr>
          <w:p>
            <w:pPr>
              <w:jc w:val="both"/>
              <w:rPr>
                <w:szCs w:val="21"/>
                <w:lang w:eastAsia="zh-CN"/>
              </w:rPr>
            </w:pPr>
            <w:r>
              <w:rPr>
                <w:rFonts w:hint="eastAsia"/>
                <w:szCs w:val="21"/>
                <w:lang w:eastAsia="zh-CN"/>
              </w:rPr>
              <w:t>关键</w:t>
            </w:r>
          </w:p>
        </w:tc>
      </w:tr>
      <w:bookmarkEnd w:id="25"/>
      <w:bookmarkEnd w:id="26"/>
      <w:permEnd w:id="19"/>
    </w:tbl>
    <w:p>
      <w:pPr>
        <w:pStyle w:val="32"/>
        <w:spacing w:after="158" w:afterLines="50"/>
        <w:ind w:left="425" w:firstLine="0" w:firstLineChars="0"/>
        <w:rPr>
          <w:rFonts w:ascii="Times New Roman" w:hAnsi="Times New Roman"/>
          <w:szCs w:val="21"/>
        </w:rPr>
      </w:pPr>
    </w:p>
    <w:p>
      <w:pPr>
        <w:pStyle w:val="32"/>
        <w:numPr>
          <w:ilvl w:val="0"/>
          <w:numId w:val="3"/>
        </w:numPr>
        <w:spacing w:after="158" w:afterLines="50"/>
        <w:ind w:left="426" w:hanging="426" w:hangingChars="202"/>
        <w:outlineLvl w:val="0"/>
        <w:rPr>
          <w:rFonts w:ascii="Times New Roman" w:hAnsi="Times New Roman"/>
          <w:b/>
        </w:rPr>
      </w:pPr>
      <w:bookmarkStart w:id="27" w:name="_Toc522107740"/>
      <w:bookmarkStart w:id="28" w:name="_Toc522716121"/>
      <w:r>
        <w:rPr>
          <w:rFonts w:ascii="Times New Roman" w:hAnsi="Times New Roman"/>
          <w:b/>
        </w:rPr>
        <w:t>运行要求</w:t>
      </w:r>
      <w:bookmarkEnd w:id="27"/>
      <w:bookmarkEnd w:id="28"/>
    </w:p>
    <w:p>
      <w:pPr>
        <w:pStyle w:val="36"/>
        <w:spacing w:before="0" w:line="360" w:lineRule="auto"/>
        <w:jc w:val="left"/>
        <w:rPr>
          <w:bCs/>
          <w:i/>
          <w:color w:val="4472C4"/>
          <w:kern w:val="44"/>
          <w:szCs w:val="21"/>
          <w:lang w:eastAsia="zh-CN"/>
        </w:rPr>
      </w:pPr>
      <w:permStart w:id="20" w:edGrp="everyone"/>
    </w:p>
    <w:tbl>
      <w:tblPr>
        <w:tblStyle w:val="22"/>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8D8D8"/>
            <w:vAlign w:val="center"/>
          </w:tcPr>
          <w:p>
            <w:pPr>
              <w:pStyle w:val="32"/>
              <w:ind w:firstLine="0" w:firstLineChars="0"/>
              <w:jc w:val="center"/>
              <w:rPr>
                <w:rFonts w:ascii="Times New Roman" w:hAnsi="Times New Roman"/>
                <w:szCs w:val="21"/>
              </w:rPr>
            </w:pPr>
            <w:permStart w:id="21" w:edGrp="everyone"/>
          </w:p>
        </w:tc>
        <w:tc>
          <w:tcPr>
            <w:tcW w:w="9253" w:type="dxa"/>
            <w:gridSpan w:val="2"/>
            <w:vAlign w:val="center"/>
          </w:tcPr>
          <w:p>
            <w:pPr>
              <w:pStyle w:val="32"/>
              <w:ind w:left="425" w:firstLine="0" w:firstLineChars="0"/>
              <w:rPr>
                <w:rFonts w:ascii="Times New Roman" w:hAnsi="Times New Roman"/>
                <w:szCs w:val="21"/>
              </w:rPr>
            </w:pPr>
            <w:r>
              <w:rPr>
                <w:rFonts w:ascii="宋体" w:hAnsi="宋体"/>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8D8D8"/>
            <w:vAlign w:val="center"/>
          </w:tcPr>
          <w:p>
            <w:pPr>
              <w:pStyle w:val="32"/>
              <w:ind w:firstLine="366" w:firstLineChars="0"/>
              <w:jc w:val="center"/>
              <w:rPr>
                <w:rFonts w:ascii="Times New Roman" w:hAnsi="Times New Roman"/>
                <w:szCs w:val="21"/>
              </w:rPr>
            </w:pPr>
            <w:permStart w:id="22" w:edGrp="everyone"/>
          </w:p>
        </w:tc>
        <w:tc>
          <w:tcPr>
            <w:tcW w:w="9253" w:type="dxa"/>
            <w:gridSpan w:val="2"/>
            <w:vAlign w:val="center"/>
          </w:tcPr>
          <w:p>
            <w:pPr>
              <w:pStyle w:val="32"/>
              <w:ind w:left="425" w:firstLine="0" w:firstLineChars="0"/>
              <w:rPr>
                <w:rFonts w:ascii="Times New Roman" w:hAnsi="Times New Roman"/>
                <w:szCs w:val="21"/>
              </w:rPr>
            </w:pPr>
            <w:r>
              <w:rPr>
                <w:rFonts w:ascii="宋体" w:hAnsi="宋体"/>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ermStart w:id="23" w:edGrp="everyone"/>
          </w:p>
        </w:tc>
        <w:tc>
          <w:tcPr>
            <w:tcW w:w="7128" w:type="dxa"/>
            <w:vAlign w:val="center"/>
          </w:tcPr>
          <w:p>
            <w:pPr>
              <w:pStyle w:val="8"/>
              <w:rPr>
                <w:rFonts w:ascii="宋体"/>
                <w:sz w:val="21"/>
                <w:lang w:eastAsia="zh-CN"/>
              </w:rPr>
            </w:pPr>
            <w:r>
              <w:rPr>
                <w:rFonts w:hint="eastAsia" w:ascii="宋体" w:hAnsi="宋体"/>
                <w:sz w:val="21"/>
                <w:lang w:eastAsia="zh-CN"/>
              </w:rPr>
              <w:t>温度测温范围：温度范围</w:t>
            </w:r>
            <w:r>
              <w:rPr>
                <w:rFonts w:ascii="宋体" w:hAnsi="宋体"/>
                <w:sz w:val="21"/>
                <w:lang w:eastAsia="zh-CN"/>
              </w:rPr>
              <w:t>: 15</w:t>
            </w:r>
            <w:r>
              <w:rPr>
                <w:rFonts w:hint="eastAsia" w:ascii="宋体" w:hAnsi="宋体"/>
                <w:sz w:val="21"/>
                <w:lang w:eastAsia="zh-CN"/>
              </w:rPr>
              <w:t>～</w:t>
            </w:r>
            <w:r>
              <w:rPr>
                <w:rFonts w:ascii="宋体" w:hAnsi="宋体"/>
                <w:sz w:val="21"/>
                <w:lang w:eastAsia="zh-CN"/>
              </w:rPr>
              <w:t>60</w:t>
            </w:r>
            <w:r>
              <w:rPr>
                <w:rFonts w:hint="eastAsia" w:ascii="宋体" w:hAnsi="宋体"/>
                <w:sz w:val="21"/>
                <w:lang w:eastAsia="zh-CN"/>
              </w:rPr>
              <w:t>℃</w:t>
            </w:r>
          </w:p>
        </w:tc>
        <w:tc>
          <w:tcPr>
            <w:tcW w:w="2125" w:type="dxa"/>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ermStart w:id="24" w:edGrp="everyone"/>
          </w:p>
        </w:tc>
        <w:tc>
          <w:tcPr>
            <w:tcW w:w="7128" w:type="dxa"/>
            <w:vAlign w:val="center"/>
          </w:tcPr>
          <w:p>
            <w:pPr>
              <w:pStyle w:val="8"/>
              <w:rPr>
                <w:rFonts w:ascii="宋体" w:hAnsi="宋体"/>
                <w:sz w:val="21"/>
                <w:lang w:eastAsia="zh-CN"/>
              </w:rPr>
            </w:pPr>
            <w:r>
              <w:rPr>
                <w:rFonts w:hint="eastAsia" w:ascii="宋体" w:hAnsi="宋体"/>
                <w:sz w:val="21"/>
                <w:lang w:eastAsia="zh-CN"/>
              </w:rPr>
              <w:t>温度分辨率：</w:t>
            </w:r>
            <w:r>
              <w:rPr>
                <w:rFonts w:ascii="宋体" w:hAnsi="宋体"/>
                <w:sz w:val="21"/>
                <w:lang w:eastAsia="zh-CN"/>
              </w:rPr>
              <w:t>0.1</w:t>
            </w:r>
            <w:r>
              <w:rPr>
                <w:rFonts w:hint="eastAsia" w:ascii="宋体" w:hAnsi="宋体"/>
                <w:sz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
        </w:tc>
        <w:tc>
          <w:tcPr>
            <w:tcW w:w="7128" w:type="dxa"/>
            <w:vAlign w:val="center"/>
          </w:tcPr>
          <w:p>
            <w:pPr>
              <w:pStyle w:val="8"/>
              <w:rPr>
                <w:rFonts w:ascii="宋体" w:hAnsi="宋体"/>
                <w:sz w:val="21"/>
                <w:lang w:eastAsia="zh-CN"/>
              </w:rPr>
            </w:pPr>
            <w:r>
              <w:rPr>
                <w:rFonts w:hint="eastAsia" w:ascii="宋体" w:hAnsi="宋体"/>
                <w:sz w:val="21"/>
                <w:lang w:eastAsia="zh-CN"/>
              </w:rPr>
              <w:t>温度波动性：±</w:t>
            </w:r>
            <w:r>
              <w:rPr>
                <w:rFonts w:ascii="宋体" w:hAnsi="宋体"/>
                <w:sz w:val="21"/>
                <w:lang w:eastAsia="zh-CN"/>
              </w:rPr>
              <w:t>0.5</w:t>
            </w:r>
            <w:r>
              <w:rPr>
                <w:rFonts w:hint="eastAsia" w:ascii="宋体" w:hAnsi="宋体"/>
                <w:sz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
        </w:tc>
        <w:tc>
          <w:tcPr>
            <w:tcW w:w="7128" w:type="dxa"/>
            <w:vAlign w:val="center"/>
          </w:tcPr>
          <w:p>
            <w:pPr>
              <w:pStyle w:val="8"/>
              <w:rPr>
                <w:rFonts w:ascii="宋体" w:hAnsi="宋体"/>
                <w:sz w:val="22"/>
              </w:rPr>
            </w:pPr>
            <w:r>
              <w:rPr>
                <w:rFonts w:hint="eastAsia" w:ascii="宋体" w:hAnsi="宋体"/>
                <w:sz w:val="21"/>
                <w:lang w:eastAsia="zh-CN"/>
              </w:rPr>
              <w:t>温度均匀性：±</w:t>
            </w:r>
            <w:r>
              <w:rPr>
                <w:rFonts w:ascii="宋体" w:hAnsi="宋体"/>
                <w:sz w:val="21"/>
                <w:lang w:eastAsia="zh-CN"/>
              </w:rPr>
              <w:t>1</w:t>
            </w:r>
            <w:r>
              <w:rPr>
                <w:rFonts w:hint="eastAsia" w:ascii="宋体" w:hAnsi="宋体"/>
                <w:sz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
        </w:tc>
        <w:tc>
          <w:tcPr>
            <w:tcW w:w="7128" w:type="dxa"/>
            <w:vAlign w:val="center"/>
          </w:tcPr>
          <w:p>
            <w:pPr>
              <w:pStyle w:val="8"/>
              <w:rPr>
                <w:rFonts w:ascii="宋体" w:hAnsi="宋体"/>
                <w:sz w:val="22"/>
                <w:lang w:eastAsia="zh-CN"/>
              </w:rPr>
            </w:pPr>
            <w:r>
              <w:rPr>
                <w:rFonts w:hint="eastAsia" w:ascii="宋体" w:hAnsi="宋体"/>
                <w:sz w:val="21"/>
                <w:lang w:eastAsia="zh-CN"/>
              </w:rPr>
              <w:t>左/右侧有φ50mm卡盘式快接口,便于验证探头插入。</w:t>
            </w:r>
          </w:p>
        </w:tc>
        <w:tc>
          <w:tcPr>
            <w:tcW w:w="2125" w:type="dxa"/>
            <w:vAlign w:val="center"/>
          </w:tcPr>
          <w:p>
            <w:pPr>
              <w:jc w:val="both"/>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ermStart w:id="25" w:edGrp="everyone"/>
          </w:p>
        </w:tc>
        <w:tc>
          <w:tcPr>
            <w:tcW w:w="7128" w:type="dxa"/>
            <w:vAlign w:val="center"/>
          </w:tcPr>
          <w:p>
            <w:pPr>
              <w:jc w:val="both"/>
              <w:rPr>
                <w:szCs w:val="21"/>
                <w:lang w:eastAsia="zh-CN"/>
              </w:rPr>
            </w:pPr>
            <w:r>
              <w:rPr>
                <w:rFonts w:hint="eastAsia"/>
                <w:szCs w:val="21"/>
                <w:lang w:eastAsia="zh-CN"/>
              </w:rPr>
              <w:t>具有断电恢复功能，在外电源突然失电又重新来电后，设备可自动按原设定程序恢复运行</w:t>
            </w:r>
          </w:p>
        </w:tc>
        <w:tc>
          <w:tcPr>
            <w:tcW w:w="2125" w:type="dxa"/>
            <w:vAlign w:val="center"/>
          </w:tcPr>
          <w:p>
            <w:pPr>
              <w:jc w:val="both"/>
              <w:rPr>
                <w:szCs w:val="21"/>
                <w:lang w:eastAsia="zh-CN"/>
              </w:rPr>
            </w:pPr>
            <w:r>
              <w:rPr>
                <w:rFonts w:hint="eastAsia"/>
                <w:szCs w:val="21"/>
                <w:lang w:eastAsia="zh-CN"/>
              </w:rPr>
              <w:t>关键</w:t>
            </w:r>
          </w:p>
        </w:tc>
      </w:tr>
      <w:permEnd w:id="25"/>
    </w:tbl>
    <w:p>
      <w:pPr>
        <w:pStyle w:val="32"/>
        <w:numPr>
          <w:ilvl w:val="0"/>
          <w:numId w:val="3"/>
        </w:numPr>
        <w:spacing w:after="158" w:afterLines="50"/>
        <w:ind w:left="426" w:hanging="426" w:hangingChars="202"/>
        <w:outlineLvl w:val="0"/>
        <w:rPr>
          <w:rFonts w:ascii="Times New Roman" w:hAnsi="Times New Roman"/>
          <w:b/>
        </w:rPr>
      </w:pPr>
      <w:bookmarkStart w:id="29" w:name="_Toc522716122"/>
      <w:bookmarkStart w:id="30" w:name="_Toc522107742"/>
      <w:bookmarkStart w:id="31" w:name="_Toc482625289"/>
      <w:bookmarkStart w:id="32" w:name="_Toc482370071"/>
      <w:bookmarkStart w:id="33" w:name="_Toc482370151"/>
      <w:bookmarkStart w:id="34" w:name="_Toc482370359"/>
      <w:bookmarkStart w:id="35" w:name="_Toc481702480"/>
      <w:bookmarkStart w:id="36" w:name="_Toc482370767"/>
      <w:bookmarkStart w:id="37" w:name="_Toc482717202"/>
      <w:bookmarkStart w:id="38" w:name="_Toc483400317"/>
      <w:bookmarkStart w:id="39" w:name="_Toc482369815"/>
      <w:bookmarkStart w:id="40" w:name="_Toc482360291"/>
      <w:bookmarkStart w:id="41" w:name="_Toc483227237"/>
      <w:bookmarkStart w:id="42" w:name="_Toc482359946"/>
      <w:r>
        <w:rPr>
          <w:rFonts w:ascii="Times New Roman" w:hAnsi="Times New Roman"/>
          <w:b/>
        </w:rPr>
        <w:t>电气、自动控制要求</w:t>
      </w:r>
      <w:bookmarkEnd w:id="29"/>
    </w:p>
    <w:p>
      <w:pPr>
        <w:pStyle w:val="36"/>
        <w:spacing w:before="0" w:line="360" w:lineRule="auto"/>
        <w:jc w:val="left"/>
        <w:rPr>
          <w:i/>
          <w:color w:val="4472C4"/>
          <w:szCs w:val="21"/>
          <w:lang w:eastAsia="zh-CN"/>
        </w:rPr>
      </w:pPr>
      <w:permStart w:id="26" w:edGrp="everyone"/>
    </w:p>
    <w:tbl>
      <w:tblPr>
        <w:tblStyle w:val="22"/>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6"/>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ermStart w:id="27" w:edGrp="everyone"/>
          </w:p>
        </w:tc>
        <w:tc>
          <w:tcPr>
            <w:tcW w:w="7128" w:type="dxa"/>
            <w:vAlign w:val="center"/>
          </w:tcPr>
          <w:p>
            <w:pPr>
              <w:pStyle w:val="8"/>
              <w:spacing w:line="276" w:lineRule="auto"/>
              <w:rPr>
                <w:rFonts w:hint="eastAsia"/>
                <w:color w:val="000000"/>
                <w:sz w:val="21"/>
                <w:szCs w:val="21"/>
                <w:lang w:eastAsia="zh-CN"/>
              </w:rPr>
            </w:pPr>
            <w:r>
              <w:rPr>
                <w:rFonts w:hint="eastAsia"/>
                <w:color w:val="000000"/>
                <w:sz w:val="21"/>
                <w:szCs w:val="21"/>
                <w:lang w:eastAsia="zh-CN"/>
              </w:rPr>
              <w:t>预留物理远传接口，设备端口免费开放，优先预留以太网口和RS485接口</w:t>
            </w:r>
          </w:p>
        </w:tc>
        <w:tc>
          <w:tcPr>
            <w:tcW w:w="2125" w:type="dxa"/>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hint="eastAsia"/>
                <w:color w:val="000000"/>
                <w:sz w:val="21"/>
                <w:szCs w:val="21"/>
                <w:lang w:eastAsia="zh-CN"/>
              </w:rPr>
            </w:pPr>
            <w:r>
              <w:rPr>
                <w:rFonts w:hint="eastAsia"/>
                <w:color w:val="000000"/>
                <w:sz w:val="21"/>
                <w:szCs w:val="21"/>
                <w:lang w:eastAsia="zh-CN"/>
              </w:rPr>
              <w:t>必须提供通讯地址表，通讯地址表必须要包含。协议名：通讯使用的协议名称。通讯参数：比如IP地址、波特率、端口号、ID号、校验位、停止位等。寄存器地址：需要提供HMI上最终显示的实际数值、上下限值、状态值、报警值、故障值等数值的地址，而不是未经过计算原始值。变量名称：该寄存地址代表的实际意义，比如出风口温度。数值类型：该寄存器值的数值类型，比如16位无符号整数型或32位浮点型等等。单位：该数值单位，比如℃。</w:t>
            </w:r>
          </w:p>
        </w:tc>
        <w:tc>
          <w:tcPr>
            <w:tcW w:w="2125" w:type="dxa"/>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hint="eastAsia"/>
                <w:color w:val="000000"/>
                <w:sz w:val="21"/>
                <w:szCs w:val="21"/>
                <w:lang w:eastAsia="zh-CN"/>
              </w:rPr>
            </w:pPr>
            <w:r>
              <w:rPr>
                <w:rFonts w:hint="eastAsia"/>
                <w:color w:val="000000"/>
                <w:sz w:val="21"/>
                <w:szCs w:val="21"/>
                <w:lang w:eastAsia="zh-CN"/>
              </w:rPr>
              <w:t>加热方式为气套式，内置循环风机，以保证温度均匀。</w:t>
            </w:r>
          </w:p>
        </w:tc>
        <w:tc>
          <w:tcPr>
            <w:tcW w:w="2125" w:type="dxa"/>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hint="eastAsia"/>
                <w:color w:val="000000"/>
                <w:sz w:val="21"/>
                <w:szCs w:val="21"/>
                <w:lang w:eastAsia="zh-CN"/>
              </w:rPr>
            </w:pPr>
            <w:r>
              <w:rPr>
                <w:rFonts w:hint="eastAsia"/>
                <w:color w:val="000000"/>
                <w:sz w:val="21"/>
                <w:szCs w:val="21"/>
                <w:lang w:eastAsia="zh-CN"/>
              </w:rPr>
              <w:t>使用双芯温度传感器，防止传感器故障后造成温度过高的情况。</w:t>
            </w:r>
          </w:p>
        </w:tc>
        <w:tc>
          <w:tcPr>
            <w:tcW w:w="2125" w:type="dxa"/>
            <w:vAlign w:val="center"/>
          </w:tcPr>
          <w:p>
            <w:pPr>
              <w:jc w:val="both"/>
              <w:rPr>
                <w:rFonts w:hint="eastAsia"/>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ermStart w:id="28" w:edGrp="everyone"/>
          </w:p>
        </w:tc>
        <w:tc>
          <w:tcPr>
            <w:tcW w:w="7128" w:type="dxa"/>
            <w:vAlign w:val="center"/>
          </w:tcPr>
          <w:p>
            <w:pPr>
              <w:pStyle w:val="8"/>
              <w:spacing w:line="276" w:lineRule="auto"/>
              <w:rPr>
                <w:rFonts w:ascii="宋体"/>
                <w:sz w:val="22"/>
                <w:lang w:eastAsia="zh-CN"/>
              </w:rPr>
            </w:pPr>
            <w:r>
              <w:rPr>
                <w:rFonts w:hint="eastAsia"/>
                <w:color w:val="000000"/>
                <w:sz w:val="21"/>
                <w:szCs w:val="21"/>
                <w:lang w:eastAsia="zh-CN"/>
              </w:rPr>
              <w:t>数字型控制系统，可精确检测并调控温度，配有操作显示界面，可实时显示关键参数设置及运行状态显示，有报警功能，可由管理员设置报警上下限。</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
        </w:tc>
        <w:tc>
          <w:tcPr>
            <w:tcW w:w="7128" w:type="dxa"/>
            <w:vAlign w:val="center"/>
          </w:tcPr>
          <w:p>
            <w:pPr>
              <w:pStyle w:val="7"/>
              <w:rPr>
                <w:lang w:val="en-US" w:eastAsia="zh-CN"/>
              </w:rPr>
            </w:pPr>
            <w:r>
              <w:rPr>
                <w:rFonts w:hint="eastAsia"/>
                <w:color w:val="000000"/>
                <w:szCs w:val="21"/>
                <w:lang w:eastAsia="zh-CN"/>
              </w:rPr>
              <w:t>仪器软件具有至少4级用户分层权限管理及密码管理的功能，分别为Admin</w:t>
            </w:r>
            <w:r>
              <w:rPr>
                <w:color w:val="000000"/>
                <w:szCs w:val="21"/>
                <w:lang w:eastAsia="zh-CN"/>
              </w:rPr>
              <w:t>istrator,Operator,guest,</w:t>
            </w:r>
            <w:r>
              <w:rPr>
                <w:rFonts w:hint="eastAsia"/>
                <w:lang w:val="en-US" w:eastAsia="zh-CN"/>
              </w:rPr>
              <w:t xml:space="preserve">QA </w:t>
            </w:r>
            <w:r>
              <w:rPr>
                <w:lang w:val="en-US" w:eastAsia="zh-CN"/>
              </w:rPr>
              <w:t>Examiner</w:t>
            </w:r>
            <w:r>
              <w:rPr>
                <w:rFonts w:hint="eastAsia"/>
                <w:lang w:val="en-US" w:eastAsia="zh-CN"/>
              </w:rPr>
              <w:t>,</w:t>
            </w:r>
            <w:r>
              <w:rPr>
                <w:rFonts w:hint="eastAsia"/>
                <w:color w:val="000000"/>
                <w:szCs w:val="21"/>
                <w:lang w:eastAsia="zh-CN"/>
              </w:rPr>
              <w:t>每级权限可设置多个用户。其中guest，</w:t>
            </w:r>
            <w:r>
              <w:rPr>
                <w:rFonts w:hint="eastAsia"/>
                <w:lang w:val="en-US" w:eastAsia="zh-CN"/>
              </w:rPr>
              <w:t xml:space="preserve">QA </w:t>
            </w:r>
            <w:r>
              <w:rPr>
                <w:lang w:val="en-US" w:eastAsia="zh-CN"/>
              </w:rPr>
              <w:t>Examiner</w:t>
            </w:r>
            <w:r>
              <w:rPr>
                <w:rFonts w:hint="eastAsia"/>
                <w:lang w:val="en-US" w:eastAsia="zh-CN"/>
              </w:rPr>
              <w:t>的权限看到任何数据，但不能修改参数或删除电子文件。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color w:val="000000"/>
                <w:sz w:val="21"/>
                <w:szCs w:val="21"/>
                <w:lang w:eastAsia="zh-CN"/>
              </w:rPr>
            </w:pPr>
            <w:r>
              <w:rPr>
                <w:rFonts w:hint="eastAsia"/>
                <w:color w:val="000000"/>
                <w:sz w:val="21"/>
                <w:szCs w:val="21"/>
                <w:lang w:eastAsia="zh-CN"/>
              </w:rPr>
              <w:t>系统应可以为每个用户创建唯一的用户名和密码，系统管理员应可以重置密码，可以允许用户更改自己的密码，系统应可以新增、修改和删除账户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color w:val="000000"/>
                <w:sz w:val="21"/>
                <w:szCs w:val="21"/>
                <w:lang w:eastAsia="zh-CN"/>
              </w:rPr>
            </w:pPr>
            <w:r>
              <w:rPr>
                <w:rFonts w:hint="eastAsia"/>
                <w:color w:val="000000"/>
                <w:sz w:val="21"/>
                <w:szCs w:val="21"/>
                <w:lang w:eastAsia="zh-CN"/>
              </w:rPr>
              <w:t>可实时打印温度记录，使用热敏打印，打印的温度记录至少包括：日期时间、温度数据与曲线、必要的用户信息、设置信息，屏幕显示的结果与存储和打印的记录应是一致的。</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lang w:eastAsia="zh-CN"/>
              </w:rPr>
            </w:pPr>
            <w:r>
              <w:rPr>
                <w:rFonts w:hint="eastAsia" w:hAnsi="宋体"/>
                <w:szCs w:val="21"/>
                <w:lang w:eastAsia="zh-CN"/>
              </w:rPr>
              <w:t>操作序列号应由监测系统自动生成，依据操作次数递增，不可人为更改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lang w:eastAsia="zh-CN"/>
              </w:rPr>
            </w:pPr>
            <w:r>
              <w:rPr>
                <w:rFonts w:hint="eastAsia"/>
                <w:color w:val="000000"/>
                <w:szCs w:val="21"/>
                <w:lang w:eastAsia="zh-CN"/>
              </w:rPr>
              <w:t>系统应有审计追踪功能，可以记录系统和安全的事件，比如登录登出、密码更改、参数更改、记录删除及相应操作人员和日期时间等。存储的审计追踪记录不可修改，可查询、输出、备份、打印。</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lang w:eastAsia="zh-CN"/>
              </w:rPr>
            </w:pPr>
            <w:r>
              <w:rPr>
                <w:rFonts w:hint="eastAsia" w:hAnsi="宋体"/>
                <w:szCs w:val="21"/>
                <w:lang w:eastAsia="zh-CN"/>
              </w:rPr>
              <w:t>电子数据应存储为不可修改格式</w:t>
            </w:r>
            <w:r>
              <w:rPr>
                <w:rFonts w:hint="eastAsia"/>
                <w:color w:val="000000"/>
                <w:szCs w:val="21"/>
                <w:lang w:eastAsia="zh-CN"/>
              </w:rPr>
              <w:t>，可查询、输出、备份、打印。</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lang w:eastAsia="zh-CN"/>
              </w:rPr>
            </w:pPr>
            <w:r>
              <w:rPr>
                <w:rFonts w:hint="eastAsia" w:hAnsi="宋体"/>
                <w:szCs w:val="21"/>
                <w:lang w:eastAsia="zh-CN"/>
              </w:rPr>
              <w:t>断电恢复系统可正常运行，不影响参数设置和数据完整性。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lang w:eastAsia="zh-CN"/>
              </w:rPr>
            </w:pPr>
            <w:r>
              <w:rPr>
                <w:rFonts w:hint="eastAsia"/>
                <w:color w:val="000000"/>
                <w:szCs w:val="21"/>
                <w:lang w:eastAsia="zh-CN"/>
              </w:rPr>
              <w:t>应有控制措施以防止电子记录从应用软件外面被修改或删除。</w:t>
            </w:r>
            <w:r>
              <w:rPr>
                <w:rFonts w:hAnsi="宋体"/>
                <w:szCs w:val="21"/>
                <w:lang w:eastAsia="zh-CN"/>
              </w:rPr>
              <w:t xml:space="preserve"> </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lang w:eastAsia="zh-CN"/>
              </w:rPr>
            </w:pPr>
            <w:r>
              <w:rPr>
                <w:rFonts w:hint="eastAsia" w:hAnsi="宋体"/>
                <w:szCs w:val="21"/>
                <w:lang w:eastAsia="zh-CN"/>
              </w:rPr>
              <w:t>厂家提供备份数据读取策略</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lang w:eastAsia="zh-CN"/>
              </w:rPr>
            </w:pPr>
            <w:r>
              <w:rPr>
                <w:rFonts w:hint="eastAsia" w:hAnsi="宋体"/>
                <w:szCs w:val="21"/>
                <w:lang w:eastAsia="zh-CN"/>
              </w:rPr>
              <w:t>系统时间与标准北京时间≤±5s/24h,时间修改为管理员权限，数据备份为管理员权限。</w:t>
            </w:r>
          </w:p>
        </w:tc>
        <w:tc>
          <w:tcPr>
            <w:tcW w:w="2125" w:type="dxa"/>
            <w:vAlign w:val="center"/>
          </w:tcPr>
          <w:p>
            <w:pPr>
              <w:jc w:val="both"/>
              <w:rPr>
                <w:szCs w:val="21"/>
                <w:lang w:eastAsia="zh-CN"/>
              </w:rPr>
            </w:pPr>
            <w:r>
              <w:rPr>
                <w:rFonts w:hint="eastAsia"/>
                <w:szCs w:val="21"/>
                <w:lang w:eastAsia="zh-CN"/>
              </w:rPr>
              <w:t>关键</w:t>
            </w:r>
          </w:p>
        </w:tc>
      </w:tr>
      <w:permEnd w:id="28"/>
    </w:tbl>
    <w:p>
      <w:pPr>
        <w:spacing w:after="158" w:afterLines="50"/>
        <w:rPr>
          <w:b/>
          <w:lang w:eastAsia="zh-CN"/>
        </w:rPr>
      </w:pPr>
    </w:p>
    <w:p>
      <w:pPr>
        <w:pStyle w:val="32"/>
        <w:numPr>
          <w:ilvl w:val="0"/>
          <w:numId w:val="3"/>
        </w:numPr>
        <w:spacing w:after="158" w:afterLines="50"/>
        <w:ind w:left="426" w:hanging="426" w:hangingChars="202"/>
        <w:outlineLvl w:val="0"/>
        <w:rPr>
          <w:rFonts w:ascii="Times New Roman" w:hAnsi="Times New Roman"/>
          <w:b/>
        </w:rPr>
      </w:pPr>
      <w:bookmarkStart w:id="43" w:name="_Toc522716123"/>
      <w:r>
        <w:rPr>
          <w:rFonts w:ascii="Times New Roman" w:hAnsi="Times New Roman"/>
          <w:b/>
        </w:rPr>
        <w:t>安全要求</w:t>
      </w:r>
      <w:bookmarkEnd w:id="30"/>
      <w:bookmarkEnd w:id="43"/>
    </w:p>
    <w:p>
      <w:pPr>
        <w:pStyle w:val="36"/>
        <w:spacing w:before="0" w:line="360" w:lineRule="auto"/>
        <w:jc w:val="left"/>
        <w:rPr>
          <w:i/>
          <w:color w:val="4472C4"/>
          <w:szCs w:val="21"/>
          <w:lang w:eastAsia="zh-CN"/>
        </w:rPr>
      </w:pPr>
      <w:permStart w:id="29" w:edGrp="everyone"/>
    </w:p>
    <w:tbl>
      <w:tblPr>
        <w:tblStyle w:val="22"/>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34"/>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9"/>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ind w:left="425" w:firstLine="0" w:firstLineChars="0"/>
              <w:rPr>
                <w:rFonts w:ascii="Times New Roman" w:hAnsi="Times New Roman"/>
                <w:szCs w:val="21"/>
              </w:rPr>
            </w:pPr>
            <w:permStart w:id="30" w:edGrp="everyone"/>
            <w:r>
              <w:rPr>
                <w:rFonts w:hint="eastAsia" w:ascii="Times New Roman" w:hAnsi="Times New Roman"/>
                <w:szCs w:val="21"/>
              </w:rPr>
              <w:t>URS31</w:t>
            </w:r>
          </w:p>
        </w:tc>
        <w:tc>
          <w:tcPr>
            <w:tcW w:w="7162" w:type="dxa"/>
            <w:gridSpan w:val="2"/>
            <w:vAlign w:val="center"/>
          </w:tcPr>
          <w:p>
            <w:pPr>
              <w:pStyle w:val="32"/>
              <w:ind w:left="425" w:firstLine="0" w:firstLineChars="0"/>
              <w:rPr>
                <w:rFonts w:ascii="Times New Roman" w:hAnsi="Times New Roman"/>
                <w:szCs w:val="21"/>
              </w:rPr>
            </w:pPr>
            <w:r>
              <w:rPr>
                <w:rFonts w:hint="eastAsia" w:ascii="宋体" w:hAnsi="宋体"/>
              </w:rPr>
              <w:t>应有温度监控报警功能</w:t>
            </w:r>
          </w:p>
        </w:tc>
        <w:tc>
          <w:tcPr>
            <w:tcW w:w="2091" w:type="dxa"/>
            <w:vAlign w:val="center"/>
          </w:tcPr>
          <w:p>
            <w:pPr>
              <w:pStyle w:val="32"/>
              <w:ind w:left="425" w:firstLine="0" w:firstLineChars="0"/>
              <w:rPr>
                <w:rFonts w:ascii="Times New Roman" w:hAnsi="Times New Roman"/>
                <w:szCs w:val="21"/>
              </w:rPr>
            </w:pPr>
            <w:r>
              <w:rPr>
                <w:rFonts w:hint="eastAsia" w:ascii="Times New Roman" w:hAnsi="Times New Roman"/>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ind w:left="425" w:firstLine="0" w:firstLineChars="0"/>
              <w:rPr>
                <w:rFonts w:ascii="Times New Roman" w:hAnsi="Times New Roman"/>
                <w:szCs w:val="21"/>
              </w:rPr>
            </w:pPr>
            <w:r>
              <w:rPr>
                <w:rFonts w:hint="eastAsia" w:ascii="Times New Roman" w:hAnsi="Times New Roman"/>
                <w:szCs w:val="21"/>
              </w:rPr>
              <w:t>URS32</w:t>
            </w:r>
          </w:p>
        </w:tc>
        <w:tc>
          <w:tcPr>
            <w:tcW w:w="7162" w:type="dxa"/>
            <w:gridSpan w:val="2"/>
            <w:vAlign w:val="center"/>
          </w:tcPr>
          <w:p>
            <w:pPr>
              <w:pStyle w:val="32"/>
              <w:ind w:left="425" w:firstLine="0" w:firstLineChars="0"/>
              <w:rPr>
                <w:rFonts w:ascii="宋体" w:hAnsi="宋体"/>
              </w:rPr>
            </w:pPr>
            <w:r>
              <w:rPr>
                <w:rFonts w:hint="eastAsia" w:ascii="宋体" w:hAnsi="宋体"/>
              </w:rPr>
              <w:t>应有开门超时报警功能</w:t>
            </w:r>
          </w:p>
        </w:tc>
        <w:tc>
          <w:tcPr>
            <w:tcW w:w="2091" w:type="dxa"/>
            <w:vAlign w:val="center"/>
          </w:tcPr>
          <w:p>
            <w:pPr>
              <w:pStyle w:val="32"/>
              <w:ind w:left="425" w:firstLine="0" w:firstLineChars="0"/>
              <w:rPr>
                <w:rFonts w:ascii="Times New Roman" w:hAnsi="Times New Roman"/>
                <w:szCs w:val="21"/>
              </w:rPr>
            </w:pPr>
            <w:r>
              <w:rPr>
                <w:rFonts w:hint="eastAsia" w:ascii="Times New Roman" w:hAnsi="Times New Roman"/>
                <w:szCs w:val="21"/>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gridSpan w:val="2"/>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8D8D8"/>
            <w:vAlign w:val="center"/>
          </w:tcPr>
          <w:p>
            <w:pPr>
              <w:pStyle w:val="32"/>
              <w:ind w:left="425" w:firstLine="0" w:firstLineChars="0"/>
              <w:rPr>
                <w:rFonts w:ascii="Times New Roman" w:hAnsi="Times New Roman"/>
                <w:szCs w:val="21"/>
              </w:rPr>
            </w:pPr>
            <w:permStart w:id="31" w:edGrp="everyone"/>
            <w:r>
              <w:rPr>
                <w:rFonts w:hint="eastAsia" w:ascii="Times New Roman" w:hAnsi="Times New Roman"/>
                <w:szCs w:val="21"/>
              </w:rPr>
              <w:t>URS33</w:t>
            </w:r>
          </w:p>
        </w:tc>
        <w:tc>
          <w:tcPr>
            <w:tcW w:w="7162" w:type="dxa"/>
            <w:gridSpan w:val="2"/>
            <w:vAlign w:val="center"/>
          </w:tcPr>
          <w:p>
            <w:pPr>
              <w:pStyle w:val="32"/>
              <w:ind w:left="425" w:firstLine="0" w:firstLineChars="0"/>
              <w:rPr>
                <w:rFonts w:ascii="Times New Roman" w:hAnsi="Times New Roman"/>
                <w:szCs w:val="21"/>
              </w:rPr>
            </w:pPr>
            <w:r>
              <w:rPr>
                <w:rFonts w:hint="eastAsia" w:ascii="宋体" w:hAnsi="宋体"/>
              </w:rPr>
              <w:t>恒温培养箱的金属外壳应有良好的接地</w:t>
            </w:r>
          </w:p>
        </w:tc>
        <w:tc>
          <w:tcPr>
            <w:tcW w:w="2091" w:type="dxa"/>
            <w:vAlign w:val="center"/>
          </w:tcPr>
          <w:p>
            <w:pPr>
              <w:pStyle w:val="32"/>
              <w:ind w:left="425" w:firstLine="0" w:firstLineChars="0"/>
              <w:rPr>
                <w:rFonts w:ascii="Times New Roman" w:hAnsi="Times New Roman"/>
                <w:szCs w:val="21"/>
              </w:rPr>
            </w:pPr>
            <w:r>
              <w:rPr>
                <w:rFonts w:hint="eastAsia" w:ascii="Times New Roman" w:hAnsi="Times New Roman"/>
                <w:szCs w:val="21"/>
              </w:rPr>
              <w:t>关键</w:t>
            </w:r>
          </w:p>
        </w:tc>
      </w:tr>
      <w:permEnd w:id="31"/>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4" w:name="_Toc522107743"/>
      <w:bookmarkStart w:id="45" w:name="_Toc522716124"/>
      <w:r>
        <w:rPr>
          <w:rFonts w:ascii="Times New Roman" w:hAnsi="Times New Roman"/>
          <w:b/>
        </w:rPr>
        <w:t>文件要求</w:t>
      </w:r>
      <w:bookmarkEnd w:id="44"/>
      <w:bookmarkEnd w:id="45"/>
    </w:p>
    <w:p>
      <w:pPr>
        <w:pStyle w:val="36"/>
        <w:spacing w:before="0" w:line="360" w:lineRule="auto"/>
        <w:jc w:val="left"/>
        <w:rPr>
          <w:i/>
          <w:szCs w:val="21"/>
          <w:lang w:eastAsia="zh-CN"/>
        </w:rPr>
      </w:pPr>
      <w:permStart w:id="32" w:edGrp="everyone"/>
    </w:p>
    <w:tbl>
      <w:tblPr>
        <w:tblStyle w:val="22"/>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2"/>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2"/>
              <w:spacing w:line="276" w:lineRule="auto"/>
              <w:ind w:firstLine="0" w:firstLineChars="0"/>
              <w:rPr>
                <w:rFonts w:ascii="Times New Roman" w:hAnsi="Times New Roman"/>
                <w:szCs w:val="21"/>
              </w:rPr>
            </w:pPr>
            <w:permStart w:id="33" w:edGrp="everyone"/>
            <w:r>
              <w:rPr>
                <w:rFonts w:hint="eastAsia" w:ascii="Times New Roman" w:hAnsi="Times New Roman"/>
                <w:szCs w:val="21"/>
              </w:rPr>
              <w:t>URS34</w:t>
            </w:r>
          </w:p>
        </w:tc>
        <w:tc>
          <w:tcPr>
            <w:tcW w:w="7128" w:type="dxa"/>
            <w:vAlign w:val="center"/>
          </w:tcPr>
          <w:p>
            <w:pPr>
              <w:pStyle w:val="8"/>
              <w:spacing w:line="276" w:lineRule="auto"/>
              <w:outlineLvl w:val="0"/>
              <w:rPr>
                <w:rFonts w:ascii="宋体"/>
                <w:bCs/>
                <w:color w:val="000000"/>
                <w:sz w:val="21"/>
                <w:lang w:eastAsia="zh-CN"/>
              </w:rPr>
            </w:pPr>
            <w:bookmarkStart w:id="46" w:name="_Toc24737"/>
            <w:r>
              <w:rPr>
                <w:rFonts w:hint="eastAsia" w:ascii="宋体" w:hAnsi="宋体"/>
                <w:bCs/>
                <w:color w:val="000000"/>
                <w:sz w:val="21"/>
                <w:lang w:eastAsia="zh-CN"/>
              </w:rPr>
              <w:t>需提供的文件如下：</w:t>
            </w:r>
            <w:bookmarkEnd w:id="46"/>
          </w:p>
          <w:p>
            <w:pPr>
              <w:pStyle w:val="8"/>
              <w:spacing w:line="276" w:lineRule="auto"/>
              <w:ind w:left="420"/>
              <w:rPr>
                <w:rFonts w:ascii="宋体"/>
                <w:sz w:val="21"/>
                <w:lang w:eastAsia="zh-CN"/>
              </w:rPr>
            </w:pPr>
            <w:r>
              <w:rPr>
                <w:rFonts w:hint="eastAsia" w:ascii="宋体" w:hAnsi="宋体"/>
                <w:sz w:val="21"/>
                <w:lang w:eastAsia="zh-CN"/>
              </w:rPr>
              <w:t>设备开箱验收前提供投标文件、合同及订单，卖方发运清单及相关检验报告，设备操作手册（</w:t>
            </w:r>
            <w:r>
              <w:rPr>
                <w:rFonts w:ascii="宋体" w:hAnsi="宋体"/>
                <w:sz w:val="21"/>
                <w:lang w:eastAsia="zh-CN"/>
              </w:rPr>
              <w:t>SOP</w:t>
            </w:r>
            <w:r>
              <w:rPr>
                <w:rFonts w:hint="eastAsia" w:ascii="宋体" w:hAnsi="宋体"/>
                <w:sz w:val="21"/>
                <w:lang w:eastAsia="zh-CN"/>
              </w:rPr>
              <w:t>）：语言包括中文，应说明校准周期，并能每年提供至少一次校准服务，校验报告及计量证书</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spacing w:line="276" w:lineRule="auto"/>
              <w:ind w:firstLine="0" w:firstLineChars="0"/>
              <w:rPr>
                <w:rFonts w:ascii="Times New Roman" w:hAnsi="Times New Roman"/>
                <w:szCs w:val="21"/>
              </w:rPr>
            </w:pPr>
            <w:r>
              <w:rPr>
                <w:rFonts w:hint="eastAsia" w:ascii="Times New Roman" w:hAnsi="Times New Roman"/>
                <w:szCs w:val="21"/>
              </w:rPr>
              <w:t>URS35</w:t>
            </w:r>
          </w:p>
        </w:tc>
        <w:tc>
          <w:tcPr>
            <w:tcW w:w="7128" w:type="dxa"/>
            <w:vAlign w:val="center"/>
          </w:tcPr>
          <w:p>
            <w:pPr>
              <w:pStyle w:val="8"/>
              <w:spacing w:line="276" w:lineRule="auto"/>
              <w:ind w:firstLine="420" w:firstLineChars="200"/>
              <w:rPr>
                <w:rFonts w:ascii="宋体"/>
                <w:sz w:val="21"/>
                <w:lang w:eastAsia="zh-CN"/>
              </w:rPr>
            </w:pPr>
            <w:r>
              <w:rPr>
                <w:rFonts w:hint="eastAsia" w:ascii="宋体" w:hAnsi="宋体"/>
                <w:sz w:val="21"/>
                <w:lang w:eastAsia="zh-CN"/>
              </w:rPr>
              <w:t>DQ开始前完成审批设计选型文件，包括设计说明（</w:t>
            </w:r>
            <w:r>
              <w:rPr>
                <w:rFonts w:ascii="宋体" w:hAnsi="宋体"/>
                <w:sz w:val="21"/>
                <w:lang w:eastAsia="zh-CN"/>
              </w:rPr>
              <w:t>DS</w:t>
            </w:r>
            <w:r>
              <w:rPr>
                <w:rFonts w:hint="eastAsia" w:ascii="宋体" w:hAnsi="宋体"/>
                <w:sz w:val="21"/>
                <w:lang w:eastAsia="zh-CN"/>
              </w:rPr>
              <w:t>）和功能说明（</w:t>
            </w:r>
            <w:r>
              <w:rPr>
                <w:rFonts w:ascii="宋体" w:hAnsi="宋体"/>
                <w:sz w:val="21"/>
                <w:lang w:eastAsia="zh-CN"/>
              </w:rPr>
              <w:t>FS</w:t>
            </w:r>
            <w:r>
              <w:rPr>
                <w:rFonts w:hint="eastAsia" w:ascii="宋体" w:hAnsi="宋体"/>
                <w:sz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spacing w:line="276" w:lineRule="auto"/>
              <w:ind w:firstLine="0" w:firstLineChars="0"/>
              <w:rPr>
                <w:rFonts w:ascii="Times New Roman" w:hAnsi="Times New Roman"/>
                <w:szCs w:val="21"/>
              </w:rPr>
            </w:pPr>
            <w:r>
              <w:rPr>
                <w:rFonts w:hint="eastAsia" w:ascii="Times New Roman" w:hAnsi="Times New Roman"/>
                <w:szCs w:val="21"/>
              </w:rPr>
              <w:t>URS36</w:t>
            </w:r>
          </w:p>
        </w:tc>
        <w:tc>
          <w:tcPr>
            <w:tcW w:w="7128" w:type="dxa"/>
            <w:vAlign w:val="center"/>
          </w:tcPr>
          <w:p>
            <w:pPr>
              <w:pStyle w:val="8"/>
              <w:spacing w:line="276" w:lineRule="auto"/>
              <w:ind w:firstLine="420" w:firstLineChars="200"/>
              <w:rPr>
                <w:rFonts w:ascii="宋体"/>
                <w:sz w:val="21"/>
                <w:lang w:eastAsia="zh-CN"/>
              </w:rPr>
            </w:pPr>
            <w:r>
              <w:rPr>
                <w:rFonts w:hint="eastAsia" w:ascii="宋体" w:hAnsi="宋体"/>
                <w:sz w:val="21"/>
                <w:lang w:eastAsia="zh-CN"/>
              </w:rPr>
              <w:t>不晚于IQ开始前完成图纸（可包含在说明书中）：实物图、控制原理图、拓扑图</w:t>
            </w:r>
            <w:r>
              <w:rPr>
                <w:rFonts w:hint="eastAsia" w:ascii="宋体" w:hAnsi="宋体"/>
                <w:color w:val="000000"/>
                <w:sz w:val="21"/>
                <w:lang w:eastAsia="zh-CN"/>
              </w:rPr>
              <w:t>、P&amp;ID图</w:t>
            </w:r>
            <w:r>
              <w:rPr>
                <w:rFonts w:hint="eastAsia" w:ascii="宋体" w:hAnsi="宋体"/>
                <w:sz w:val="21"/>
                <w:lang w:eastAsia="zh-CN"/>
              </w:rPr>
              <w:t>等各种验证、维修等活动所需的图纸。</w:t>
            </w:r>
            <w:r>
              <w:rPr>
                <w:rFonts w:hint="eastAsia" w:ascii="宋体" w:hAnsi="宋体" w:cs="宋体"/>
                <w:sz w:val="21"/>
                <w:lang w:eastAsia="zh-CN"/>
              </w:rPr>
              <w:t>组件、配件、备件及易损件清单</w:t>
            </w:r>
            <w:r>
              <w:rPr>
                <w:rFonts w:hint="eastAsia" w:ascii="宋体" w:hAnsi="宋体"/>
                <w:sz w:val="21"/>
                <w:lang w:eastAsia="zh-CN"/>
              </w:rPr>
              <w:t>：包括名称、编号、对应厂家名称、生产地、规格及必要说明，系统功能配置清单</w:t>
            </w:r>
            <w:r>
              <w:rPr>
                <w:rFonts w:ascii="宋体" w:hAnsi="宋体"/>
                <w:sz w:val="21"/>
                <w:lang w:eastAsia="zh-CN"/>
              </w:rPr>
              <w:t>&amp;</w:t>
            </w:r>
            <w:r>
              <w:rPr>
                <w:rFonts w:hint="eastAsia" w:ascii="宋体" w:hAnsi="宋体"/>
                <w:sz w:val="21"/>
                <w:lang w:eastAsia="zh-CN"/>
              </w:rPr>
              <w:t>说明：包括各组件型号、规格、品牌、材质等，设备厂家文件：出厂测试合格证、相关检测报告及记录、各种标示、保修卡，现场验收测试（</w:t>
            </w:r>
            <w:r>
              <w:rPr>
                <w:rFonts w:ascii="宋体" w:hAnsi="宋体"/>
                <w:sz w:val="21"/>
                <w:lang w:eastAsia="zh-CN"/>
              </w:rPr>
              <w:t>SAT</w:t>
            </w:r>
            <w:r>
              <w:rPr>
                <w:rFonts w:hint="eastAsia" w:ascii="宋体" w:hAnsi="宋体"/>
                <w:sz w:val="21"/>
                <w:lang w:eastAsia="zh-CN"/>
              </w:rPr>
              <w:t>）报告、调试文件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spacing w:line="276" w:lineRule="auto"/>
              <w:ind w:firstLine="0" w:firstLineChars="0"/>
              <w:rPr>
                <w:rFonts w:ascii="Times New Roman" w:hAnsi="Times New Roman"/>
                <w:szCs w:val="21"/>
              </w:rPr>
            </w:pPr>
            <w:r>
              <w:rPr>
                <w:rFonts w:hint="eastAsia" w:ascii="Times New Roman" w:hAnsi="Times New Roman"/>
                <w:szCs w:val="21"/>
              </w:rPr>
              <w:t>URS37</w:t>
            </w:r>
          </w:p>
        </w:tc>
        <w:tc>
          <w:tcPr>
            <w:tcW w:w="7128" w:type="dxa"/>
            <w:vAlign w:val="center"/>
          </w:tcPr>
          <w:p>
            <w:pPr>
              <w:jc w:val="both"/>
              <w:rPr>
                <w:rFonts w:ascii="宋体"/>
                <w:lang w:eastAsia="zh-CN"/>
              </w:rPr>
            </w:pPr>
            <w:r>
              <w:rPr>
                <w:rFonts w:hint="eastAsia" w:ascii="宋体" w:hAnsi="宋体"/>
                <w:lang w:eastAsia="zh-CN"/>
              </w:rPr>
              <w:t>PQ开始前完成审批并提交验证文件：</w:t>
            </w:r>
          </w:p>
          <w:p>
            <w:pPr>
              <w:jc w:val="both"/>
              <w:rPr>
                <w:rFonts w:ascii="宋体"/>
                <w:lang w:eastAsia="zh-CN"/>
              </w:rPr>
            </w:pPr>
            <w:r>
              <w:rPr>
                <w:rFonts w:hint="eastAsia" w:ascii="宋体" w:hAnsi="宋体"/>
                <w:lang w:eastAsia="zh-CN"/>
              </w:rPr>
              <w:t>（</w:t>
            </w:r>
            <w:r>
              <w:rPr>
                <w:rFonts w:ascii="宋体" w:hAnsi="宋体"/>
                <w:lang w:eastAsia="zh-CN"/>
              </w:rPr>
              <w:t>1</w:t>
            </w:r>
            <w:r>
              <w:rPr>
                <w:rFonts w:hint="eastAsia" w:ascii="宋体" w:hAnsi="宋体"/>
                <w:lang w:eastAsia="zh-CN"/>
              </w:rPr>
              <w:t>）验证计划</w:t>
            </w:r>
          </w:p>
          <w:p>
            <w:pPr>
              <w:jc w:val="both"/>
              <w:rPr>
                <w:rFonts w:ascii="宋体"/>
                <w:lang w:eastAsia="zh-CN"/>
              </w:rPr>
            </w:pPr>
            <w:r>
              <w:rPr>
                <w:rFonts w:hint="eastAsia" w:ascii="宋体" w:hAnsi="宋体"/>
                <w:lang w:eastAsia="zh-CN"/>
              </w:rPr>
              <w:t>（</w:t>
            </w:r>
            <w:r>
              <w:rPr>
                <w:rFonts w:ascii="宋体" w:hAnsi="宋体"/>
                <w:lang w:eastAsia="zh-CN"/>
              </w:rPr>
              <w:t>2</w:t>
            </w:r>
            <w:r>
              <w:rPr>
                <w:rFonts w:hint="eastAsia" w:ascii="宋体" w:hAnsi="宋体"/>
                <w:lang w:eastAsia="zh-CN"/>
              </w:rPr>
              <w:t>）满足</w:t>
            </w:r>
            <w:r>
              <w:rPr>
                <w:rFonts w:ascii="宋体" w:hAnsi="宋体"/>
                <w:lang w:eastAsia="zh-CN"/>
              </w:rPr>
              <w:t>GMP</w:t>
            </w:r>
            <w:r>
              <w:rPr>
                <w:rFonts w:hint="eastAsia" w:ascii="宋体" w:hAnsi="宋体"/>
                <w:lang w:eastAsia="zh-CN"/>
              </w:rPr>
              <w:t>和</w:t>
            </w:r>
            <w:r>
              <w:rPr>
                <w:rFonts w:ascii="宋体" w:hAnsi="宋体"/>
                <w:lang w:eastAsia="zh-CN"/>
              </w:rPr>
              <w:t>GAMP5</w:t>
            </w:r>
            <w:r>
              <w:rPr>
                <w:rFonts w:hint="eastAsia" w:ascii="宋体" w:hAnsi="宋体"/>
                <w:lang w:eastAsia="zh-CN"/>
              </w:rPr>
              <w:t>等相关法规的评估文件</w:t>
            </w:r>
          </w:p>
          <w:p>
            <w:pPr>
              <w:jc w:val="both"/>
              <w:rPr>
                <w:rFonts w:ascii="宋体"/>
                <w:lang w:eastAsia="zh-CN"/>
              </w:rPr>
            </w:pPr>
            <w:r>
              <w:rPr>
                <w:rFonts w:hint="eastAsia" w:ascii="宋体" w:hAnsi="宋体"/>
                <w:lang w:eastAsia="zh-CN"/>
              </w:rPr>
              <w:t>（</w:t>
            </w:r>
            <w:r>
              <w:rPr>
                <w:rFonts w:ascii="宋体" w:hAnsi="宋体"/>
                <w:lang w:eastAsia="zh-CN"/>
              </w:rPr>
              <w:t>3</w:t>
            </w:r>
            <w:r>
              <w:rPr>
                <w:rFonts w:hint="eastAsia" w:ascii="宋体" w:hAnsi="宋体"/>
                <w:lang w:eastAsia="zh-CN"/>
              </w:rPr>
              <w:t>）设计确认及文件（</w:t>
            </w:r>
            <w:r>
              <w:rPr>
                <w:rFonts w:ascii="宋体" w:hAnsi="宋体"/>
                <w:lang w:eastAsia="zh-CN"/>
              </w:rPr>
              <w:t>DQ</w:t>
            </w:r>
            <w:r>
              <w:rPr>
                <w:rFonts w:hint="eastAsia" w:ascii="宋体" w:hAnsi="宋体"/>
                <w:lang w:eastAsia="zh-CN"/>
              </w:rPr>
              <w:t>），</w:t>
            </w:r>
          </w:p>
          <w:p>
            <w:pPr>
              <w:jc w:val="both"/>
              <w:rPr>
                <w:rFonts w:ascii="宋体"/>
                <w:lang w:eastAsia="zh-CN"/>
              </w:rPr>
            </w:pPr>
            <w:r>
              <w:rPr>
                <w:rFonts w:hint="eastAsia" w:ascii="宋体" w:hAnsi="宋体"/>
                <w:lang w:eastAsia="zh-CN"/>
              </w:rPr>
              <w:t>（</w:t>
            </w:r>
            <w:r>
              <w:rPr>
                <w:rFonts w:ascii="宋体" w:hAnsi="宋体"/>
                <w:lang w:eastAsia="zh-CN"/>
              </w:rPr>
              <w:t>4</w:t>
            </w:r>
            <w:r>
              <w:rPr>
                <w:rFonts w:hint="eastAsia" w:ascii="宋体" w:hAnsi="宋体"/>
                <w:lang w:eastAsia="zh-CN"/>
              </w:rPr>
              <w:t>）安装确认及文件（</w:t>
            </w:r>
            <w:r>
              <w:rPr>
                <w:rFonts w:ascii="宋体" w:hAnsi="宋体"/>
                <w:lang w:eastAsia="zh-CN"/>
              </w:rPr>
              <w:t>IQ</w:t>
            </w:r>
            <w:r>
              <w:rPr>
                <w:rFonts w:hint="eastAsia" w:ascii="宋体" w:hAnsi="宋体"/>
                <w:lang w:eastAsia="zh-CN"/>
              </w:rPr>
              <w:t>）；</w:t>
            </w:r>
          </w:p>
          <w:p>
            <w:pPr>
              <w:jc w:val="both"/>
              <w:rPr>
                <w:rFonts w:ascii="宋体"/>
                <w:lang w:eastAsia="zh-CN"/>
              </w:rPr>
            </w:pPr>
            <w:r>
              <w:rPr>
                <w:rFonts w:hint="eastAsia" w:ascii="宋体" w:hAnsi="宋体"/>
                <w:lang w:eastAsia="zh-CN"/>
              </w:rPr>
              <w:t>（</w:t>
            </w:r>
            <w:r>
              <w:rPr>
                <w:rFonts w:ascii="宋体" w:hAnsi="宋体"/>
                <w:lang w:eastAsia="zh-CN"/>
              </w:rPr>
              <w:t>5</w:t>
            </w:r>
            <w:r>
              <w:rPr>
                <w:rFonts w:hint="eastAsia" w:ascii="宋体" w:hAnsi="宋体"/>
                <w:lang w:eastAsia="zh-CN"/>
              </w:rPr>
              <w:t>）运行确认及文件（</w:t>
            </w:r>
            <w:r>
              <w:rPr>
                <w:rFonts w:ascii="宋体" w:hAnsi="宋体"/>
                <w:lang w:eastAsia="zh-CN"/>
              </w:rPr>
              <w:t>OQ</w:t>
            </w:r>
            <w:r>
              <w:rPr>
                <w:rFonts w:hint="eastAsia" w:ascii="宋体" w:hAnsi="宋体"/>
                <w:lang w:eastAsia="zh-CN"/>
              </w:rPr>
              <w:t>）；</w:t>
            </w:r>
          </w:p>
          <w:p>
            <w:pPr>
              <w:jc w:val="both"/>
              <w:rPr>
                <w:rFonts w:ascii="宋体" w:hAnsi="宋体"/>
                <w:lang w:eastAsia="zh-CN"/>
              </w:rPr>
            </w:pPr>
            <w:r>
              <w:rPr>
                <w:rFonts w:hint="eastAsia" w:ascii="宋体" w:hAnsi="宋体"/>
                <w:lang w:eastAsia="zh-CN"/>
              </w:rPr>
              <w:t>（6）设备生产商负责制定设备验证计划、评估文件、</w:t>
            </w:r>
            <w:r>
              <w:rPr>
                <w:rFonts w:ascii="宋体" w:hAnsi="宋体"/>
                <w:lang w:eastAsia="zh-CN"/>
              </w:rPr>
              <w:t>DQ/IQ/OQ</w:t>
            </w:r>
            <w:r>
              <w:rPr>
                <w:rFonts w:hint="eastAsia" w:ascii="宋体" w:hAnsi="宋体"/>
                <w:lang w:eastAsia="zh-CN"/>
              </w:rPr>
              <w:t>验证文件、追溯矩阵、验证总结报告，并负责验证工作的实施，该验证文件作为设备必备文件。</w:t>
            </w:r>
          </w:p>
          <w:p>
            <w:pPr>
              <w:jc w:val="both"/>
              <w:rPr>
                <w:rFonts w:ascii="宋体" w:hAnsi="宋体"/>
                <w:lang w:eastAsia="zh-CN"/>
              </w:rPr>
            </w:pPr>
            <w:r>
              <w:rPr>
                <w:rFonts w:hint="eastAsia" w:ascii="宋体" w:hAnsi="宋体"/>
                <w:lang w:eastAsia="zh-CN"/>
              </w:rPr>
              <w:t>期望文件：</w:t>
            </w:r>
          </w:p>
          <w:p>
            <w:pPr>
              <w:jc w:val="both"/>
              <w:rPr>
                <w:rFonts w:ascii="宋体"/>
                <w:lang w:eastAsia="zh-CN"/>
              </w:rPr>
            </w:pPr>
            <w:r>
              <w:rPr>
                <w:rFonts w:hint="eastAsia" w:ascii="宋体" w:hAnsi="宋体"/>
                <w:lang w:eastAsia="zh-CN"/>
              </w:rPr>
              <w:t>（1）追溯矩阵（</w:t>
            </w:r>
            <w:r>
              <w:rPr>
                <w:rFonts w:ascii="宋体" w:hAnsi="宋体"/>
                <w:lang w:eastAsia="zh-CN"/>
              </w:rPr>
              <w:t>RTM</w:t>
            </w:r>
            <w:r>
              <w:rPr>
                <w:rFonts w:hint="eastAsia" w:ascii="宋体" w:hAnsi="宋体"/>
                <w:lang w:eastAsia="zh-CN"/>
              </w:rPr>
              <w:t>）</w:t>
            </w:r>
          </w:p>
          <w:p>
            <w:pPr>
              <w:jc w:val="both"/>
              <w:rPr>
                <w:rFonts w:ascii="宋体"/>
                <w:lang w:eastAsia="zh-CN"/>
              </w:rPr>
            </w:pPr>
            <w:r>
              <w:rPr>
                <w:rFonts w:hint="eastAsia" w:ascii="宋体" w:hAnsi="宋体"/>
                <w:lang w:eastAsia="zh-CN"/>
              </w:rPr>
              <w:t>（2）验证总结报告（</w:t>
            </w:r>
            <w:r>
              <w:rPr>
                <w:rFonts w:ascii="宋体" w:hAnsi="宋体"/>
                <w:lang w:eastAsia="zh-CN"/>
              </w:rPr>
              <w:t>VSR</w:t>
            </w:r>
            <w:r>
              <w:rPr>
                <w:rFonts w:hint="eastAsia" w:ascii="宋体" w:hAnsi="宋体"/>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spacing w:line="276" w:lineRule="auto"/>
              <w:ind w:firstLine="0" w:firstLineChars="0"/>
              <w:rPr>
                <w:rFonts w:ascii="Times New Roman" w:hAnsi="Times New Roman"/>
                <w:szCs w:val="21"/>
              </w:rPr>
            </w:pPr>
            <w:r>
              <w:rPr>
                <w:rFonts w:hint="eastAsia" w:ascii="Times New Roman" w:hAnsi="Times New Roman"/>
                <w:szCs w:val="21"/>
              </w:rPr>
              <w:t>URS38</w:t>
            </w:r>
          </w:p>
        </w:tc>
        <w:tc>
          <w:tcPr>
            <w:tcW w:w="7128" w:type="dxa"/>
            <w:vAlign w:val="center"/>
          </w:tcPr>
          <w:p>
            <w:pPr>
              <w:pStyle w:val="8"/>
              <w:numPr>
                <w:ilvl w:val="0"/>
                <w:numId w:val="11"/>
              </w:numPr>
              <w:rPr>
                <w:rFonts w:ascii="宋体"/>
                <w:sz w:val="21"/>
                <w:lang w:eastAsia="zh-CN"/>
              </w:rPr>
            </w:pPr>
            <w:r>
              <w:rPr>
                <w:rFonts w:hint="eastAsia" w:ascii="宋体" w:hAnsi="宋体" w:cs="宋体"/>
                <w:sz w:val="21"/>
                <w:lang w:eastAsia="zh-CN"/>
              </w:rPr>
              <w:t>设备操作手册（</w:t>
            </w:r>
            <w:r>
              <w:rPr>
                <w:rFonts w:ascii="宋体" w:hAnsi="宋体" w:cs="宋体"/>
                <w:sz w:val="21"/>
                <w:lang w:eastAsia="zh-CN"/>
              </w:rPr>
              <w:t>SOP</w:t>
            </w:r>
            <w:r>
              <w:rPr>
                <w:rFonts w:hint="eastAsia" w:ascii="宋体" w:hAnsi="宋体" w:cs="宋体"/>
                <w:sz w:val="21"/>
                <w:lang w:eastAsia="zh-CN"/>
              </w:rPr>
              <w:t>）</w:t>
            </w:r>
            <w:r>
              <w:rPr>
                <w:rFonts w:hint="eastAsia" w:ascii="宋体" w:hAnsi="宋体"/>
                <w:sz w:val="21"/>
                <w:lang w:eastAsia="zh-CN"/>
              </w:rPr>
              <w:t>及维护保养说明</w:t>
            </w:r>
            <w:r>
              <w:rPr>
                <w:rFonts w:hint="eastAsia" w:ascii="宋体" w:hAnsi="宋体" w:cs="宋体"/>
                <w:sz w:val="21"/>
                <w:lang w:eastAsia="zh-CN"/>
              </w:rPr>
              <w:t>，语言为中文</w:t>
            </w:r>
            <w:r>
              <w:rPr>
                <w:rFonts w:hint="eastAsia" w:ascii="宋体" w:hAnsi="宋体"/>
                <w:sz w:val="21"/>
                <w:lang w:eastAsia="zh-CN"/>
              </w:rPr>
              <w:t>。</w:t>
            </w:r>
          </w:p>
          <w:p>
            <w:pPr>
              <w:pStyle w:val="8"/>
              <w:numPr>
                <w:ilvl w:val="0"/>
                <w:numId w:val="11"/>
              </w:numPr>
              <w:rPr>
                <w:rFonts w:ascii="宋体"/>
                <w:sz w:val="21"/>
                <w:lang w:eastAsia="zh-CN"/>
              </w:rPr>
            </w:pPr>
            <w:r>
              <w:rPr>
                <w:rFonts w:hint="eastAsia" w:ascii="宋体" w:hAnsi="宋体"/>
                <w:sz w:val="21"/>
                <w:lang w:eastAsia="zh-CN"/>
              </w:rPr>
              <w:t>提供必要的设备及其零部件使用寿命说明。</w:t>
            </w:r>
          </w:p>
          <w:p>
            <w:pPr>
              <w:pStyle w:val="8"/>
              <w:numPr>
                <w:ilvl w:val="0"/>
                <w:numId w:val="11"/>
              </w:numPr>
              <w:rPr>
                <w:rFonts w:ascii="宋体"/>
                <w:sz w:val="21"/>
                <w:lang w:eastAsia="zh-CN"/>
              </w:rPr>
            </w:pPr>
            <w:r>
              <w:rPr>
                <w:rFonts w:hint="eastAsia" w:ascii="宋体"/>
                <w:sz w:val="21"/>
                <w:lang w:eastAsia="zh-CN"/>
              </w:rPr>
              <w:t>文件具体要求：</w:t>
            </w:r>
          </w:p>
          <w:p>
            <w:pPr>
              <w:pStyle w:val="8"/>
              <w:numPr>
                <w:ilvl w:val="1"/>
                <w:numId w:val="11"/>
              </w:numPr>
              <w:rPr>
                <w:rFonts w:ascii="宋体"/>
                <w:sz w:val="21"/>
                <w:lang w:eastAsia="zh-CN"/>
              </w:rPr>
            </w:pPr>
            <w:r>
              <w:rPr>
                <w:rFonts w:hint="eastAsia" w:ascii="宋体" w:hAnsi="宋体"/>
                <w:sz w:val="21"/>
                <w:lang w:eastAsia="zh-CN"/>
              </w:rPr>
              <w:t>系统相关方案中，应明确本系统的配置、规格；</w:t>
            </w:r>
          </w:p>
          <w:p>
            <w:pPr>
              <w:pStyle w:val="8"/>
              <w:numPr>
                <w:ilvl w:val="1"/>
                <w:numId w:val="11"/>
              </w:numPr>
              <w:rPr>
                <w:rFonts w:ascii="宋体"/>
                <w:sz w:val="21"/>
                <w:lang w:eastAsia="zh-CN"/>
              </w:rPr>
            </w:pPr>
            <w:r>
              <w:rPr>
                <w:rFonts w:hint="eastAsia" w:ascii="宋体" w:hAnsi="宋体"/>
                <w:sz w:val="21"/>
                <w:lang w:eastAsia="zh-CN"/>
              </w:rPr>
              <w:t>标书中明确系统所有组件的品牌、材质、型号，并且注明每一个组件的保修期；</w:t>
            </w:r>
          </w:p>
          <w:p>
            <w:pPr>
              <w:pStyle w:val="8"/>
              <w:numPr>
                <w:ilvl w:val="1"/>
                <w:numId w:val="11"/>
              </w:numPr>
              <w:rPr>
                <w:rFonts w:ascii="宋体"/>
                <w:sz w:val="21"/>
                <w:lang w:eastAsia="zh-CN"/>
              </w:rPr>
            </w:pPr>
            <w:r>
              <w:rPr>
                <w:rFonts w:hint="eastAsia" w:ascii="宋体" w:hAnsi="宋体"/>
                <w:sz w:val="21"/>
                <w:lang w:eastAsia="zh-CN"/>
              </w:rPr>
              <w:t>所有技术、确认、说明文件均提供电子版。</w:t>
            </w:r>
          </w:p>
        </w:tc>
        <w:tc>
          <w:tcPr>
            <w:tcW w:w="2125" w:type="dxa"/>
            <w:vAlign w:val="center"/>
          </w:tcPr>
          <w:p>
            <w:pPr>
              <w:jc w:val="both"/>
              <w:rPr>
                <w:szCs w:val="21"/>
                <w:lang w:eastAsia="zh-CN"/>
              </w:rPr>
            </w:pPr>
            <w:r>
              <w:rPr>
                <w:rFonts w:hint="eastAsia"/>
                <w:szCs w:val="21"/>
                <w:lang w:eastAsia="zh-CN"/>
              </w:rPr>
              <w:t>关键</w:t>
            </w:r>
          </w:p>
        </w:tc>
      </w:tr>
      <w:permEnd w:id="33"/>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7" w:name="_Toc522716125"/>
      <w:r>
        <w:rPr>
          <w:rFonts w:ascii="Times New Roman" w:hAnsi="Times New Roman"/>
          <w:b/>
          <w:szCs w:val="21"/>
        </w:rPr>
        <w:t>服务要求</w:t>
      </w:r>
      <w:bookmarkEnd w:id="47"/>
    </w:p>
    <w:p>
      <w:pPr>
        <w:pStyle w:val="36"/>
        <w:spacing w:before="0" w:line="360" w:lineRule="auto"/>
        <w:jc w:val="left"/>
        <w:rPr>
          <w:i/>
          <w:color w:val="4472C4"/>
          <w:szCs w:val="21"/>
          <w:lang w:eastAsia="zh-CN"/>
        </w:rPr>
      </w:pPr>
      <w:permStart w:id="34" w:edGrp="everyone"/>
    </w:p>
    <w:tbl>
      <w:tblPr>
        <w:tblStyle w:val="22"/>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4"/>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ind w:firstLine="0" w:firstLineChars="0"/>
              <w:rPr>
                <w:rFonts w:ascii="Times New Roman" w:hAnsi="Times New Roman"/>
                <w:szCs w:val="21"/>
              </w:rPr>
            </w:pPr>
            <w:permStart w:id="35" w:edGrp="everyone"/>
            <w:r>
              <w:rPr>
                <w:rFonts w:hint="eastAsia" w:ascii="Times New Roman" w:hAnsi="Times New Roman"/>
                <w:szCs w:val="21"/>
              </w:rPr>
              <w:t>URS39</w:t>
            </w:r>
          </w:p>
        </w:tc>
        <w:tc>
          <w:tcPr>
            <w:tcW w:w="7128" w:type="dxa"/>
            <w:vAlign w:val="center"/>
          </w:tcPr>
          <w:p>
            <w:pPr>
              <w:spacing w:line="276" w:lineRule="auto"/>
              <w:jc w:val="both"/>
              <w:rPr>
                <w:color w:val="000000"/>
                <w:szCs w:val="21"/>
                <w:lang w:eastAsia="zh-CN"/>
              </w:rPr>
            </w:pPr>
            <w:r>
              <w:rPr>
                <w:color w:val="000000"/>
                <w:lang w:eastAsia="zh-CN"/>
              </w:rPr>
              <w:t>设备供应商应免费对设备使用方人员进行全面培训，包括对生产操作人员及设备维护、维修人员</w:t>
            </w:r>
            <w:r>
              <w:rPr>
                <w:rFonts w:hint="eastAsia"/>
                <w:color w:val="000000"/>
                <w:lang w:eastAsia="zh-CN"/>
              </w:rPr>
              <w:t>进行安全使用，应急处置措施相关内容培训，</w:t>
            </w:r>
            <w:r>
              <w:rPr>
                <w:color w:val="000000"/>
                <w:lang w:eastAsia="zh-CN"/>
              </w:rPr>
              <w:t>并填写培训记录。</w:t>
            </w:r>
          </w:p>
        </w:tc>
        <w:tc>
          <w:tcPr>
            <w:tcW w:w="2125" w:type="dxa"/>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ind w:firstLine="0" w:firstLineChars="0"/>
              <w:rPr>
                <w:rFonts w:ascii="Times New Roman" w:hAnsi="Times New Roman"/>
                <w:szCs w:val="21"/>
              </w:rPr>
            </w:pPr>
            <w:permStart w:id="36" w:edGrp="everyone"/>
            <w:r>
              <w:rPr>
                <w:rFonts w:hint="eastAsia" w:ascii="Times New Roman" w:hAnsi="Times New Roman"/>
                <w:szCs w:val="21"/>
              </w:rPr>
              <w:t>URS40</w:t>
            </w:r>
          </w:p>
        </w:tc>
        <w:tc>
          <w:tcPr>
            <w:tcW w:w="7128" w:type="dxa"/>
            <w:vAlign w:val="center"/>
          </w:tcPr>
          <w:p>
            <w:pPr>
              <w:spacing w:line="276" w:lineRule="auto"/>
              <w:jc w:val="both"/>
              <w:rPr>
                <w:color w:val="000000"/>
                <w:szCs w:val="21"/>
                <w:lang w:eastAsia="zh-CN"/>
              </w:rPr>
            </w:pPr>
            <w:r>
              <w:rPr>
                <w:color w:val="000000"/>
                <w:lang w:eastAsia="zh-CN"/>
              </w:rPr>
              <w:t>生产操作人员培训包括设备结构原理、性能、操作、清洗消毒、故障排除等基本</w:t>
            </w:r>
            <w:r>
              <w:rPr>
                <w:color w:val="000000"/>
                <w:szCs w:val="21"/>
                <w:lang w:eastAsia="zh-CN"/>
              </w:rPr>
              <w:t>知识</w:t>
            </w:r>
            <w:r>
              <w:rPr>
                <w:color w:val="000000"/>
                <w:lang w:eastAsia="zh-CN"/>
              </w:rPr>
              <w:t>。合格标准为用户参加培训人员能够独立正确操作设备，会排除常见故障。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ind w:firstLine="0" w:firstLineChars="0"/>
              <w:rPr>
                <w:rFonts w:ascii="Times New Roman" w:hAnsi="Times New Roman"/>
                <w:szCs w:val="21"/>
              </w:rPr>
            </w:pPr>
            <w:permStart w:id="37" w:edGrp="everyone"/>
            <w:r>
              <w:rPr>
                <w:rFonts w:hint="eastAsia" w:ascii="Times New Roman" w:hAnsi="Times New Roman"/>
                <w:szCs w:val="21"/>
              </w:rPr>
              <w:t>URS41</w:t>
            </w:r>
          </w:p>
        </w:tc>
        <w:tc>
          <w:tcPr>
            <w:tcW w:w="7128" w:type="dxa"/>
            <w:vAlign w:val="center"/>
          </w:tcPr>
          <w:p>
            <w:pPr>
              <w:spacing w:line="276" w:lineRule="auto"/>
              <w:jc w:val="both"/>
              <w:rPr>
                <w:color w:val="000000"/>
                <w:lang w:eastAsia="zh-CN"/>
              </w:rPr>
            </w:pPr>
            <w:r>
              <w:rPr>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ind w:firstLine="0" w:firstLineChars="0"/>
              <w:rPr>
                <w:rFonts w:ascii="Times New Roman" w:hAnsi="Times New Roman"/>
                <w:szCs w:val="21"/>
              </w:rPr>
            </w:pPr>
            <w:permStart w:id="38" w:edGrp="everyone"/>
            <w:r>
              <w:rPr>
                <w:rFonts w:hint="eastAsia" w:ascii="Times New Roman" w:hAnsi="Times New Roman"/>
                <w:szCs w:val="21"/>
              </w:rPr>
              <w:t>URS42</w:t>
            </w:r>
          </w:p>
        </w:tc>
        <w:tc>
          <w:tcPr>
            <w:tcW w:w="7128" w:type="dxa"/>
            <w:vAlign w:val="center"/>
          </w:tcPr>
          <w:p>
            <w:pPr>
              <w:pStyle w:val="8"/>
              <w:rPr>
                <w:rFonts w:ascii="宋体"/>
                <w:sz w:val="21"/>
                <w:lang w:eastAsia="zh-CN"/>
              </w:rPr>
            </w:pPr>
            <w:r>
              <w:rPr>
                <w:rFonts w:hint="eastAsia" w:ascii="宋体" w:hAnsi="宋体"/>
                <w:sz w:val="21"/>
                <w:lang w:eastAsia="zh-CN"/>
              </w:rPr>
              <w:t>设备运输在运输途中需做好防护措施，不得有任何损伤。</w:t>
            </w:r>
          </w:p>
          <w:p>
            <w:pPr>
              <w:pStyle w:val="8"/>
              <w:rPr>
                <w:rFonts w:ascii="宋体"/>
                <w:sz w:val="22"/>
                <w:lang w:eastAsia="zh-CN"/>
              </w:rPr>
            </w:pPr>
            <w:r>
              <w:rPr>
                <w:rFonts w:hint="eastAsia" w:ascii="宋体" w:hAnsi="宋体"/>
                <w:sz w:val="21"/>
                <w:lang w:eastAsia="zh-CN"/>
              </w:rPr>
              <w:t>运输箱结实耐用，便于运输。</w:t>
            </w:r>
          </w:p>
        </w:tc>
        <w:tc>
          <w:tcPr>
            <w:tcW w:w="2125" w:type="dxa"/>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ind w:firstLine="0" w:firstLineChars="0"/>
              <w:rPr>
                <w:rFonts w:ascii="Times New Roman" w:hAnsi="Times New Roman"/>
                <w:szCs w:val="21"/>
              </w:rPr>
            </w:pPr>
            <w:permStart w:id="39" w:edGrp="everyone"/>
            <w:r>
              <w:rPr>
                <w:rFonts w:hint="eastAsia" w:ascii="Times New Roman" w:hAnsi="Times New Roman"/>
                <w:szCs w:val="21"/>
              </w:rPr>
              <w:t>URS43</w:t>
            </w:r>
          </w:p>
        </w:tc>
        <w:tc>
          <w:tcPr>
            <w:tcW w:w="7128" w:type="dxa"/>
            <w:vAlign w:val="center"/>
          </w:tcPr>
          <w:p>
            <w:pPr>
              <w:spacing w:line="276" w:lineRule="auto"/>
              <w:jc w:val="both"/>
              <w:rPr>
                <w:i/>
                <w:color w:val="FF0000"/>
                <w:szCs w:val="21"/>
                <w:lang w:eastAsia="zh-CN"/>
              </w:rPr>
            </w:pPr>
            <w:r>
              <w:rPr>
                <w:rFonts w:hint="eastAsia" w:ascii="宋体" w:hAnsi="宋体"/>
                <w:lang w:eastAsia="zh-CN"/>
              </w:rPr>
              <w:t>验证包括验证计划、系统评估、计算机化系统评估、风险评估、</w:t>
            </w:r>
            <w:r>
              <w:rPr>
                <w:rFonts w:ascii="宋体" w:hAnsi="宋体"/>
                <w:lang w:eastAsia="zh-CN"/>
              </w:rPr>
              <w:t>DQ</w:t>
            </w:r>
            <w:r>
              <w:rPr>
                <w:rFonts w:hint="eastAsia" w:ascii="宋体" w:hAnsi="宋体"/>
                <w:lang w:eastAsia="zh-CN"/>
              </w:rPr>
              <w:t>、</w:t>
            </w:r>
            <w:r>
              <w:rPr>
                <w:rFonts w:ascii="宋体" w:hAnsi="宋体"/>
                <w:lang w:eastAsia="zh-CN"/>
              </w:rPr>
              <w:t>FAT</w:t>
            </w:r>
            <w:r>
              <w:rPr>
                <w:rFonts w:hint="eastAsia" w:ascii="宋体" w:hAnsi="宋体"/>
                <w:lang w:eastAsia="zh-CN"/>
              </w:rPr>
              <w:t>、</w:t>
            </w:r>
            <w:r>
              <w:rPr>
                <w:rFonts w:ascii="宋体" w:hAnsi="宋体"/>
                <w:lang w:eastAsia="zh-CN"/>
              </w:rPr>
              <w:t>SAT</w:t>
            </w:r>
            <w:r>
              <w:rPr>
                <w:rFonts w:hint="eastAsia" w:ascii="宋体" w:hAnsi="宋体"/>
                <w:lang w:eastAsia="zh-CN"/>
              </w:rPr>
              <w:t>、</w:t>
            </w:r>
            <w:r>
              <w:rPr>
                <w:rFonts w:ascii="宋体" w:hAnsi="宋体"/>
                <w:lang w:eastAsia="zh-CN"/>
              </w:rPr>
              <w:t>IQ</w:t>
            </w:r>
            <w:r>
              <w:rPr>
                <w:rFonts w:hint="eastAsia" w:ascii="宋体" w:hAnsi="宋体"/>
                <w:lang w:eastAsia="zh-CN"/>
              </w:rPr>
              <w:t>、</w:t>
            </w:r>
            <w:r>
              <w:rPr>
                <w:rFonts w:ascii="宋体" w:hAnsi="宋体"/>
                <w:lang w:eastAsia="zh-CN"/>
              </w:rPr>
              <w:t>OQ</w:t>
            </w:r>
            <w:r>
              <w:rPr>
                <w:rFonts w:hint="eastAsia" w:ascii="宋体" w:hAnsi="宋体"/>
                <w:lang w:eastAsia="zh-CN"/>
              </w:rPr>
              <w:t>、</w:t>
            </w:r>
            <w:r>
              <w:rPr>
                <w:rFonts w:ascii="宋体" w:hAnsi="宋体"/>
                <w:lang w:eastAsia="zh-CN"/>
              </w:rPr>
              <w:t>RTM</w:t>
            </w:r>
            <w:r>
              <w:rPr>
                <w:rFonts w:hint="eastAsia" w:ascii="宋体" w:hAnsi="宋体"/>
                <w:lang w:eastAsia="zh-CN"/>
              </w:rPr>
              <w:t>、</w:t>
            </w:r>
            <w:r>
              <w:rPr>
                <w:rFonts w:ascii="宋体" w:hAnsi="宋体"/>
                <w:lang w:eastAsia="zh-CN"/>
              </w:rPr>
              <w:t>VSR</w:t>
            </w:r>
            <w:r>
              <w:rPr>
                <w:rFonts w:hint="eastAsia" w:ascii="宋体" w:hAnsi="宋体"/>
                <w:lang w:eastAsia="zh-CN"/>
              </w:rPr>
              <w:t>文件与服务，供应商必须派出具备该类系统验证经验，且熟悉验证相关文件编写及验证工作实施的验证工程师开展验证工作。供应商协助完成</w:t>
            </w:r>
            <w:r>
              <w:rPr>
                <w:rFonts w:ascii="宋体" w:hAnsi="宋体"/>
                <w:lang w:eastAsia="zh-CN"/>
              </w:rPr>
              <w:t>PQ</w:t>
            </w:r>
            <w:r>
              <w:rPr>
                <w:rFonts w:hint="eastAsia" w:ascii="宋体" w:hAnsi="宋体"/>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ind w:firstLine="0" w:firstLineChars="0"/>
              <w:rPr>
                <w:rFonts w:ascii="Times New Roman" w:hAnsi="Times New Roman"/>
                <w:szCs w:val="21"/>
              </w:rPr>
            </w:pPr>
            <w:r>
              <w:rPr>
                <w:rFonts w:hint="eastAsia" w:ascii="Times New Roman" w:hAnsi="Times New Roman"/>
                <w:szCs w:val="21"/>
              </w:rPr>
              <w:t>URS44</w:t>
            </w:r>
          </w:p>
        </w:tc>
        <w:tc>
          <w:tcPr>
            <w:tcW w:w="7128" w:type="dxa"/>
            <w:vAlign w:val="center"/>
          </w:tcPr>
          <w:p>
            <w:pPr>
              <w:spacing w:line="276" w:lineRule="auto"/>
              <w:jc w:val="both"/>
              <w:rPr>
                <w:rFonts w:ascii="宋体"/>
                <w:lang w:eastAsia="zh-CN"/>
              </w:rPr>
            </w:pPr>
            <w:r>
              <w:rPr>
                <w:rFonts w:hint="eastAsia" w:ascii="宋体" w:hAnsi="宋体"/>
                <w:lang w:eastAsia="zh-CN"/>
              </w:rPr>
              <w:t>投标方按</w:t>
            </w:r>
            <w:r>
              <w:rPr>
                <w:rFonts w:ascii="宋体" w:hAnsi="宋体"/>
                <w:lang w:eastAsia="zh-CN"/>
              </w:rPr>
              <w:t>GMP</w:t>
            </w:r>
            <w:r>
              <w:rPr>
                <w:rFonts w:hint="eastAsia" w:ascii="宋体" w:hAnsi="宋体"/>
                <w:lang w:eastAsia="zh-CN"/>
              </w:rPr>
              <w:t>和</w:t>
            </w:r>
            <w:r>
              <w:rPr>
                <w:rFonts w:ascii="宋体" w:hAnsi="宋体"/>
                <w:lang w:eastAsia="zh-CN"/>
              </w:rPr>
              <w:t>GAMP5</w:t>
            </w:r>
            <w:r>
              <w:rPr>
                <w:rFonts w:hint="eastAsia" w:ascii="宋体" w:hAnsi="宋体"/>
                <w:lang w:eastAsia="zh-CN"/>
              </w:rPr>
              <w:t>规范完成所有验证工作，各验证工作开始前验证方案需经过本公司相关部门审核，并经质量保证部批准。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ind w:firstLine="0" w:firstLineChars="0"/>
              <w:rPr>
                <w:rFonts w:ascii="Times New Roman" w:hAnsi="Times New Roman"/>
                <w:szCs w:val="21"/>
              </w:rPr>
            </w:pPr>
            <w:r>
              <w:rPr>
                <w:rFonts w:hint="eastAsia" w:ascii="Times New Roman" w:hAnsi="Times New Roman"/>
                <w:szCs w:val="21"/>
              </w:rPr>
              <w:t>URS45</w:t>
            </w:r>
          </w:p>
        </w:tc>
        <w:tc>
          <w:tcPr>
            <w:tcW w:w="7128" w:type="dxa"/>
            <w:vAlign w:val="center"/>
          </w:tcPr>
          <w:p>
            <w:pPr>
              <w:spacing w:line="276" w:lineRule="auto"/>
              <w:jc w:val="both"/>
              <w:rPr>
                <w:szCs w:val="21"/>
                <w:lang w:eastAsia="zh-CN"/>
              </w:rPr>
            </w:pPr>
            <w:r>
              <w:rPr>
                <w:rFonts w:hint="eastAsia" w:ascii="宋体" w:hAnsi="宋体"/>
                <w:lang w:eastAsia="zh-CN"/>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ind w:firstLine="0" w:firstLineChars="0"/>
              <w:rPr>
                <w:rFonts w:ascii="Times New Roman" w:hAnsi="Times New Roman"/>
                <w:szCs w:val="21"/>
              </w:rPr>
            </w:pPr>
            <w:r>
              <w:rPr>
                <w:rFonts w:hint="eastAsia" w:ascii="Times New Roman" w:hAnsi="Times New Roman"/>
                <w:szCs w:val="21"/>
              </w:rPr>
              <w:t>URS46</w:t>
            </w:r>
          </w:p>
        </w:tc>
        <w:tc>
          <w:tcPr>
            <w:tcW w:w="7128" w:type="dxa"/>
            <w:vAlign w:val="center"/>
          </w:tcPr>
          <w:p>
            <w:pPr>
              <w:spacing w:line="276" w:lineRule="auto"/>
              <w:jc w:val="both"/>
              <w:rPr>
                <w:szCs w:val="21"/>
                <w:lang w:eastAsia="zh-CN"/>
              </w:rPr>
            </w:pPr>
            <w:r>
              <w:rPr>
                <w:rFonts w:hint="eastAsia" w:ascii="宋体" w:hAnsi="宋体"/>
                <w:lang w:eastAsia="zh-CN"/>
              </w:rPr>
              <w:t>验证项目应包含法规要求的测试项目，以及本公司提出的测试项目。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ind w:firstLine="0" w:firstLineChars="0"/>
              <w:rPr>
                <w:rFonts w:ascii="Times New Roman" w:hAnsi="Times New Roman"/>
                <w:szCs w:val="21"/>
              </w:rPr>
            </w:pPr>
            <w:r>
              <w:rPr>
                <w:rFonts w:hint="eastAsia" w:ascii="Times New Roman" w:hAnsi="Times New Roman"/>
                <w:szCs w:val="21"/>
              </w:rPr>
              <w:t>URS47</w:t>
            </w:r>
          </w:p>
        </w:tc>
        <w:tc>
          <w:tcPr>
            <w:tcW w:w="7128" w:type="dxa"/>
            <w:vAlign w:val="center"/>
          </w:tcPr>
          <w:p>
            <w:pPr>
              <w:spacing w:line="276" w:lineRule="auto"/>
              <w:jc w:val="both"/>
              <w:rPr>
                <w:szCs w:val="21"/>
                <w:lang w:eastAsia="zh-CN"/>
              </w:rPr>
            </w:pPr>
            <w:r>
              <w:rPr>
                <w:rFonts w:hint="eastAsia" w:ascii="宋体" w:hAnsi="宋体"/>
                <w:lang w:eastAsia="zh-CN"/>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ind w:firstLine="0" w:firstLineChars="0"/>
              <w:rPr>
                <w:rFonts w:ascii="Times New Roman" w:hAnsi="Times New Roman"/>
                <w:szCs w:val="21"/>
              </w:rPr>
            </w:pPr>
            <w:r>
              <w:rPr>
                <w:rFonts w:hint="eastAsia" w:ascii="Times New Roman" w:hAnsi="Times New Roman"/>
                <w:szCs w:val="21"/>
              </w:rPr>
              <w:t>URS48</w:t>
            </w:r>
          </w:p>
        </w:tc>
        <w:tc>
          <w:tcPr>
            <w:tcW w:w="7128" w:type="dxa"/>
            <w:vAlign w:val="center"/>
          </w:tcPr>
          <w:p>
            <w:pPr>
              <w:spacing w:line="276" w:lineRule="auto"/>
              <w:jc w:val="both"/>
              <w:rPr>
                <w:rFonts w:ascii="宋体"/>
                <w:sz w:val="24"/>
                <w:lang w:eastAsia="zh-CN"/>
              </w:rPr>
            </w:pPr>
            <w:r>
              <w:rPr>
                <w:rFonts w:hint="eastAsia" w:ascii="宋体" w:hAnsi="宋体"/>
                <w:lang w:eastAsia="zh-CN"/>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ind w:firstLine="0" w:firstLineChars="0"/>
              <w:rPr>
                <w:rFonts w:ascii="Times New Roman" w:hAnsi="Times New Roman"/>
                <w:szCs w:val="21"/>
              </w:rPr>
            </w:pPr>
            <w:permStart w:id="40" w:edGrp="everyone"/>
            <w:r>
              <w:rPr>
                <w:rFonts w:hint="eastAsia" w:ascii="Times New Roman" w:hAnsi="Times New Roman"/>
                <w:szCs w:val="21"/>
              </w:rPr>
              <w:t>URS49</w:t>
            </w:r>
          </w:p>
        </w:tc>
        <w:tc>
          <w:tcPr>
            <w:tcW w:w="7128" w:type="dxa"/>
            <w:vAlign w:val="center"/>
          </w:tcPr>
          <w:p>
            <w:pPr>
              <w:pStyle w:val="8"/>
              <w:numPr>
                <w:ilvl w:val="0"/>
                <w:numId w:val="13"/>
              </w:numPr>
              <w:spacing w:line="276" w:lineRule="auto"/>
              <w:rPr>
                <w:rFonts w:ascii="宋体"/>
                <w:sz w:val="21"/>
                <w:lang w:eastAsia="zh-CN"/>
              </w:rPr>
            </w:pPr>
            <w:r>
              <w:rPr>
                <w:rFonts w:hint="eastAsia" w:ascii="宋体" w:hAnsi="宋体"/>
                <w:sz w:val="21"/>
                <w:lang w:eastAsia="zh-CN"/>
              </w:rPr>
              <w:t>设备保质期从确认验收的阶段就开始计算。</w:t>
            </w:r>
          </w:p>
          <w:p>
            <w:pPr>
              <w:pStyle w:val="8"/>
              <w:numPr>
                <w:ilvl w:val="0"/>
                <w:numId w:val="13"/>
              </w:numPr>
              <w:spacing w:line="276" w:lineRule="auto"/>
              <w:rPr>
                <w:rFonts w:ascii="宋体"/>
                <w:sz w:val="21"/>
                <w:lang w:eastAsia="zh-CN"/>
              </w:rPr>
            </w:pPr>
            <w:r>
              <w:rPr>
                <w:rFonts w:hint="eastAsia" w:ascii="宋体" w:hAnsi="宋体"/>
                <w:sz w:val="21"/>
                <w:lang w:eastAsia="zh-CN"/>
              </w:rPr>
              <w:t>设备质保期至少为一年，一年内免费保修，一年后应提供良好的售后服务。</w:t>
            </w:r>
          </w:p>
          <w:p>
            <w:pPr>
              <w:pStyle w:val="8"/>
              <w:numPr>
                <w:ilvl w:val="0"/>
                <w:numId w:val="13"/>
              </w:numPr>
              <w:spacing w:line="276" w:lineRule="auto"/>
              <w:rPr>
                <w:rFonts w:ascii="宋体"/>
                <w:sz w:val="21"/>
                <w:lang w:eastAsia="zh-CN"/>
              </w:rPr>
            </w:pPr>
            <w:r>
              <w:rPr>
                <w:rFonts w:hint="eastAsia" w:ascii="宋体" w:hAnsi="宋体"/>
                <w:sz w:val="21"/>
                <w:lang w:eastAsia="zh-CN"/>
              </w:rPr>
              <w:t>厂家及时提供设备软件升级信息，并及时提供免费软件升级服务。</w:t>
            </w:r>
          </w:p>
          <w:p>
            <w:pPr>
              <w:pStyle w:val="8"/>
              <w:numPr>
                <w:ilvl w:val="0"/>
                <w:numId w:val="13"/>
              </w:numPr>
              <w:spacing w:line="276" w:lineRule="auto"/>
              <w:rPr>
                <w:rFonts w:ascii="宋体"/>
                <w:sz w:val="21"/>
                <w:lang w:eastAsia="zh-CN"/>
              </w:rPr>
            </w:pPr>
            <w:r>
              <w:rPr>
                <w:rFonts w:hint="eastAsia" w:ascii="宋体" w:hAnsi="宋体"/>
                <w:sz w:val="21"/>
                <w:lang w:eastAsia="zh-CN"/>
              </w:rPr>
              <w:t>售后服务必须响应及时，要求设备出现须厂家维修的故障后，应在</w:t>
            </w:r>
            <w:r>
              <w:rPr>
                <w:rFonts w:ascii="宋体" w:hAnsi="宋体"/>
                <w:sz w:val="21"/>
                <w:lang w:eastAsia="zh-CN"/>
              </w:rPr>
              <w:t>4</w:t>
            </w:r>
            <w:r>
              <w:rPr>
                <w:rFonts w:hint="eastAsia" w:ascii="宋体" w:hAnsi="宋体"/>
                <w:sz w:val="21"/>
                <w:lang w:eastAsia="zh-CN"/>
              </w:rPr>
              <w:t>小时内明确答复，当电话沟通无法解决时，须</w:t>
            </w:r>
            <w:r>
              <w:rPr>
                <w:rFonts w:ascii="宋体" w:hAnsi="宋体"/>
                <w:sz w:val="21"/>
                <w:lang w:eastAsia="zh-CN"/>
              </w:rPr>
              <w:t>24</w:t>
            </w:r>
            <w:r>
              <w:rPr>
                <w:rFonts w:hint="eastAsia" w:ascii="宋体" w:hAnsi="宋体"/>
                <w:sz w:val="21"/>
                <w:lang w:eastAsia="zh-CN"/>
              </w:rPr>
              <w:t>小时内派人至现场解决。</w:t>
            </w:r>
          </w:p>
          <w:p>
            <w:pPr>
              <w:pStyle w:val="8"/>
              <w:numPr>
                <w:ilvl w:val="0"/>
                <w:numId w:val="13"/>
              </w:numPr>
              <w:spacing w:line="276" w:lineRule="auto"/>
              <w:rPr>
                <w:rFonts w:ascii="宋体"/>
                <w:sz w:val="21"/>
                <w:lang w:eastAsia="zh-CN"/>
              </w:rPr>
            </w:pPr>
            <w:r>
              <w:rPr>
                <w:rFonts w:hint="eastAsia" w:ascii="宋体" w:hAnsi="宋体"/>
                <w:sz w:val="21"/>
                <w:lang w:eastAsia="zh-CN"/>
              </w:rPr>
              <w:t>一年免费保修期后，厂家应终生提供及时的维修、维护，厂家应定期回访，解决设备运行当中可能出现的疑问，排除潜在故障，使设备保持良好工作状态。</w:t>
            </w:r>
          </w:p>
          <w:p>
            <w:pPr>
              <w:pStyle w:val="8"/>
              <w:numPr>
                <w:ilvl w:val="0"/>
                <w:numId w:val="13"/>
              </w:numPr>
              <w:spacing w:line="276" w:lineRule="auto"/>
              <w:rPr>
                <w:rFonts w:ascii="宋体"/>
                <w:sz w:val="22"/>
                <w:lang w:eastAsia="zh-CN"/>
              </w:rPr>
            </w:pPr>
            <w:r>
              <w:rPr>
                <w:rFonts w:hint="eastAsia" w:ascii="宋体" w:hAnsi="宋体"/>
                <w:sz w:val="21"/>
                <w:lang w:eastAsia="zh-CN"/>
              </w:rPr>
              <w:t>厂家应提供合格的备件，用于设备相应部件的维修、更换。</w:t>
            </w:r>
          </w:p>
        </w:tc>
        <w:tc>
          <w:tcPr>
            <w:tcW w:w="2125" w:type="dxa"/>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ind w:firstLineChars="0"/>
              <w:rPr>
                <w:rFonts w:ascii="Times New Roman" w:hAnsi="Times New Roman"/>
                <w:szCs w:val="21"/>
              </w:rPr>
            </w:pPr>
            <w:permStart w:id="41" w:edGrp="everyone"/>
            <w:r>
              <w:rPr>
                <w:rFonts w:hint="eastAsia" w:ascii="Times New Roman" w:hAnsi="Times New Roman"/>
                <w:szCs w:val="21"/>
              </w:rPr>
              <w:t>URS50</w:t>
            </w:r>
          </w:p>
        </w:tc>
        <w:tc>
          <w:tcPr>
            <w:tcW w:w="7128" w:type="dxa"/>
            <w:vAlign w:val="center"/>
          </w:tcPr>
          <w:p>
            <w:pPr>
              <w:pStyle w:val="8"/>
              <w:numPr>
                <w:ilvl w:val="0"/>
                <w:numId w:val="14"/>
              </w:numPr>
              <w:spacing w:line="276" w:lineRule="auto"/>
              <w:rPr>
                <w:rFonts w:ascii="宋体"/>
                <w:sz w:val="21"/>
                <w:lang w:eastAsia="zh-CN"/>
              </w:rPr>
            </w:pPr>
            <w:r>
              <w:rPr>
                <w:rFonts w:hint="eastAsia" w:ascii="宋体" w:hAnsi="宋体"/>
                <w:sz w:val="21"/>
                <w:lang w:eastAsia="zh-CN"/>
              </w:rPr>
              <w:t>货物到达买方使用现场后，由买卖双方共同验收，卖方工程师免费为买方提供调试。</w:t>
            </w:r>
          </w:p>
          <w:p>
            <w:pPr>
              <w:pStyle w:val="8"/>
              <w:numPr>
                <w:ilvl w:val="0"/>
                <w:numId w:val="14"/>
              </w:numPr>
              <w:spacing w:line="276" w:lineRule="auto"/>
              <w:rPr>
                <w:rFonts w:ascii="宋体"/>
                <w:sz w:val="21"/>
                <w:lang w:eastAsia="zh-CN"/>
              </w:rPr>
            </w:pPr>
            <w:r>
              <w:rPr>
                <w:rFonts w:hint="eastAsia" w:ascii="宋体" w:hAnsi="宋体"/>
                <w:sz w:val="21"/>
                <w:lang w:eastAsia="zh-CN"/>
              </w:rPr>
              <w:t>供应商进厂安装需遵守安全和安装规定。</w:t>
            </w:r>
          </w:p>
          <w:p>
            <w:pPr>
              <w:pStyle w:val="8"/>
              <w:numPr>
                <w:ilvl w:val="0"/>
                <w:numId w:val="14"/>
              </w:numPr>
              <w:spacing w:line="276" w:lineRule="auto"/>
              <w:rPr>
                <w:rFonts w:ascii="宋体"/>
                <w:sz w:val="22"/>
                <w:lang w:eastAsia="zh-CN"/>
              </w:rPr>
            </w:pPr>
            <w:r>
              <w:rPr>
                <w:rFonts w:hint="eastAsia" w:ascii="宋体" w:hAnsi="宋体"/>
                <w:sz w:val="21"/>
                <w:lang w:eastAsia="zh-CN"/>
              </w:rPr>
              <w:t>确认验收合格后，买卖双方签订验收报告。</w:t>
            </w:r>
          </w:p>
        </w:tc>
        <w:tc>
          <w:tcPr>
            <w:tcW w:w="2125" w:type="dxa"/>
            <w:vAlign w:val="center"/>
          </w:tcPr>
          <w:p>
            <w:pPr>
              <w:jc w:val="both"/>
              <w:rPr>
                <w:szCs w:val="21"/>
                <w:lang w:eastAsia="zh-CN"/>
              </w:rPr>
            </w:pPr>
            <w:r>
              <w:rPr>
                <w:rFonts w:hint="eastAsia"/>
                <w:szCs w:val="21"/>
                <w:lang w:eastAsia="zh-CN"/>
              </w:rPr>
              <w:t>关键</w:t>
            </w:r>
          </w:p>
        </w:tc>
      </w:tr>
      <w:permEnd w:id="41"/>
    </w:tbl>
    <w:p/>
    <w:p>
      <w:pPr>
        <w:pStyle w:val="32"/>
        <w:numPr>
          <w:ilvl w:val="0"/>
          <w:numId w:val="3"/>
        </w:numPr>
        <w:spacing w:after="158" w:afterLines="50"/>
        <w:ind w:left="426" w:hanging="426" w:hangingChars="202"/>
        <w:outlineLvl w:val="0"/>
        <w:rPr>
          <w:rFonts w:ascii="Times New Roman" w:hAnsi="Times New Roman"/>
          <w:b/>
        </w:rPr>
      </w:pPr>
      <w:bookmarkStart w:id="48" w:name="_Toc522107746"/>
      <w:bookmarkStart w:id="49" w:name="_Toc522716126"/>
      <w:r>
        <w:rPr>
          <w:rFonts w:ascii="Times New Roman" w:hAnsi="Times New Roman"/>
          <w:b/>
        </w:rPr>
        <w:t>附件</w:t>
      </w:r>
      <w:bookmarkEnd w:id="48"/>
      <w:bookmarkEnd w:id="49"/>
    </w:p>
    <w:bookmarkEnd w:id="31"/>
    <w:bookmarkEnd w:id="32"/>
    <w:bookmarkEnd w:id="33"/>
    <w:bookmarkEnd w:id="34"/>
    <w:bookmarkEnd w:id="35"/>
    <w:bookmarkEnd w:id="36"/>
    <w:bookmarkEnd w:id="37"/>
    <w:bookmarkEnd w:id="38"/>
    <w:bookmarkEnd w:id="39"/>
    <w:bookmarkEnd w:id="40"/>
    <w:bookmarkEnd w:id="41"/>
    <w:bookmarkEnd w:id="42"/>
    <w:p>
      <w:pPr>
        <w:pStyle w:val="36"/>
        <w:spacing w:before="0" w:line="360" w:lineRule="auto"/>
        <w:ind w:left="357"/>
        <w:jc w:val="left"/>
        <w:rPr>
          <w:color w:val="4472C4"/>
          <w:sz w:val="20"/>
          <w:szCs w:val="21"/>
          <w:lang w:eastAsia="zh-CN"/>
        </w:rPr>
      </w:pPr>
      <w:permStart w:id="42" w:edGrp="everyone"/>
      <w:r>
        <w:rPr>
          <w:rFonts w:ascii="宋体" w:hAnsi="宋体"/>
        </w:rPr>
        <w:t>N/A</w:t>
      </w:r>
      <w:permEnd w:id="42"/>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9374336">
    <w:nsid w:val="55CB1C00"/>
    <w:multiLevelType w:val="multilevel"/>
    <w:tmpl w:val="55CB1C00"/>
    <w:lvl w:ilvl="0" w:tentative="1">
      <w:start w:val="1"/>
      <w:numFmt w:val="decimal"/>
      <w:lvlText w:val="（%1）"/>
      <w:lvlJc w:val="left"/>
      <w:pPr>
        <w:ind w:left="420" w:hanging="420"/>
      </w:pPr>
      <w:rPr>
        <w:rFonts w:hint="default" w:hAnsi="宋体" w:cs="宋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decimal"/>
      <w:lvlText w:val="（%2）"/>
      <w:lvlJc w:val="left"/>
      <w:pPr>
        <w:ind w:left="1140" w:hanging="720"/>
      </w:pPr>
      <w:rPr>
        <w:rFonts w:hint="default" w:hAnsi="宋体"/>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382943692">
    <w:nsid w:val="16D341CC"/>
    <w:multiLevelType w:val="multilevel"/>
    <w:tmpl w:val="16D341CC"/>
    <w:lvl w:ilvl="0" w:tentative="1">
      <w:start w:val="1"/>
      <w:numFmt w:val="decimal"/>
      <w:lvlText w:val="URS %1"/>
      <w:lvlJc w:val="left"/>
      <w:pPr>
        <w:ind w:left="988" w:hanging="420"/>
      </w:pPr>
      <w:rPr>
        <w:rFonts w:hint="eastAsia"/>
      </w:rPr>
    </w:lvl>
    <w:lvl w:ilvl="1" w:tentative="1">
      <w:start w:val="1"/>
      <w:numFmt w:val="decimal"/>
      <w:lvlText w:val="（%2）"/>
      <w:lvlJc w:val="left"/>
      <w:pPr>
        <w:ind w:left="1740" w:hanging="720"/>
      </w:pPr>
      <w:rPr>
        <w:rFonts w:hint="default" w:hAnsi="宋体" w:cs="宋体"/>
      </w:r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decimal"/>
      <w:lvlText w:val="（%2）"/>
      <w:lvlJc w:val="left"/>
      <w:pPr>
        <w:ind w:left="1140" w:hanging="720"/>
      </w:pPr>
      <w:rPr>
        <w:rFonts w:hint="default"/>
      </w:r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63839534">
    <w:nsid w:val="57406B2E"/>
    <w:multiLevelType w:val="multilevel"/>
    <w:tmpl w:val="57406B2E"/>
    <w:lvl w:ilvl="0" w:tentative="1">
      <w:start w:val="1"/>
      <w:numFmt w:val="decimal"/>
      <w:lvlText w:val="（%1）"/>
      <w:lvlJc w:val="left"/>
      <w:pPr>
        <w:ind w:left="420" w:hanging="420"/>
      </w:pPr>
      <w:rPr>
        <w:rFonts w:hint="default" w:hAnsi="宋体" w:cs="宋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22453172">
    <w:nsid w:val="7E8210B4"/>
    <w:multiLevelType w:val="multilevel"/>
    <w:tmpl w:val="7E8210B4"/>
    <w:lvl w:ilvl="0" w:tentative="1">
      <w:start w:val="1"/>
      <w:numFmt w:val="decimal"/>
      <w:lvlText w:val="（%1）"/>
      <w:lvlJc w:val="left"/>
      <w:pPr>
        <w:ind w:left="420" w:hanging="420"/>
      </w:pPr>
      <w:rPr>
        <w:rFonts w:hint="default" w:hAnsi="宋体" w:cs="宋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63839534"/>
  </w:num>
  <w:num w:numId="12">
    <w:abstractNumId w:val="1419404300"/>
  </w:num>
  <w:num w:numId="13">
    <w:abstractNumId w:val="2122453172"/>
  </w:num>
  <w:num w:numId="14">
    <w:abstractNumId w:val="14393743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29B5"/>
    <w:rsid w:val="000169DD"/>
    <w:rsid w:val="00020FEA"/>
    <w:rsid w:val="00022818"/>
    <w:rsid w:val="00023063"/>
    <w:rsid w:val="000233DE"/>
    <w:rsid w:val="00023B07"/>
    <w:rsid w:val="00023CAD"/>
    <w:rsid w:val="0002457E"/>
    <w:rsid w:val="000275E7"/>
    <w:rsid w:val="000303D0"/>
    <w:rsid w:val="00031243"/>
    <w:rsid w:val="00031900"/>
    <w:rsid w:val="00031EF2"/>
    <w:rsid w:val="000355F3"/>
    <w:rsid w:val="00037987"/>
    <w:rsid w:val="00037F15"/>
    <w:rsid w:val="00037F55"/>
    <w:rsid w:val="000404F1"/>
    <w:rsid w:val="00041104"/>
    <w:rsid w:val="00041123"/>
    <w:rsid w:val="00041A2A"/>
    <w:rsid w:val="00041D89"/>
    <w:rsid w:val="00044DFD"/>
    <w:rsid w:val="000467C2"/>
    <w:rsid w:val="00046B5E"/>
    <w:rsid w:val="00047038"/>
    <w:rsid w:val="00047BA8"/>
    <w:rsid w:val="00047CAF"/>
    <w:rsid w:val="00052005"/>
    <w:rsid w:val="00053A4C"/>
    <w:rsid w:val="00054BB1"/>
    <w:rsid w:val="00055ED6"/>
    <w:rsid w:val="00056478"/>
    <w:rsid w:val="00056AE2"/>
    <w:rsid w:val="00056E9E"/>
    <w:rsid w:val="00057046"/>
    <w:rsid w:val="000576C2"/>
    <w:rsid w:val="00063572"/>
    <w:rsid w:val="00063B90"/>
    <w:rsid w:val="00064A43"/>
    <w:rsid w:val="00066063"/>
    <w:rsid w:val="000662D2"/>
    <w:rsid w:val="00071DD4"/>
    <w:rsid w:val="00072340"/>
    <w:rsid w:val="00072945"/>
    <w:rsid w:val="00073B81"/>
    <w:rsid w:val="0007673E"/>
    <w:rsid w:val="00077AE1"/>
    <w:rsid w:val="000818AC"/>
    <w:rsid w:val="00082C13"/>
    <w:rsid w:val="00083D58"/>
    <w:rsid w:val="00083D92"/>
    <w:rsid w:val="00084168"/>
    <w:rsid w:val="000844A8"/>
    <w:rsid w:val="00084F90"/>
    <w:rsid w:val="00086CA0"/>
    <w:rsid w:val="00087002"/>
    <w:rsid w:val="00090CAB"/>
    <w:rsid w:val="00092C03"/>
    <w:rsid w:val="00095E11"/>
    <w:rsid w:val="00096510"/>
    <w:rsid w:val="000974BA"/>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514C"/>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4777"/>
    <w:rsid w:val="0010503D"/>
    <w:rsid w:val="00106571"/>
    <w:rsid w:val="00106B5D"/>
    <w:rsid w:val="00110CF0"/>
    <w:rsid w:val="001120B7"/>
    <w:rsid w:val="0011231F"/>
    <w:rsid w:val="00112670"/>
    <w:rsid w:val="00112DD4"/>
    <w:rsid w:val="00112F30"/>
    <w:rsid w:val="00114353"/>
    <w:rsid w:val="001144F0"/>
    <w:rsid w:val="00115728"/>
    <w:rsid w:val="00115BB4"/>
    <w:rsid w:val="001163FC"/>
    <w:rsid w:val="00116F39"/>
    <w:rsid w:val="00117A01"/>
    <w:rsid w:val="00121B6E"/>
    <w:rsid w:val="00122051"/>
    <w:rsid w:val="00124244"/>
    <w:rsid w:val="00124E69"/>
    <w:rsid w:val="00125CC1"/>
    <w:rsid w:val="001273B0"/>
    <w:rsid w:val="00127CB8"/>
    <w:rsid w:val="00127F9A"/>
    <w:rsid w:val="001313C3"/>
    <w:rsid w:val="00132F4C"/>
    <w:rsid w:val="00134C68"/>
    <w:rsid w:val="00135FD6"/>
    <w:rsid w:val="001374CF"/>
    <w:rsid w:val="00143952"/>
    <w:rsid w:val="001442AB"/>
    <w:rsid w:val="0014477D"/>
    <w:rsid w:val="00144D00"/>
    <w:rsid w:val="00145034"/>
    <w:rsid w:val="00145DC7"/>
    <w:rsid w:val="00145F74"/>
    <w:rsid w:val="00146568"/>
    <w:rsid w:val="001479C5"/>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3CA9"/>
    <w:rsid w:val="001746E7"/>
    <w:rsid w:val="001757AB"/>
    <w:rsid w:val="001769A8"/>
    <w:rsid w:val="001814FA"/>
    <w:rsid w:val="001815A9"/>
    <w:rsid w:val="00182A27"/>
    <w:rsid w:val="00184DDD"/>
    <w:rsid w:val="00184FFD"/>
    <w:rsid w:val="00185449"/>
    <w:rsid w:val="00186314"/>
    <w:rsid w:val="00187B04"/>
    <w:rsid w:val="00190000"/>
    <w:rsid w:val="00190009"/>
    <w:rsid w:val="001929C2"/>
    <w:rsid w:val="00192B8F"/>
    <w:rsid w:val="00193D66"/>
    <w:rsid w:val="00194BB7"/>
    <w:rsid w:val="001A1DE7"/>
    <w:rsid w:val="001A3BB0"/>
    <w:rsid w:val="001A4947"/>
    <w:rsid w:val="001A5899"/>
    <w:rsid w:val="001A64C0"/>
    <w:rsid w:val="001A685F"/>
    <w:rsid w:val="001A7EB6"/>
    <w:rsid w:val="001A7FE4"/>
    <w:rsid w:val="001B0278"/>
    <w:rsid w:val="001B05A9"/>
    <w:rsid w:val="001B28C8"/>
    <w:rsid w:val="001B2CF3"/>
    <w:rsid w:val="001B415B"/>
    <w:rsid w:val="001B4654"/>
    <w:rsid w:val="001C017B"/>
    <w:rsid w:val="001C239E"/>
    <w:rsid w:val="001C2D7E"/>
    <w:rsid w:val="001D1FA0"/>
    <w:rsid w:val="001D245E"/>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3D3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5A"/>
    <w:rsid w:val="002547BF"/>
    <w:rsid w:val="002548CA"/>
    <w:rsid w:val="0025531B"/>
    <w:rsid w:val="002560F9"/>
    <w:rsid w:val="00257517"/>
    <w:rsid w:val="00257FA9"/>
    <w:rsid w:val="00261CD0"/>
    <w:rsid w:val="00261F30"/>
    <w:rsid w:val="002637FB"/>
    <w:rsid w:val="00263CB5"/>
    <w:rsid w:val="0026571F"/>
    <w:rsid w:val="00267B0B"/>
    <w:rsid w:val="0027137F"/>
    <w:rsid w:val="002723D2"/>
    <w:rsid w:val="002732E5"/>
    <w:rsid w:val="002745D9"/>
    <w:rsid w:val="00274823"/>
    <w:rsid w:val="0027512D"/>
    <w:rsid w:val="0027577D"/>
    <w:rsid w:val="00275F43"/>
    <w:rsid w:val="002771A9"/>
    <w:rsid w:val="002810E3"/>
    <w:rsid w:val="00282EAA"/>
    <w:rsid w:val="0028384D"/>
    <w:rsid w:val="0028525D"/>
    <w:rsid w:val="002860DB"/>
    <w:rsid w:val="00286CE5"/>
    <w:rsid w:val="0029023F"/>
    <w:rsid w:val="00290895"/>
    <w:rsid w:val="002913B7"/>
    <w:rsid w:val="00291541"/>
    <w:rsid w:val="00291C5E"/>
    <w:rsid w:val="002924C2"/>
    <w:rsid w:val="00293DEC"/>
    <w:rsid w:val="00293E83"/>
    <w:rsid w:val="0029741F"/>
    <w:rsid w:val="00297DDC"/>
    <w:rsid w:val="002A18C8"/>
    <w:rsid w:val="002A42F8"/>
    <w:rsid w:val="002A547B"/>
    <w:rsid w:val="002A588E"/>
    <w:rsid w:val="002A632E"/>
    <w:rsid w:val="002A7980"/>
    <w:rsid w:val="002B0A7C"/>
    <w:rsid w:val="002B14F3"/>
    <w:rsid w:val="002B480A"/>
    <w:rsid w:val="002B67A2"/>
    <w:rsid w:val="002B6854"/>
    <w:rsid w:val="002C1817"/>
    <w:rsid w:val="002C1DAB"/>
    <w:rsid w:val="002C4FCF"/>
    <w:rsid w:val="002C527C"/>
    <w:rsid w:val="002D0253"/>
    <w:rsid w:val="002D0304"/>
    <w:rsid w:val="002D03CD"/>
    <w:rsid w:val="002D2477"/>
    <w:rsid w:val="002D2AAB"/>
    <w:rsid w:val="002D691F"/>
    <w:rsid w:val="002D6A50"/>
    <w:rsid w:val="002D6D1C"/>
    <w:rsid w:val="002E1D21"/>
    <w:rsid w:val="002E3B36"/>
    <w:rsid w:val="002E59BF"/>
    <w:rsid w:val="002E63F6"/>
    <w:rsid w:val="002E69A1"/>
    <w:rsid w:val="002F1731"/>
    <w:rsid w:val="002F1C5E"/>
    <w:rsid w:val="002F1D63"/>
    <w:rsid w:val="002F340E"/>
    <w:rsid w:val="002F4392"/>
    <w:rsid w:val="002F4641"/>
    <w:rsid w:val="002F4B22"/>
    <w:rsid w:val="002F7538"/>
    <w:rsid w:val="00302176"/>
    <w:rsid w:val="00302AF8"/>
    <w:rsid w:val="00304F96"/>
    <w:rsid w:val="00306131"/>
    <w:rsid w:val="00311B2C"/>
    <w:rsid w:val="00311EE4"/>
    <w:rsid w:val="0031318B"/>
    <w:rsid w:val="0031342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114"/>
    <w:rsid w:val="00330D16"/>
    <w:rsid w:val="00330FFF"/>
    <w:rsid w:val="00333C91"/>
    <w:rsid w:val="0033551C"/>
    <w:rsid w:val="0033695C"/>
    <w:rsid w:val="00341B2F"/>
    <w:rsid w:val="00342915"/>
    <w:rsid w:val="00344B04"/>
    <w:rsid w:val="00345847"/>
    <w:rsid w:val="003474D5"/>
    <w:rsid w:val="00347576"/>
    <w:rsid w:val="00347772"/>
    <w:rsid w:val="00347A51"/>
    <w:rsid w:val="00347B19"/>
    <w:rsid w:val="00350C45"/>
    <w:rsid w:val="00350F44"/>
    <w:rsid w:val="003531FA"/>
    <w:rsid w:val="0035416F"/>
    <w:rsid w:val="003549FE"/>
    <w:rsid w:val="00355AAC"/>
    <w:rsid w:val="00355D7D"/>
    <w:rsid w:val="00361EE2"/>
    <w:rsid w:val="003647CA"/>
    <w:rsid w:val="00370514"/>
    <w:rsid w:val="0037056A"/>
    <w:rsid w:val="003726DF"/>
    <w:rsid w:val="0037345A"/>
    <w:rsid w:val="00373FFA"/>
    <w:rsid w:val="0037455F"/>
    <w:rsid w:val="003752A6"/>
    <w:rsid w:val="00376C31"/>
    <w:rsid w:val="00380EB7"/>
    <w:rsid w:val="003810F5"/>
    <w:rsid w:val="00381C39"/>
    <w:rsid w:val="00381CF6"/>
    <w:rsid w:val="0038326A"/>
    <w:rsid w:val="0038367F"/>
    <w:rsid w:val="00387B81"/>
    <w:rsid w:val="00391016"/>
    <w:rsid w:val="00393529"/>
    <w:rsid w:val="00393B6A"/>
    <w:rsid w:val="003946C3"/>
    <w:rsid w:val="00395294"/>
    <w:rsid w:val="00395CE1"/>
    <w:rsid w:val="00395D47"/>
    <w:rsid w:val="00396425"/>
    <w:rsid w:val="003970BE"/>
    <w:rsid w:val="00397C18"/>
    <w:rsid w:val="003A04A8"/>
    <w:rsid w:val="003A1311"/>
    <w:rsid w:val="003A2EC5"/>
    <w:rsid w:val="003A3AAC"/>
    <w:rsid w:val="003A4CAE"/>
    <w:rsid w:val="003A59CC"/>
    <w:rsid w:val="003A6DFE"/>
    <w:rsid w:val="003A6F75"/>
    <w:rsid w:val="003A6FCD"/>
    <w:rsid w:val="003B096A"/>
    <w:rsid w:val="003B0B6A"/>
    <w:rsid w:val="003B1FF2"/>
    <w:rsid w:val="003B2104"/>
    <w:rsid w:val="003B354C"/>
    <w:rsid w:val="003B355B"/>
    <w:rsid w:val="003B4A5D"/>
    <w:rsid w:val="003B5047"/>
    <w:rsid w:val="003B53D4"/>
    <w:rsid w:val="003B6E29"/>
    <w:rsid w:val="003B73AB"/>
    <w:rsid w:val="003C02C6"/>
    <w:rsid w:val="003C03D7"/>
    <w:rsid w:val="003C0712"/>
    <w:rsid w:val="003C558E"/>
    <w:rsid w:val="003C6ECF"/>
    <w:rsid w:val="003C73BC"/>
    <w:rsid w:val="003D1121"/>
    <w:rsid w:val="003D2243"/>
    <w:rsid w:val="003D3C09"/>
    <w:rsid w:val="003D3ECD"/>
    <w:rsid w:val="003D464A"/>
    <w:rsid w:val="003D4EFF"/>
    <w:rsid w:val="003D5F4A"/>
    <w:rsid w:val="003D662C"/>
    <w:rsid w:val="003D77E5"/>
    <w:rsid w:val="003E27B9"/>
    <w:rsid w:val="003E49F8"/>
    <w:rsid w:val="003E5109"/>
    <w:rsid w:val="003E60EE"/>
    <w:rsid w:val="003E6B48"/>
    <w:rsid w:val="003E6C2A"/>
    <w:rsid w:val="003E748F"/>
    <w:rsid w:val="003F3F47"/>
    <w:rsid w:val="003F6E0C"/>
    <w:rsid w:val="004003A8"/>
    <w:rsid w:val="004006CD"/>
    <w:rsid w:val="0040240E"/>
    <w:rsid w:val="00402756"/>
    <w:rsid w:val="00405B3A"/>
    <w:rsid w:val="004074DC"/>
    <w:rsid w:val="004111CC"/>
    <w:rsid w:val="004122A3"/>
    <w:rsid w:val="00416007"/>
    <w:rsid w:val="00416E8B"/>
    <w:rsid w:val="00420273"/>
    <w:rsid w:val="00420AA0"/>
    <w:rsid w:val="0042116C"/>
    <w:rsid w:val="00422D19"/>
    <w:rsid w:val="00422DFE"/>
    <w:rsid w:val="004231A9"/>
    <w:rsid w:val="00424D83"/>
    <w:rsid w:val="00424E29"/>
    <w:rsid w:val="00427D22"/>
    <w:rsid w:val="00427E2D"/>
    <w:rsid w:val="00432568"/>
    <w:rsid w:val="00436C7C"/>
    <w:rsid w:val="00437440"/>
    <w:rsid w:val="00440378"/>
    <w:rsid w:val="00442B53"/>
    <w:rsid w:val="00443256"/>
    <w:rsid w:val="00444D2D"/>
    <w:rsid w:val="0044716D"/>
    <w:rsid w:val="00450322"/>
    <w:rsid w:val="004510B1"/>
    <w:rsid w:val="00451C5D"/>
    <w:rsid w:val="00451D74"/>
    <w:rsid w:val="00452E73"/>
    <w:rsid w:val="004565EF"/>
    <w:rsid w:val="00457FF9"/>
    <w:rsid w:val="004601ED"/>
    <w:rsid w:val="00460711"/>
    <w:rsid w:val="0046108B"/>
    <w:rsid w:val="00463D7A"/>
    <w:rsid w:val="00467720"/>
    <w:rsid w:val="00467AE6"/>
    <w:rsid w:val="00467EC9"/>
    <w:rsid w:val="004724CB"/>
    <w:rsid w:val="00477791"/>
    <w:rsid w:val="00480286"/>
    <w:rsid w:val="00480441"/>
    <w:rsid w:val="00480C3B"/>
    <w:rsid w:val="00480FE3"/>
    <w:rsid w:val="00481C94"/>
    <w:rsid w:val="00484A8D"/>
    <w:rsid w:val="004859BA"/>
    <w:rsid w:val="00486A4E"/>
    <w:rsid w:val="00486B09"/>
    <w:rsid w:val="0049139F"/>
    <w:rsid w:val="00494F07"/>
    <w:rsid w:val="00496116"/>
    <w:rsid w:val="004965A0"/>
    <w:rsid w:val="00497335"/>
    <w:rsid w:val="004A05A7"/>
    <w:rsid w:val="004A3F98"/>
    <w:rsid w:val="004A5532"/>
    <w:rsid w:val="004A5958"/>
    <w:rsid w:val="004A76DF"/>
    <w:rsid w:val="004B0A75"/>
    <w:rsid w:val="004B15FD"/>
    <w:rsid w:val="004B2190"/>
    <w:rsid w:val="004B69B2"/>
    <w:rsid w:val="004B7507"/>
    <w:rsid w:val="004B7DC4"/>
    <w:rsid w:val="004B7F85"/>
    <w:rsid w:val="004C02E7"/>
    <w:rsid w:val="004C099B"/>
    <w:rsid w:val="004C42AE"/>
    <w:rsid w:val="004C49B0"/>
    <w:rsid w:val="004C4F53"/>
    <w:rsid w:val="004C4F7F"/>
    <w:rsid w:val="004C592E"/>
    <w:rsid w:val="004D050F"/>
    <w:rsid w:val="004D0E3A"/>
    <w:rsid w:val="004D1A73"/>
    <w:rsid w:val="004D48C2"/>
    <w:rsid w:val="004D67B1"/>
    <w:rsid w:val="004D7128"/>
    <w:rsid w:val="004D751D"/>
    <w:rsid w:val="004D7F5B"/>
    <w:rsid w:val="004E05C2"/>
    <w:rsid w:val="004E0B02"/>
    <w:rsid w:val="004E0C0D"/>
    <w:rsid w:val="004E1619"/>
    <w:rsid w:val="004E255F"/>
    <w:rsid w:val="004E4C2D"/>
    <w:rsid w:val="004F0539"/>
    <w:rsid w:val="004F10A4"/>
    <w:rsid w:val="004F342E"/>
    <w:rsid w:val="004F4C63"/>
    <w:rsid w:val="004F5AE6"/>
    <w:rsid w:val="004F5C19"/>
    <w:rsid w:val="004F77CB"/>
    <w:rsid w:val="004F7B6A"/>
    <w:rsid w:val="00500052"/>
    <w:rsid w:val="0050090F"/>
    <w:rsid w:val="0050208D"/>
    <w:rsid w:val="0050284B"/>
    <w:rsid w:val="00502F99"/>
    <w:rsid w:val="00503390"/>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4E27"/>
    <w:rsid w:val="00535DE0"/>
    <w:rsid w:val="00536973"/>
    <w:rsid w:val="00536C6B"/>
    <w:rsid w:val="00544652"/>
    <w:rsid w:val="0054625B"/>
    <w:rsid w:val="00546F16"/>
    <w:rsid w:val="00551539"/>
    <w:rsid w:val="00552EFE"/>
    <w:rsid w:val="00554ABB"/>
    <w:rsid w:val="0055552D"/>
    <w:rsid w:val="00555668"/>
    <w:rsid w:val="005566D2"/>
    <w:rsid w:val="0055679E"/>
    <w:rsid w:val="0056090D"/>
    <w:rsid w:val="00561E9C"/>
    <w:rsid w:val="00565C7A"/>
    <w:rsid w:val="0056771F"/>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32A5"/>
    <w:rsid w:val="005B44D9"/>
    <w:rsid w:val="005B750A"/>
    <w:rsid w:val="005C2B89"/>
    <w:rsid w:val="005C2FA7"/>
    <w:rsid w:val="005C386F"/>
    <w:rsid w:val="005C41E4"/>
    <w:rsid w:val="005C42AC"/>
    <w:rsid w:val="005C4D05"/>
    <w:rsid w:val="005C506B"/>
    <w:rsid w:val="005C71BF"/>
    <w:rsid w:val="005C723D"/>
    <w:rsid w:val="005C7601"/>
    <w:rsid w:val="005D1094"/>
    <w:rsid w:val="005D1822"/>
    <w:rsid w:val="005D3394"/>
    <w:rsid w:val="005D3989"/>
    <w:rsid w:val="005D42FF"/>
    <w:rsid w:val="005E2725"/>
    <w:rsid w:val="005E2AEF"/>
    <w:rsid w:val="005E65FA"/>
    <w:rsid w:val="005F19CE"/>
    <w:rsid w:val="005F28F4"/>
    <w:rsid w:val="005F43BB"/>
    <w:rsid w:val="005F503E"/>
    <w:rsid w:val="005F53C3"/>
    <w:rsid w:val="005F6CB3"/>
    <w:rsid w:val="005F7612"/>
    <w:rsid w:val="005F7663"/>
    <w:rsid w:val="005F7D63"/>
    <w:rsid w:val="00607170"/>
    <w:rsid w:val="00607408"/>
    <w:rsid w:val="00610AEE"/>
    <w:rsid w:val="0061295F"/>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4945"/>
    <w:rsid w:val="00656797"/>
    <w:rsid w:val="00656B2C"/>
    <w:rsid w:val="006571EC"/>
    <w:rsid w:val="0066086B"/>
    <w:rsid w:val="00660A8C"/>
    <w:rsid w:val="00661D0E"/>
    <w:rsid w:val="006632B2"/>
    <w:rsid w:val="00664084"/>
    <w:rsid w:val="0066445E"/>
    <w:rsid w:val="00667045"/>
    <w:rsid w:val="00670A00"/>
    <w:rsid w:val="00670C23"/>
    <w:rsid w:val="00672B86"/>
    <w:rsid w:val="00673031"/>
    <w:rsid w:val="00673EB3"/>
    <w:rsid w:val="00680BE8"/>
    <w:rsid w:val="00680CC6"/>
    <w:rsid w:val="0068625B"/>
    <w:rsid w:val="00686409"/>
    <w:rsid w:val="00686D19"/>
    <w:rsid w:val="0068777F"/>
    <w:rsid w:val="00690564"/>
    <w:rsid w:val="00693018"/>
    <w:rsid w:val="006A0059"/>
    <w:rsid w:val="006A7425"/>
    <w:rsid w:val="006B058A"/>
    <w:rsid w:val="006B0AC3"/>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11AD"/>
    <w:rsid w:val="00723A0F"/>
    <w:rsid w:val="00726CB6"/>
    <w:rsid w:val="00727255"/>
    <w:rsid w:val="0072779B"/>
    <w:rsid w:val="00727CCF"/>
    <w:rsid w:val="007318D2"/>
    <w:rsid w:val="0073446D"/>
    <w:rsid w:val="00734809"/>
    <w:rsid w:val="007349FF"/>
    <w:rsid w:val="00734B45"/>
    <w:rsid w:val="00735627"/>
    <w:rsid w:val="007358A5"/>
    <w:rsid w:val="00736FFB"/>
    <w:rsid w:val="00740080"/>
    <w:rsid w:val="00741A30"/>
    <w:rsid w:val="00745626"/>
    <w:rsid w:val="007504DC"/>
    <w:rsid w:val="0075142F"/>
    <w:rsid w:val="00751965"/>
    <w:rsid w:val="007524EF"/>
    <w:rsid w:val="00752689"/>
    <w:rsid w:val="00756D1D"/>
    <w:rsid w:val="00760886"/>
    <w:rsid w:val="007615CA"/>
    <w:rsid w:val="00761ADD"/>
    <w:rsid w:val="00762B3A"/>
    <w:rsid w:val="00765CC5"/>
    <w:rsid w:val="00765D6E"/>
    <w:rsid w:val="00765D7E"/>
    <w:rsid w:val="007674B6"/>
    <w:rsid w:val="00770E90"/>
    <w:rsid w:val="00772C42"/>
    <w:rsid w:val="0077302F"/>
    <w:rsid w:val="00773661"/>
    <w:rsid w:val="00774A61"/>
    <w:rsid w:val="00774E08"/>
    <w:rsid w:val="00774E72"/>
    <w:rsid w:val="0077746F"/>
    <w:rsid w:val="007775FE"/>
    <w:rsid w:val="00780A5F"/>
    <w:rsid w:val="00780EBF"/>
    <w:rsid w:val="00784913"/>
    <w:rsid w:val="00785B90"/>
    <w:rsid w:val="0078639C"/>
    <w:rsid w:val="007913D3"/>
    <w:rsid w:val="00792428"/>
    <w:rsid w:val="0079790C"/>
    <w:rsid w:val="007A102A"/>
    <w:rsid w:val="007A15E6"/>
    <w:rsid w:val="007A194B"/>
    <w:rsid w:val="007A4113"/>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5F6E"/>
    <w:rsid w:val="007C668F"/>
    <w:rsid w:val="007C723F"/>
    <w:rsid w:val="007C778D"/>
    <w:rsid w:val="007D0785"/>
    <w:rsid w:val="007D07D6"/>
    <w:rsid w:val="007D18A6"/>
    <w:rsid w:val="007D1CA0"/>
    <w:rsid w:val="007D2DF5"/>
    <w:rsid w:val="007D4994"/>
    <w:rsid w:val="007D4BB3"/>
    <w:rsid w:val="007D4F6E"/>
    <w:rsid w:val="007D5ECD"/>
    <w:rsid w:val="007D61CA"/>
    <w:rsid w:val="007D6DCF"/>
    <w:rsid w:val="007D6F0D"/>
    <w:rsid w:val="007D7963"/>
    <w:rsid w:val="007E3532"/>
    <w:rsid w:val="007E40F5"/>
    <w:rsid w:val="007E5FE3"/>
    <w:rsid w:val="007E64DF"/>
    <w:rsid w:val="007E657D"/>
    <w:rsid w:val="007E682C"/>
    <w:rsid w:val="007E7119"/>
    <w:rsid w:val="007E71BB"/>
    <w:rsid w:val="007E7B90"/>
    <w:rsid w:val="007E7C13"/>
    <w:rsid w:val="007F2464"/>
    <w:rsid w:val="007F4A64"/>
    <w:rsid w:val="007F4ADE"/>
    <w:rsid w:val="007F5A5A"/>
    <w:rsid w:val="007F5EDC"/>
    <w:rsid w:val="00800AFD"/>
    <w:rsid w:val="00800C1B"/>
    <w:rsid w:val="0080239D"/>
    <w:rsid w:val="00803CF3"/>
    <w:rsid w:val="0080591C"/>
    <w:rsid w:val="00806EAB"/>
    <w:rsid w:val="00810E52"/>
    <w:rsid w:val="00811CA7"/>
    <w:rsid w:val="0081636E"/>
    <w:rsid w:val="00817D05"/>
    <w:rsid w:val="00820915"/>
    <w:rsid w:val="0082112E"/>
    <w:rsid w:val="00822F2B"/>
    <w:rsid w:val="00823D9A"/>
    <w:rsid w:val="008243CB"/>
    <w:rsid w:val="00827EA4"/>
    <w:rsid w:val="008301D6"/>
    <w:rsid w:val="008305B7"/>
    <w:rsid w:val="00830C78"/>
    <w:rsid w:val="00830FB9"/>
    <w:rsid w:val="00833B2C"/>
    <w:rsid w:val="00834968"/>
    <w:rsid w:val="00834B53"/>
    <w:rsid w:val="00840298"/>
    <w:rsid w:val="00841BE4"/>
    <w:rsid w:val="00841E4B"/>
    <w:rsid w:val="00845A53"/>
    <w:rsid w:val="00847E8C"/>
    <w:rsid w:val="008505E1"/>
    <w:rsid w:val="00850B19"/>
    <w:rsid w:val="0085141E"/>
    <w:rsid w:val="00852488"/>
    <w:rsid w:val="0085405E"/>
    <w:rsid w:val="008571DD"/>
    <w:rsid w:val="0085772E"/>
    <w:rsid w:val="008600C8"/>
    <w:rsid w:val="00860344"/>
    <w:rsid w:val="00860E2C"/>
    <w:rsid w:val="00864BC6"/>
    <w:rsid w:val="00865EE6"/>
    <w:rsid w:val="00870D23"/>
    <w:rsid w:val="00872B72"/>
    <w:rsid w:val="00873022"/>
    <w:rsid w:val="00876468"/>
    <w:rsid w:val="008767E1"/>
    <w:rsid w:val="00876CC7"/>
    <w:rsid w:val="008823E4"/>
    <w:rsid w:val="008837C4"/>
    <w:rsid w:val="008843A0"/>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3B7C"/>
    <w:rsid w:val="008B5874"/>
    <w:rsid w:val="008B58C4"/>
    <w:rsid w:val="008B6CD2"/>
    <w:rsid w:val="008B72DD"/>
    <w:rsid w:val="008B777B"/>
    <w:rsid w:val="008C050B"/>
    <w:rsid w:val="008C1132"/>
    <w:rsid w:val="008C302A"/>
    <w:rsid w:val="008C3E42"/>
    <w:rsid w:val="008C4B72"/>
    <w:rsid w:val="008C5279"/>
    <w:rsid w:val="008C527D"/>
    <w:rsid w:val="008C5C9F"/>
    <w:rsid w:val="008C6773"/>
    <w:rsid w:val="008C72BB"/>
    <w:rsid w:val="008C797F"/>
    <w:rsid w:val="008D140C"/>
    <w:rsid w:val="008D1AD0"/>
    <w:rsid w:val="008D2BAE"/>
    <w:rsid w:val="008D2C9E"/>
    <w:rsid w:val="008D41F5"/>
    <w:rsid w:val="008D4652"/>
    <w:rsid w:val="008D5116"/>
    <w:rsid w:val="008D521F"/>
    <w:rsid w:val="008D5C06"/>
    <w:rsid w:val="008D6227"/>
    <w:rsid w:val="008D6E11"/>
    <w:rsid w:val="008D7A8B"/>
    <w:rsid w:val="008E41D3"/>
    <w:rsid w:val="008E43F1"/>
    <w:rsid w:val="008E4A84"/>
    <w:rsid w:val="008E594F"/>
    <w:rsid w:val="008E7312"/>
    <w:rsid w:val="008F297F"/>
    <w:rsid w:val="008F447E"/>
    <w:rsid w:val="0090308D"/>
    <w:rsid w:val="00904BA9"/>
    <w:rsid w:val="00904E7E"/>
    <w:rsid w:val="0091086B"/>
    <w:rsid w:val="00911129"/>
    <w:rsid w:val="00912EA3"/>
    <w:rsid w:val="00914B6E"/>
    <w:rsid w:val="009156A2"/>
    <w:rsid w:val="0091579A"/>
    <w:rsid w:val="0091615D"/>
    <w:rsid w:val="00923F7E"/>
    <w:rsid w:val="00924C96"/>
    <w:rsid w:val="00924E71"/>
    <w:rsid w:val="00925030"/>
    <w:rsid w:val="00925B32"/>
    <w:rsid w:val="0092604E"/>
    <w:rsid w:val="00930A64"/>
    <w:rsid w:val="00930BE5"/>
    <w:rsid w:val="00931403"/>
    <w:rsid w:val="00932092"/>
    <w:rsid w:val="00934991"/>
    <w:rsid w:val="009351A7"/>
    <w:rsid w:val="00936C1D"/>
    <w:rsid w:val="00937BA0"/>
    <w:rsid w:val="009426B9"/>
    <w:rsid w:val="00944E85"/>
    <w:rsid w:val="0094634C"/>
    <w:rsid w:val="009463AB"/>
    <w:rsid w:val="00950239"/>
    <w:rsid w:val="00950332"/>
    <w:rsid w:val="00950961"/>
    <w:rsid w:val="00954E9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4A1C"/>
    <w:rsid w:val="009753A0"/>
    <w:rsid w:val="009768E2"/>
    <w:rsid w:val="00977437"/>
    <w:rsid w:val="00977C89"/>
    <w:rsid w:val="00980AB3"/>
    <w:rsid w:val="00982630"/>
    <w:rsid w:val="009826EF"/>
    <w:rsid w:val="0098293F"/>
    <w:rsid w:val="00983DAC"/>
    <w:rsid w:val="009848CB"/>
    <w:rsid w:val="00984D10"/>
    <w:rsid w:val="0098600B"/>
    <w:rsid w:val="009861C1"/>
    <w:rsid w:val="009862BA"/>
    <w:rsid w:val="00987177"/>
    <w:rsid w:val="00987F11"/>
    <w:rsid w:val="0099128D"/>
    <w:rsid w:val="009917F1"/>
    <w:rsid w:val="00991E37"/>
    <w:rsid w:val="00991E74"/>
    <w:rsid w:val="009926A6"/>
    <w:rsid w:val="0099415E"/>
    <w:rsid w:val="009948BF"/>
    <w:rsid w:val="00997844"/>
    <w:rsid w:val="009978C2"/>
    <w:rsid w:val="009A15EE"/>
    <w:rsid w:val="009A345F"/>
    <w:rsid w:val="009A37C6"/>
    <w:rsid w:val="009A4AE5"/>
    <w:rsid w:val="009A5218"/>
    <w:rsid w:val="009A6806"/>
    <w:rsid w:val="009A7A25"/>
    <w:rsid w:val="009B1717"/>
    <w:rsid w:val="009B22D2"/>
    <w:rsid w:val="009B2839"/>
    <w:rsid w:val="009B4182"/>
    <w:rsid w:val="009B4C17"/>
    <w:rsid w:val="009B5BF6"/>
    <w:rsid w:val="009C1C79"/>
    <w:rsid w:val="009C339C"/>
    <w:rsid w:val="009C33B8"/>
    <w:rsid w:val="009D07A0"/>
    <w:rsid w:val="009D107D"/>
    <w:rsid w:val="009D1871"/>
    <w:rsid w:val="009D213E"/>
    <w:rsid w:val="009D2985"/>
    <w:rsid w:val="009D3033"/>
    <w:rsid w:val="009D53C9"/>
    <w:rsid w:val="009D5770"/>
    <w:rsid w:val="009D6AF5"/>
    <w:rsid w:val="009D6CF1"/>
    <w:rsid w:val="009D74BA"/>
    <w:rsid w:val="009E0874"/>
    <w:rsid w:val="009E1A16"/>
    <w:rsid w:val="009E2045"/>
    <w:rsid w:val="009E26E0"/>
    <w:rsid w:val="009E4A84"/>
    <w:rsid w:val="009E5228"/>
    <w:rsid w:val="009E6973"/>
    <w:rsid w:val="009F0466"/>
    <w:rsid w:val="009F4200"/>
    <w:rsid w:val="009F4933"/>
    <w:rsid w:val="009F4D5D"/>
    <w:rsid w:val="009F5FD0"/>
    <w:rsid w:val="009F6DD5"/>
    <w:rsid w:val="009F7B12"/>
    <w:rsid w:val="00A020A2"/>
    <w:rsid w:val="00A02291"/>
    <w:rsid w:val="00A0297B"/>
    <w:rsid w:val="00A0358E"/>
    <w:rsid w:val="00A049F9"/>
    <w:rsid w:val="00A0529B"/>
    <w:rsid w:val="00A0766F"/>
    <w:rsid w:val="00A102C4"/>
    <w:rsid w:val="00A10713"/>
    <w:rsid w:val="00A1252C"/>
    <w:rsid w:val="00A13B8B"/>
    <w:rsid w:val="00A151B7"/>
    <w:rsid w:val="00A21225"/>
    <w:rsid w:val="00A2139C"/>
    <w:rsid w:val="00A21494"/>
    <w:rsid w:val="00A218F9"/>
    <w:rsid w:val="00A21E37"/>
    <w:rsid w:val="00A23314"/>
    <w:rsid w:val="00A235BB"/>
    <w:rsid w:val="00A23F10"/>
    <w:rsid w:val="00A23F72"/>
    <w:rsid w:val="00A26AB8"/>
    <w:rsid w:val="00A322BF"/>
    <w:rsid w:val="00A3373F"/>
    <w:rsid w:val="00A33F51"/>
    <w:rsid w:val="00A349DF"/>
    <w:rsid w:val="00A36AB3"/>
    <w:rsid w:val="00A37B88"/>
    <w:rsid w:val="00A37F1E"/>
    <w:rsid w:val="00A40311"/>
    <w:rsid w:val="00A41032"/>
    <w:rsid w:val="00A4106C"/>
    <w:rsid w:val="00A428E7"/>
    <w:rsid w:val="00A4368D"/>
    <w:rsid w:val="00A43E49"/>
    <w:rsid w:val="00A44018"/>
    <w:rsid w:val="00A45DE9"/>
    <w:rsid w:val="00A47471"/>
    <w:rsid w:val="00A47E22"/>
    <w:rsid w:val="00A47ED0"/>
    <w:rsid w:val="00A509EA"/>
    <w:rsid w:val="00A51476"/>
    <w:rsid w:val="00A526D2"/>
    <w:rsid w:val="00A53F1E"/>
    <w:rsid w:val="00A54412"/>
    <w:rsid w:val="00A5498B"/>
    <w:rsid w:val="00A54C9F"/>
    <w:rsid w:val="00A550C8"/>
    <w:rsid w:val="00A5564C"/>
    <w:rsid w:val="00A559EC"/>
    <w:rsid w:val="00A569F8"/>
    <w:rsid w:val="00A56E60"/>
    <w:rsid w:val="00A571B3"/>
    <w:rsid w:val="00A626B5"/>
    <w:rsid w:val="00A62DF0"/>
    <w:rsid w:val="00A63620"/>
    <w:rsid w:val="00A63ECE"/>
    <w:rsid w:val="00A64542"/>
    <w:rsid w:val="00A65003"/>
    <w:rsid w:val="00A656EC"/>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87D5E"/>
    <w:rsid w:val="00A90009"/>
    <w:rsid w:val="00A927A4"/>
    <w:rsid w:val="00A928B5"/>
    <w:rsid w:val="00A94CC0"/>
    <w:rsid w:val="00A9534A"/>
    <w:rsid w:val="00A957FA"/>
    <w:rsid w:val="00A968DC"/>
    <w:rsid w:val="00A977BA"/>
    <w:rsid w:val="00AA08CD"/>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5922"/>
    <w:rsid w:val="00AD7390"/>
    <w:rsid w:val="00AD7E6F"/>
    <w:rsid w:val="00AE1BD8"/>
    <w:rsid w:val="00AE2817"/>
    <w:rsid w:val="00AE304B"/>
    <w:rsid w:val="00AE3344"/>
    <w:rsid w:val="00AE3D3E"/>
    <w:rsid w:val="00AE49B2"/>
    <w:rsid w:val="00AE4A3A"/>
    <w:rsid w:val="00AE6BEB"/>
    <w:rsid w:val="00AE7789"/>
    <w:rsid w:val="00AF32EA"/>
    <w:rsid w:val="00AF3DED"/>
    <w:rsid w:val="00AF48B1"/>
    <w:rsid w:val="00AF4FB8"/>
    <w:rsid w:val="00AF6713"/>
    <w:rsid w:val="00AF6BD6"/>
    <w:rsid w:val="00AF753A"/>
    <w:rsid w:val="00AF7C36"/>
    <w:rsid w:val="00B021ED"/>
    <w:rsid w:val="00B0250D"/>
    <w:rsid w:val="00B032B1"/>
    <w:rsid w:val="00B03DEA"/>
    <w:rsid w:val="00B03F46"/>
    <w:rsid w:val="00B059B8"/>
    <w:rsid w:val="00B07418"/>
    <w:rsid w:val="00B11547"/>
    <w:rsid w:val="00B11EF0"/>
    <w:rsid w:val="00B1226C"/>
    <w:rsid w:val="00B12386"/>
    <w:rsid w:val="00B14F05"/>
    <w:rsid w:val="00B15D01"/>
    <w:rsid w:val="00B20EBF"/>
    <w:rsid w:val="00B21AE0"/>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169"/>
    <w:rsid w:val="00B553F8"/>
    <w:rsid w:val="00B560B6"/>
    <w:rsid w:val="00B5630E"/>
    <w:rsid w:val="00B62C2E"/>
    <w:rsid w:val="00B62FB6"/>
    <w:rsid w:val="00B635BF"/>
    <w:rsid w:val="00B7050A"/>
    <w:rsid w:val="00B70904"/>
    <w:rsid w:val="00B70A42"/>
    <w:rsid w:val="00B72E5F"/>
    <w:rsid w:val="00B74791"/>
    <w:rsid w:val="00B76AF9"/>
    <w:rsid w:val="00B772F4"/>
    <w:rsid w:val="00B8072E"/>
    <w:rsid w:val="00B8115B"/>
    <w:rsid w:val="00B81AE2"/>
    <w:rsid w:val="00B82D30"/>
    <w:rsid w:val="00B84563"/>
    <w:rsid w:val="00B85E85"/>
    <w:rsid w:val="00B8746C"/>
    <w:rsid w:val="00B87F62"/>
    <w:rsid w:val="00B914A4"/>
    <w:rsid w:val="00B92497"/>
    <w:rsid w:val="00B92D41"/>
    <w:rsid w:val="00B93679"/>
    <w:rsid w:val="00B9422D"/>
    <w:rsid w:val="00B942CE"/>
    <w:rsid w:val="00B942E9"/>
    <w:rsid w:val="00B944D1"/>
    <w:rsid w:val="00B95A1D"/>
    <w:rsid w:val="00B9634B"/>
    <w:rsid w:val="00B974D8"/>
    <w:rsid w:val="00BA5072"/>
    <w:rsid w:val="00BA5B65"/>
    <w:rsid w:val="00BA7BFE"/>
    <w:rsid w:val="00BB06A6"/>
    <w:rsid w:val="00BB0ECA"/>
    <w:rsid w:val="00BB246B"/>
    <w:rsid w:val="00BB4F04"/>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0181"/>
    <w:rsid w:val="00BF1682"/>
    <w:rsid w:val="00BF241A"/>
    <w:rsid w:val="00BF30DC"/>
    <w:rsid w:val="00BF3AFB"/>
    <w:rsid w:val="00BF3DD2"/>
    <w:rsid w:val="00BF4344"/>
    <w:rsid w:val="00BF6970"/>
    <w:rsid w:val="00BF69C6"/>
    <w:rsid w:val="00C005D8"/>
    <w:rsid w:val="00C00EAA"/>
    <w:rsid w:val="00C02F31"/>
    <w:rsid w:val="00C04DA5"/>
    <w:rsid w:val="00C050FC"/>
    <w:rsid w:val="00C05D40"/>
    <w:rsid w:val="00C11905"/>
    <w:rsid w:val="00C14462"/>
    <w:rsid w:val="00C16542"/>
    <w:rsid w:val="00C20342"/>
    <w:rsid w:val="00C22382"/>
    <w:rsid w:val="00C2355B"/>
    <w:rsid w:val="00C274A6"/>
    <w:rsid w:val="00C34201"/>
    <w:rsid w:val="00C35A38"/>
    <w:rsid w:val="00C35EC9"/>
    <w:rsid w:val="00C36807"/>
    <w:rsid w:val="00C37392"/>
    <w:rsid w:val="00C41545"/>
    <w:rsid w:val="00C4209D"/>
    <w:rsid w:val="00C420EC"/>
    <w:rsid w:val="00C42748"/>
    <w:rsid w:val="00C432B3"/>
    <w:rsid w:val="00C45D46"/>
    <w:rsid w:val="00C4771E"/>
    <w:rsid w:val="00C47D15"/>
    <w:rsid w:val="00C50279"/>
    <w:rsid w:val="00C505EC"/>
    <w:rsid w:val="00C5165A"/>
    <w:rsid w:val="00C52841"/>
    <w:rsid w:val="00C54FC6"/>
    <w:rsid w:val="00C56F88"/>
    <w:rsid w:val="00C57B7E"/>
    <w:rsid w:val="00C60217"/>
    <w:rsid w:val="00C6287E"/>
    <w:rsid w:val="00C668D6"/>
    <w:rsid w:val="00C66D15"/>
    <w:rsid w:val="00C66E0F"/>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864"/>
    <w:rsid w:val="00CC0EC0"/>
    <w:rsid w:val="00CC34DB"/>
    <w:rsid w:val="00CC51AC"/>
    <w:rsid w:val="00CC609D"/>
    <w:rsid w:val="00CC7044"/>
    <w:rsid w:val="00CD11FF"/>
    <w:rsid w:val="00CD15E7"/>
    <w:rsid w:val="00CD5FDA"/>
    <w:rsid w:val="00CD636A"/>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39B3"/>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6C86"/>
    <w:rsid w:val="00D47345"/>
    <w:rsid w:val="00D5073F"/>
    <w:rsid w:val="00D51573"/>
    <w:rsid w:val="00D5358E"/>
    <w:rsid w:val="00D5399A"/>
    <w:rsid w:val="00D53E35"/>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11B"/>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6D79"/>
    <w:rsid w:val="00DA7D5F"/>
    <w:rsid w:val="00DB053E"/>
    <w:rsid w:val="00DB11B2"/>
    <w:rsid w:val="00DB161E"/>
    <w:rsid w:val="00DB31B5"/>
    <w:rsid w:val="00DB4AAC"/>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3915"/>
    <w:rsid w:val="00DF4CE3"/>
    <w:rsid w:val="00DF503A"/>
    <w:rsid w:val="00DF6B91"/>
    <w:rsid w:val="00DF6C58"/>
    <w:rsid w:val="00E001C1"/>
    <w:rsid w:val="00E039F3"/>
    <w:rsid w:val="00E03C30"/>
    <w:rsid w:val="00E051D4"/>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325F"/>
    <w:rsid w:val="00E44D19"/>
    <w:rsid w:val="00E51372"/>
    <w:rsid w:val="00E51CAF"/>
    <w:rsid w:val="00E51E95"/>
    <w:rsid w:val="00E51F9D"/>
    <w:rsid w:val="00E5202F"/>
    <w:rsid w:val="00E5211A"/>
    <w:rsid w:val="00E53A9F"/>
    <w:rsid w:val="00E549AF"/>
    <w:rsid w:val="00E60540"/>
    <w:rsid w:val="00E61C74"/>
    <w:rsid w:val="00E63021"/>
    <w:rsid w:val="00E63D8F"/>
    <w:rsid w:val="00E706B6"/>
    <w:rsid w:val="00E76B6A"/>
    <w:rsid w:val="00E76FF1"/>
    <w:rsid w:val="00E774FE"/>
    <w:rsid w:val="00E809A0"/>
    <w:rsid w:val="00E80AF7"/>
    <w:rsid w:val="00E84407"/>
    <w:rsid w:val="00E85E54"/>
    <w:rsid w:val="00E86146"/>
    <w:rsid w:val="00E86A76"/>
    <w:rsid w:val="00E87A90"/>
    <w:rsid w:val="00E904D1"/>
    <w:rsid w:val="00E91D98"/>
    <w:rsid w:val="00E92425"/>
    <w:rsid w:val="00E92AD3"/>
    <w:rsid w:val="00E959EA"/>
    <w:rsid w:val="00E96237"/>
    <w:rsid w:val="00E965D7"/>
    <w:rsid w:val="00E96D30"/>
    <w:rsid w:val="00E970F8"/>
    <w:rsid w:val="00EA1327"/>
    <w:rsid w:val="00EA19F0"/>
    <w:rsid w:val="00EA623C"/>
    <w:rsid w:val="00EA6395"/>
    <w:rsid w:val="00EA7AA2"/>
    <w:rsid w:val="00EB044B"/>
    <w:rsid w:val="00EB067C"/>
    <w:rsid w:val="00EB3C66"/>
    <w:rsid w:val="00EB3DC6"/>
    <w:rsid w:val="00EB4B03"/>
    <w:rsid w:val="00EB4B7F"/>
    <w:rsid w:val="00EB5DEE"/>
    <w:rsid w:val="00EB64CB"/>
    <w:rsid w:val="00EB6D46"/>
    <w:rsid w:val="00EC07F3"/>
    <w:rsid w:val="00EC0E59"/>
    <w:rsid w:val="00EC3194"/>
    <w:rsid w:val="00EC518D"/>
    <w:rsid w:val="00EC71D3"/>
    <w:rsid w:val="00ED02FE"/>
    <w:rsid w:val="00ED1EC9"/>
    <w:rsid w:val="00ED3737"/>
    <w:rsid w:val="00ED3856"/>
    <w:rsid w:val="00ED3E2E"/>
    <w:rsid w:val="00ED4CC8"/>
    <w:rsid w:val="00ED5EAB"/>
    <w:rsid w:val="00ED6A08"/>
    <w:rsid w:val="00ED7A60"/>
    <w:rsid w:val="00EE05EE"/>
    <w:rsid w:val="00EE0AE2"/>
    <w:rsid w:val="00EE14BB"/>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22F"/>
    <w:rsid w:val="00F176A0"/>
    <w:rsid w:val="00F20174"/>
    <w:rsid w:val="00F2036D"/>
    <w:rsid w:val="00F21584"/>
    <w:rsid w:val="00F22098"/>
    <w:rsid w:val="00F223BC"/>
    <w:rsid w:val="00F23780"/>
    <w:rsid w:val="00F26185"/>
    <w:rsid w:val="00F30A06"/>
    <w:rsid w:val="00F3178C"/>
    <w:rsid w:val="00F33DE5"/>
    <w:rsid w:val="00F34B8F"/>
    <w:rsid w:val="00F36D7F"/>
    <w:rsid w:val="00F37186"/>
    <w:rsid w:val="00F42FCF"/>
    <w:rsid w:val="00F44A83"/>
    <w:rsid w:val="00F51743"/>
    <w:rsid w:val="00F529D4"/>
    <w:rsid w:val="00F54F27"/>
    <w:rsid w:val="00F55FC8"/>
    <w:rsid w:val="00F604E3"/>
    <w:rsid w:val="00F610E6"/>
    <w:rsid w:val="00F61ED0"/>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5FC2"/>
    <w:rsid w:val="00F9793B"/>
    <w:rsid w:val="00FA0EAA"/>
    <w:rsid w:val="00FA0F53"/>
    <w:rsid w:val="00FA1DA9"/>
    <w:rsid w:val="00FA3809"/>
    <w:rsid w:val="00FA3A95"/>
    <w:rsid w:val="00FA6D7E"/>
    <w:rsid w:val="00FB020D"/>
    <w:rsid w:val="00FB3F33"/>
    <w:rsid w:val="00FB43E4"/>
    <w:rsid w:val="00FB4889"/>
    <w:rsid w:val="00FB59B0"/>
    <w:rsid w:val="00FB676C"/>
    <w:rsid w:val="00FB67CC"/>
    <w:rsid w:val="00FB6EE5"/>
    <w:rsid w:val="00FB728E"/>
    <w:rsid w:val="00FC0ADE"/>
    <w:rsid w:val="00FC0FF1"/>
    <w:rsid w:val="00FC1FDF"/>
    <w:rsid w:val="00FC3360"/>
    <w:rsid w:val="00FC3E27"/>
    <w:rsid w:val="00FC493B"/>
    <w:rsid w:val="00FC63E5"/>
    <w:rsid w:val="00FC6674"/>
    <w:rsid w:val="00FD0E54"/>
    <w:rsid w:val="00FD15A8"/>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63AD"/>
    <w:rsid w:val="00FF76BD"/>
    <w:rsid w:val="032134EE"/>
    <w:rsid w:val="06384DA7"/>
    <w:rsid w:val="28542D48"/>
    <w:rsid w:val="2AC212E6"/>
    <w:rsid w:val="32F60ACD"/>
    <w:rsid w:val="423A3537"/>
    <w:rsid w:val="51F81C2D"/>
    <w:rsid w:val="53B11BD1"/>
    <w:rsid w:val="5E607822"/>
    <w:rsid w:val="6F425363"/>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semiHidden="0" w:name="macro"/>
    <w:lsdException w:uiPriority="0" w:name="toa heading"/>
    <w:lsdException w:uiPriority="0" w:name="List"/>
    <w:lsdException w:unhideWhenUsed="0" w:uiPriority="0" w:semiHidden="0" w:name="List Bullet"/>
    <w:lsdException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link w:val="49"/>
    <w:qFormat/>
    <w:uiPriority w:val="0"/>
    <w:pPr>
      <w:keepNext/>
      <w:spacing w:before="240" w:after="60"/>
      <w:outlineLvl w:val="3"/>
    </w:pPr>
    <w:rPr>
      <w:b/>
      <w:i/>
    </w:rPr>
  </w:style>
  <w:style w:type="character" w:default="1" w:styleId="17">
    <w:name w:val="Default Paragraph Font"/>
    <w:unhideWhenUsed/>
    <w:uiPriority w:val="1"/>
  </w:style>
  <w:style w:type="table" w:default="1" w:styleId="22">
    <w:name w:val="Normal Table"/>
    <w:unhideWhenUsed/>
    <w:uiPriority w:val="99"/>
    <w:tblPr>
      <w:tblStyle w:val="22"/>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9"/>
    <w:semiHidden/>
    <w:qFormat/>
    <w:uiPriority w:val="99"/>
  </w:style>
  <w:style w:type="paragraph" w:styleId="8">
    <w:name w:val="Body Text 3"/>
    <w:basedOn w:val="1"/>
    <w:qFormat/>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Body Text Indent 2"/>
    <w:basedOn w:val="1"/>
    <w:uiPriority w:val="0"/>
    <w:pPr>
      <w:spacing w:after="120" w:line="480" w:lineRule="auto"/>
      <w:ind w:left="420" w:leftChars="200"/>
    </w:pPr>
  </w:style>
  <w:style w:type="paragraph" w:styleId="12">
    <w:name w:val="Balloon Text"/>
    <w:basedOn w:val="1"/>
    <w:link w:val="50"/>
    <w:semiHidden/>
    <w:qFormat/>
    <w:uiPriority w:val="0"/>
    <w:rPr>
      <w:sz w:val="18"/>
      <w:szCs w:val="18"/>
    </w:rPr>
  </w:style>
  <w:style w:type="paragraph" w:styleId="13">
    <w:name w:val="footer"/>
    <w:basedOn w:val="1"/>
    <w:link w:val="40"/>
    <w:uiPriority w:val="99"/>
    <w:pPr>
      <w:tabs>
        <w:tab w:val="center" w:pos="4320"/>
        <w:tab w:val="right" w:pos="8640"/>
      </w:tabs>
    </w:pPr>
  </w:style>
  <w:style w:type="paragraph" w:styleId="14">
    <w:name w:val="header"/>
    <w:basedOn w:val="1"/>
    <w:link w:val="38"/>
    <w:qFormat/>
    <w:uiPriority w:val="0"/>
    <w:pPr>
      <w:tabs>
        <w:tab w:val="center" w:pos="4320"/>
        <w:tab w:val="right" w:pos="8640"/>
      </w:tabs>
    </w:pPr>
  </w:style>
  <w:style w:type="paragraph" w:styleId="15">
    <w:name w:val="Normal (Web)"/>
    <w:basedOn w:val="1"/>
    <w:unhideWhenUsed/>
    <w:uiPriority w:val="99"/>
    <w:pPr>
      <w:adjustRightInd/>
      <w:spacing w:before="100" w:beforeAutospacing="1" w:after="100" w:afterAutospacing="1"/>
      <w:textAlignment w:val="auto"/>
    </w:pPr>
    <w:rPr>
      <w:rFonts w:ascii="宋体" w:hAnsi="宋体" w:cs="宋体"/>
      <w:sz w:val="24"/>
      <w:szCs w:val="24"/>
      <w:lang w:val="en-US" w:eastAsia="zh-CN"/>
    </w:rPr>
  </w:style>
  <w:style w:type="paragraph" w:styleId="16">
    <w:name w:val="Title"/>
    <w:basedOn w:val="1"/>
    <w:next w:val="1"/>
    <w:link w:val="47"/>
    <w:qFormat/>
    <w:uiPriority w:val="0"/>
    <w:pPr>
      <w:spacing w:before="240" w:after="60"/>
      <w:jc w:val="center"/>
      <w:outlineLvl w:val="0"/>
    </w:pPr>
    <w:rPr>
      <w:rFonts w:ascii="Calibri Light" w:hAnsi="Calibri Light"/>
      <w:b/>
      <w:bCs/>
      <w:sz w:val="32"/>
      <w:szCs w:val="32"/>
    </w:rPr>
  </w:style>
  <w:style w:type="character" w:styleId="18">
    <w:name w:val="Strong"/>
    <w:basedOn w:val="17"/>
    <w:qFormat/>
    <w:uiPriority w:val="0"/>
    <w:rPr>
      <w:b/>
    </w:rPr>
  </w:style>
  <w:style w:type="character" w:styleId="19">
    <w:name w:val="page number"/>
    <w:basedOn w:val="17"/>
    <w:qFormat/>
    <w:uiPriority w:val="0"/>
    <w:rPr/>
  </w:style>
  <w:style w:type="character" w:styleId="20">
    <w:name w:val="Hyperlink"/>
    <w:qFormat/>
    <w:uiPriority w:val="99"/>
    <w:rPr>
      <w:color w:val="0000FF"/>
      <w:u w:val="single"/>
    </w:rPr>
  </w:style>
  <w:style w:type="character" w:styleId="21">
    <w:name w:val="annotation reference"/>
    <w:semiHidden/>
    <w:qFormat/>
    <w:uiPriority w:val="0"/>
    <w:rPr>
      <w:sz w:val="21"/>
      <w:szCs w:val="21"/>
    </w:rPr>
  </w:style>
  <w:style w:type="table" w:styleId="23">
    <w:name w:val="Table Grid"/>
    <w:basedOn w:val="22"/>
    <w:qFormat/>
    <w:uiPriority w:val="59"/>
    <w:pPr>
      <w:overflowPunct w:val="0"/>
      <w:autoSpaceDE w:val="0"/>
      <w:autoSpaceDN w:val="0"/>
      <w:adjustRightInd w:val="0"/>
      <w:textAlignment w:val="baseline"/>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4">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5">
    <w:name w:val="Default Text"/>
    <w:basedOn w:val="1"/>
    <w:qFormat/>
    <w:uiPriority w:val="0"/>
    <w:pPr>
      <w:textAlignment w:val="auto"/>
    </w:pPr>
    <w:rPr>
      <w:rFonts w:ascii="Arial" w:hAnsi="Arial"/>
      <w:szCs w:val="24"/>
      <w:lang w:val="en-US"/>
    </w:rPr>
  </w:style>
  <w:style w:type="paragraph" w:customStyle="1" w:styleId="26">
    <w:name w:val="Style"/>
    <w:basedOn w:val="1"/>
    <w:qFormat/>
    <w:uiPriority w:val="0"/>
    <w:pPr>
      <w:textAlignment w:val="auto"/>
    </w:pPr>
    <w:rPr>
      <w:rFonts w:ascii="Arial" w:hAnsi="Arial"/>
      <w:szCs w:val="24"/>
      <w:lang w:val="en-US"/>
    </w:rPr>
  </w:style>
  <w:style w:type="paragraph" w:customStyle="1" w:styleId="27">
    <w:name w:val="正文1"/>
    <w:basedOn w:val="1"/>
    <w:qFormat/>
    <w:uiPriority w:val="0"/>
    <w:pPr>
      <w:textAlignment w:val="auto"/>
    </w:pPr>
    <w:rPr>
      <w:rFonts w:ascii="Arial" w:hAnsi="Arial"/>
      <w:sz w:val="20"/>
      <w:lang w:val="en-US"/>
    </w:rPr>
  </w:style>
  <w:style w:type="paragraph" w:customStyle="1" w:styleId="28">
    <w:name w:val="TOC 1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customStyle="1" w:styleId="29">
    <w:name w:val="TOC 21"/>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customStyle="1" w:styleId="30">
    <w:name w:val="TOC 31"/>
    <w:basedOn w:val="1"/>
    <w:next w:val="1"/>
    <w:qFormat/>
    <w:uiPriority w:val="39"/>
    <w:pPr>
      <w:tabs>
        <w:tab w:val="right" w:leader="dot" w:pos="8302"/>
        <w:tab w:val="right" w:leader="dot" w:pos="8835"/>
      </w:tabs>
      <w:spacing w:line="360" w:lineRule="auto"/>
      <w:ind w:left="300" w:leftChars="300"/>
    </w:pPr>
    <w:rPr>
      <w:sz w:val="20"/>
    </w:rPr>
  </w:style>
  <w:style w:type="paragraph" w:customStyle="1" w:styleId="31">
    <w:name w:val="修订1"/>
    <w:hidden/>
    <w:semiHidden/>
    <w:qFormat/>
    <w:uiPriority w:val="99"/>
    <w:rPr>
      <w:rFonts w:ascii="Times New Roman" w:hAnsi="Times New Roman" w:eastAsia="宋体" w:cs="Times New Roman"/>
      <w:sz w:val="24"/>
      <w:lang w:eastAsia="en-US" w:bidi="ar-SA"/>
    </w:rPr>
  </w:style>
  <w:style w:type="paragraph" w:customStyle="1" w:styleId="32">
    <w:name w:val="列表段落1"/>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3">
    <w:name w:val="TOC 标题1"/>
    <w:basedOn w:val="2"/>
    <w:next w:val="1"/>
    <w:qFormat/>
    <w:uiPriority w:val="39"/>
    <w:pPr>
      <w:numPr>
        <w:ilvl w:val="0"/>
        <w:numId w:val="0"/>
      </w:numPr>
      <w:outlineLvl w:val="9"/>
    </w:pPr>
  </w:style>
  <w:style w:type="paragraph" w:customStyle="1" w:styleId="34">
    <w:name w:val="numbering blue"/>
    <w:basedOn w:val="1"/>
    <w:link w:val="43"/>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5">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6">
    <w:name w:val="Text"/>
    <w:basedOn w:val="1"/>
    <w:link w:val="44"/>
    <w:qFormat/>
    <w:uiPriority w:val="0"/>
    <w:pPr>
      <w:adjustRightInd/>
      <w:spacing w:before="120"/>
      <w:jc w:val="both"/>
      <w:textAlignment w:val="auto"/>
    </w:pPr>
    <w:rPr>
      <w:lang w:val="en-US"/>
    </w:rPr>
  </w:style>
  <w:style w:type="paragraph" w:customStyle="1" w:styleId="37">
    <w:name w:val="Table text"/>
    <w:basedOn w:val="1"/>
    <w:qFormat/>
    <w:uiPriority w:val="99"/>
    <w:pPr>
      <w:adjustRightInd/>
      <w:spacing w:before="120" w:after="120"/>
      <w:jc w:val="both"/>
      <w:textAlignment w:val="auto"/>
    </w:pPr>
    <w:rPr>
      <w:lang w:val="en-US"/>
    </w:rPr>
  </w:style>
  <w:style w:type="character" w:customStyle="1" w:styleId="38">
    <w:name w:val="页眉 字符"/>
    <w:link w:val="14"/>
    <w:qFormat/>
    <w:uiPriority w:val="0"/>
    <w:rPr>
      <w:rFonts w:eastAsia="宋体"/>
      <w:sz w:val="24"/>
      <w:lang w:eastAsia="en-US" w:bidi="ar-SA"/>
    </w:rPr>
  </w:style>
  <w:style w:type="character" w:customStyle="1" w:styleId="39">
    <w:name w:val="批注文字 字符"/>
    <w:link w:val="7"/>
    <w:semiHidden/>
    <w:qFormat/>
    <w:uiPriority w:val="99"/>
    <w:rPr>
      <w:sz w:val="24"/>
      <w:lang w:eastAsia="en-US"/>
    </w:rPr>
  </w:style>
  <w:style w:type="character" w:customStyle="1" w:styleId="40">
    <w:name w:val="页脚 字符"/>
    <w:link w:val="13"/>
    <w:qFormat/>
    <w:uiPriority w:val="99"/>
    <w:rPr>
      <w:sz w:val="24"/>
      <w:lang w:eastAsia="en-US"/>
    </w:rPr>
  </w:style>
  <w:style w:type="character" w:customStyle="1" w:styleId="41">
    <w:name w:val="instruction standard blue"/>
    <w:qFormat/>
    <w:uiPriority w:val="1"/>
    <w:rPr>
      <w:rFonts w:cs="Arial"/>
      <w:i/>
      <w:color w:val="0070C0"/>
    </w:rPr>
  </w:style>
  <w:style w:type="character" w:customStyle="1" w:styleId="42">
    <w:name w:val="keyword"/>
    <w:basedOn w:val="17"/>
    <w:qFormat/>
    <w:uiPriority w:val="0"/>
    <w:rPr/>
  </w:style>
  <w:style w:type="character" w:customStyle="1" w:styleId="43">
    <w:name w:val="numbering blue Zchn"/>
    <w:link w:val="34"/>
    <w:qFormat/>
    <w:uiPriority w:val="0"/>
    <w:rPr>
      <w:rFonts w:ascii="Arial" w:hAnsi="Arial" w:eastAsia="PMingLiU"/>
      <w:color w:val="0070C0"/>
      <w:lang w:eastAsia="zh-TW"/>
    </w:rPr>
  </w:style>
  <w:style w:type="character" w:customStyle="1" w:styleId="44">
    <w:name w:val="Text Char"/>
    <w:link w:val="36"/>
    <w:qFormat/>
    <w:locked/>
    <w:uiPriority w:val="0"/>
    <w:rPr>
      <w:sz w:val="24"/>
      <w:lang w:eastAsia="en-US"/>
    </w:rPr>
  </w:style>
  <w:style w:type="character" w:customStyle="1" w:styleId="45">
    <w:name w:val="ordinary-span-edit2"/>
    <w:qFormat/>
    <w:uiPriority w:val="0"/>
  </w:style>
  <w:style w:type="character" w:customStyle="1" w:styleId="46">
    <w:name w:val="apple-converted-space"/>
    <w:basedOn w:val="17"/>
    <w:qFormat/>
    <w:uiPriority w:val="0"/>
    <w:rPr/>
  </w:style>
  <w:style w:type="character" w:customStyle="1" w:styleId="47">
    <w:name w:val="标题 字符"/>
    <w:link w:val="16"/>
    <w:qFormat/>
    <w:uiPriority w:val="0"/>
    <w:rPr>
      <w:rFonts w:ascii="Calibri Light" w:hAnsi="Calibri Light" w:cs="Times New Roman"/>
      <w:b/>
      <w:bCs/>
      <w:sz w:val="32"/>
      <w:szCs w:val="32"/>
      <w:lang w:eastAsia="en-US"/>
    </w:rPr>
  </w:style>
  <w:style w:type="character" w:customStyle="1" w:styleId="48">
    <w:name w:val="Footer Char"/>
    <w:semiHidden/>
    <w:qFormat/>
    <w:locked/>
    <w:uiPriority w:val="0"/>
    <w:rPr>
      <w:rFonts w:cs="Times New Roman"/>
      <w:sz w:val="18"/>
      <w:szCs w:val="18"/>
    </w:rPr>
  </w:style>
  <w:style w:type="character" w:customStyle="1" w:styleId="49">
    <w:name w:val="标题 4 字符"/>
    <w:link w:val="5"/>
    <w:qFormat/>
    <w:locked/>
    <w:uiPriority w:val="0"/>
    <w:rPr>
      <w:b/>
      <w:i/>
      <w:sz w:val="21"/>
      <w:lang w:eastAsia="en-US"/>
    </w:rPr>
  </w:style>
  <w:style w:type="character" w:customStyle="1" w:styleId="50">
    <w:name w:val="批注框文本 字符"/>
    <w:link w:val="12"/>
    <w:semiHidden/>
    <w:qFormat/>
    <w:locked/>
    <w:uiPriority w:val="0"/>
    <w:rPr>
      <w:rFonts w:eastAsia="宋体"/>
      <w:sz w:val="18"/>
      <w:szCs w:val="18"/>
      <w:lang w:eastAsia="en-US"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4101</Words>
  <Characters>1585</Characters>
  <Lines>13</Lines>
  <Paragraphs>11</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2020-07-02T07:08:00Z</dcterms:created>
  <dc:creator>Lilly</dc:creator>
  <cp:lastModifiedBy>汪洋</cp:lastModifiedBy>
  <cp:lastPrinted>2020-11-12T01:39:00Z</cp:lastPrinted>
  <dcterms:modified xsi:type="dcterms:W3CDTF">2021-09-16T05:58:39Z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088E5FB9F3FD4B22AC4A58D4F1FBB647</vt:lpwstr>
  </property>
</Properties>
</file>