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3227223"/>
      <w:bookmarkStart w:id="1" w:name="_Toc484532399"/>
      <w:bookmarkStart w:id="2" w:name="_Toc482717189"/>
      <w:bookmarkStart w:id="3" w:name="_Toc483666358"/>
      <w:bookmarkStart w:id="4" w:name="_Toc483400307"/>
    </w:p>
    <w:p>
      <w:pPr>
        <w:spacing w:after="158" w:afterLines="50"/>
        <w:jc w:val="center"/>
        <w:rPr>
          <w:b/>
          <w:szCs w:val="21"/>
          <w:lang w:eastAsia="zh-CN"/>
        </w:rPr>
      </w:pPr>
      <w:r>
        <w:rPr>
          <w:rFonts w:hint="eastAsia" w:ascii="宋体" w:hAnsi="宋体"/>
          <w:b/>
          <w:sz w:val="28"/>
          <w:szCs w:val="28"/>
          <w:lang w:eastAsia="zh-CN"/>
        </w:rPr>
        <w:t>裹包机</w:t>
      </w:r>
      <w:r>
        <w:rPr>
          <w:b/>
          <w:sz w:val="28"/>
          <w:szCs w:val="28"/>
          <w:lang w:eastAsia="zh-CN"/>
        </w:rPr>
        <w:t>用户需求说明（URS</w:t>
      </w:r>
      <w:r>
        <w:rPr>
          <w:b/>
          <w:szCs w:val="21"/>
          <w:lang w:eastAsia="zh-CN"/>
        </w:rPr>
        <w:t>）</w:t>
      </w:r>
      <w:bookmarkEnd w:id="0"/>
      <w:bookmarkEnd w:id="1"/>
      <w:bookmarkEnd w:id="2"/>
      <w:bookmarkEnd w:id="3"/>
      <w:bookmarkEnd w:id="4"/>
    </w:p>
    <w:p>
      <w:pPr>
        <w:tabs>
          <w:tab w:val="left" w:pos="1365"/>
        </w:tabs>
        <w:spacing w:after="158" w:afterLines="50"/>
        <w:jc w:val="center"/>
        <w:rPr>
          <w:color w:val="4472C4"/>
          <w:szCs w:val="21"/>
          <w:lang w:eastAsia="zh-CN"/>
        </w:rPr>
      </w:pPr>
      <w:bookmarkStart w:id="5" w:name="OLE_LINK4"/>
      <w:bookmarkEnd w:id="5"/>
    </w:p>
    <w:p>
      <w:pPr>
        <w:pStyle w:val="32"/>
        <w:widowControl w:val="0"/>
        <w:spacing w:after="158" w:afterLines="50" w:line="240" w:lineRule="auto"/>
        <w:jc w:val="center"/>
        <w:rPr>
          <w:sz w:val="21"/>
          <w:szCs w:val="21"/>
          <w:lang w:val="zh-CN" w:eastAsia="zh-CN"/>
        </w:rPr>
      </w:pPr>
      <w:r>
        <w:rPr>
          <w:sz w:val="21"/>
          <w:szCs w:val="21"/>
          <w:lang w:val="zh-CN" w:eastAsia="zh-CN"/>
        </w:rPr>
        <w:t>目录</w:t>
      </w:r>
    </w:p>
    <w:p>
      <w:pPr>
        <w:rPr>
          <w:i/>
          <w:color w:val="00B0F0"/>
          <w:lang w:val="zh-CN" w:eastAsia="zh-CN"/>
        </w:rPr>
      </w:pPr>
    </w:p>
    <w:p>
      <w:pPr>
        <w:pStyle w:val="16"/>
        <w:rPr>
          <w:b w:val="0"/>
          <w:bCs w:val="0"/>
          <w:caps w:val="0"/>
          <w:szCs w:val="22"/>
        </w:rPr>
      </w:pPr>
      <w:r>
        <w:fldChar w:fldCharType="begin"/>
      </w:r>
      <w:r>
        <w:instrText xml:space="preserve"> TOC \o "1-2" \h \z \u </w:instrText>
      </w:r>
      <w:r>
        <w:fldChar w:fldCharType="separate"/>
      </w:r>
      <w:r>
        <w:fldChar w:fldCharType="begin"/>
      </w:r>
      <w:r>
        <w:instrText xml:space="preserve">HYPERLINK  \l "_Toc522716114" </w:instrText>
      </w:r>
      <w:r>
        <w:fldChar w:fldCharType="separate"/>
      </w:r>
      <w:r>
        <w:rPr>
          <w:rStyle w:val="22"/>
        </w:rPr>
        <w:t>修订历史</w:t>
      </w:r>
      <w:r>
        <w:tab/>
      </w:r>
      <w:r>
        <w:fldChar w:fldCharType="begin"/>
      </w:r>
      <w:r>
        <w:instrText xml:space="preserve"> PAGEREF _Toc522716114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"_Toc522716115" </w:instrText>
      </w:r>
      <w:r>
        <w:fldChar w:fldCharType="separate"/>
      </w:r>
      <w:r>
        <w:rPr>
          <w:rStyle w:val="22"/>
        </w:rPr>
        <w:t>1</w:t>
      </w:r>
      <w:r>
        <w:rPr>
          <w:b w:val="0"/>
          <w:bCs w:val="0"/>
          <w:caps w:val="0"/>
          <w:szCs w:val="22"/>
        </w:rPr>
        <w:tab/>
      </w:r>
      <w:r>
        <w:rPr>
          <w:rStyle w:val="22"/>
        </w:rPr>
        <w:t>目的</w:t>
      </w:r>
      <w:r>
        <w:tab/>
      </w:r>
      <w:r>
        <w:fldChar w:fldCharType="begin"/>
      </w:r>
      <w:r>
        <w:instrText xml:space="preserve"> PAGEREF _Toc522716115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"_Toc522716116" </w:instrText>
      </w:r>
      <w:r>
        <w:fldChar w:fldCharType="separate"/>
      </w:r>
      <w:r>
        <w:rPr>
          <w:rStyle w:val="22"/>
        </w:rPr>
        <w:t>2</w:t>
      </w:r>
      <w:r>
        <w:rPr>
          <w:b w:val="0"/>
          <w:bCs w:val="0"/>
          <w:caps w:val="0"/>
          <w:szCs w:val="22"/>
        </w:rPr>
        <w:tab/>
      </w:r>
      <w:r>
        <w:rPr>
          <w:rStyle w:val="22"/>
        </w:rPr>
        <w:t>范围</w:t>
      </w:r>
      <w:r>
        <w:tab/>
      </w:r>
      <w:r>
        <w:fldChar w:fldCharType="begin"/>
      </w:r>
      <w:r>
        <w:instrText xml:space="preserve"> PAGEREF _Toc522716116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"_Toc522716117" </w:instrText>
      </w:r>
      <w:r>
        <w:fldChar w:fldCharType="separate"/>
      </w:r>
      <w:r>
        <w:rPr>
          <w:rStyle w:val="22"/>
        </w:rPr>
        <w:t>3</w:t>
      </w:r>
      <w:r>
        <w:rPr>
          <w:b w:val="0"/>
          <w:bCs w:val="0"/>
          <w:caps w:val="0"/>
          <w:szCs w:val="22"/>
        </w:rPr>
        <w:tab/>
      </w:r>
      <w:r>
        <w:rPr>
          <w:rStyle w:val="22"/>
        </w:rPr>
        <w:t>参考文件</w:t>
      </w:r>
      <w:r>
        <w:tab/>
      </w:r>
      <w:r>
        <w:fldChar w:fldCharType="begin"/>
      </w:r>
      <w:r>
        <w:instrText xml:space="preserve"> PAGEREF _Toc522716117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"_Toc522716118" </w:instrText>
      </w:r>
      <w:r>
        <w:fldChar w:fldCharType="separate"/>
      </w:r>
      <w:r>
        <w:rPr>
          <w:rStyle w:val="22"/>
        </w:rPr>
        <w:t>4</w:t>
      </w:r>
      <w:r>
        <w:rPr>
          <w:b w:val="0"/>
          <w:bCs w:val="0"/>
          <w:caps w:val="0"/>
          <w:szCs w:val="22"/>
        </w:rPr>
        <w:tab/>
      </w:r>
      <w:r>
        <w:rPr>
          <w:rStyle w:val="22"/>
        </w:rPr>
        <w:t>职责</w:t>
      </w:r>
      <w:r>
        <w:tab/>
      </w:r>
      <w:r>
        <w:fldChar w:fldCharType="begin"/>
      </w:r>
      <w:r>
        <w:instrText xml:space="preserve"> PAGEREF _Toc522716118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"_Toc522716119" </w:instrText>
      </w:r>
      <w:r>
        <w:fldChar w:fldCharType="separate"/>
      </w:r>
      <w:r>
        <w:rPr>
          <w:rStyle w:val="22"/>
        </w:rPr>
        <w:t>5</w:t>
      </w:r>
      <w:r>
        <w:rPr>
          <w:b w:val="0"/>
          <w:bCs w:val="0"/>
          <w:caps w:val="0"/>
          <w:szCs w:val="22"/>
        </w:rPr>
        <w:tab/>
      </w:r>
      <w:r>
        <w:rPr>
          <w:rStyle w:val="22"/>
        </w:rPr>
        <w:t>系统描述</w:t>
      </w:r>
      <w:r>
        <w:tab/>
      </w:r>
      <w:r>
        <w:fldChar w:fldCharType="begin"/>
      </w:r>
      <w:r>
        <w:instrText xml:space="preserve"> PAGEREF _Toc522716119 \h </w:instrText>
      </w:r>
      <w:r>
        <w:fldChar w:fldCharType="separate"/>
      </w:r>
      <w:r>
        <w:t>6</w:t>
      </w:r>
      <w:r>
        <w:fldChar w:fldCharType="end"/>
      </w:r>
      <w:r>
        <w:fldChar w:fldCharType="end"/>
      </w:r>
    </w:p>
    <w:p>
      <w:pPr>
        <w:pStyle w:val="16"/>
        <w:rPr>
          <w:b w:val="0"/>
          <w:bCs w:val="0"/>
          <w:caps w:val="0"/>
          <w:szCs w:val="22"/>
        </w:rPr>
      </w:pPr>
      <w:r>
        <w:fldChar w:fldCharType="begin"/>
      </w:r>
      <w:r>
        <w:instrText xml:space="preserve">HYPERLINK  \l "_Toc522716120" </w:instrText>
      </w:r>
      <w:r>
        <w:fldChar w:fldCharType="separate"/>
      </w:r>
      <w:r>
        <w:rPr>
          <w:rStyle w:val="22"/>
        </w:rPr>
        <w:t>6</w:t>
      </w:r>
      <w:r>
        <w:rPr>
          <w:b w:val="0"/>
          <w:bCs w:val="0"/>
          <w:caps w:val="0"/>
          <w:szCs w:val="22"/>
        </w:rPr>
        <w:tab/>
      </w:r>
      <w:r>
        <w:rPr>
          <w:rStyle w:val="22"/>
        </w:rPr>
        <w:t>安装要求</w:t>
      </w:r>
      <w:r>
        <w:tab/>
      </w:r>
      <w:r>
        <w:fldChar w:fldCharType="begin"/>
      </w:r>
      <w:r>
        <w:instrText xml:space="preserve"> PAGEREF _Toc522716120 \h </w:instrText>
      </w:r>
      <w:r>
        <w:fldChar w:fldCharType="separate"/>
      </w:r>
      <w:r>
        <w:t>6</w:t>
      </w:r>
      <w:r>
        <w:fldChar w:fldCharType="end"/>
      </w:r>
      <w:r>
        <w:fldChar w:fldCharType="end"/>
      </w:r>
    </w:p>
    <w:p>
      <w:pPr>
        <w:pStyle w:val="16"/>
        <w:rPr>
          <w:b w:val="0"/>
          <w:bCs w:val="0"/>
          <w:caps w:val="0"/>
          <w:szCs w:val="22"/>
        </w:rPr>
      </w:pPr>
      <w:r>
        <w:fldChar w:fldCharType="begin"/>
      </w:r>
      <w:r>
        <w:instrText xml:space="preserve">HYPERLINK  \l "_Toc522716121" </w:instrText>
      </w:r>
      <w:r>
        <w:fldChar w:fldCharType="separate"/>
      </w:r>
      <w:r>
        <w:rPr>
          <w:rStyle w:val="22"/>
        </w:rPr>
        <w:t>7</w:t>
      </w:r>
      <w:r>
        <w:rPr>
          <w:b w:val="0"/>
          <w:bCs w:val="0"/>
          <w:caps w:val="0"/>
          <w:szCs w:val="22"/>
        </w:rPr>
        <w:tab/>
      </w:r>
      <w:r>
        <w:rPr>
          <w:rStyle w:val="22"/>
        </w:rPr>
        <w:t>运行要求</w:t>
      </w:r>
      <w:r>
        <w:tab/>
      </w:r>
      <w:r>
        <w:fldChar w:fldCharType="begin"/>
      </w:r>
      <w:r>
        <w:instrText xml:space="preserve"> PAGEREF _Toc522716121 \h </w:instrText>
      </w:r>
      <w:r>
        <w:fldChar w:fldCharType="separate"/>
      </w:r>
      <w:r>
        <w:t>7</w:t>
      </w:r>
      <w:r>
        <w:fldChar w:fldCharType="end"/>
      </w:r>
      <w:r>
        <w:fldChar w:fldCharType="end"/>
      </w:r>
    </w:p>
    <w:p>
      <w:pPr>
        <w:pStyle w:val="16"/>
        <w:rPr>
          <w:b w:val="0"/>
          <w:bCs w:val="0"/>
          <w:caps w:val="0"/>
          <w:szCs w:val="22"/>
        </w:rPr>
      </w:pPr>
      <w:r>
        <w:fldChar w:fldCharType="begin"/>
      </w:r>
      <w:r>
        <w:instrText xml:space="preserve">HYPERLINK  \l "_Toc522716122" </w:instrText>
      </w:r>
      <w:r>
        <w:fldChar w:fldCharType="separate"/>
      </w:r>
      <w:r>
        <w:rPr>
          <w:rStyle w:val="22"/>
        </w:rPr>
        <w:t>8</w:t>
      </w:r>
      <w:r>
        <w:rPr>
          <w:b w:val="0"/>
          <w:bCs w:val="0"/>
          <w:caps w:val="0"/>
          <w:szCs w:val="22"/>
        </w:rPr>
        <w:tab/>
      </w:r>
      <w:r>
        <w:rPr>
          <w:rStyle w:val="22"/>
        </w:rPr>
        <w:t>电气、自动控制要求</w:t>
      </w:r>
      <w:r>
        <w:tab/>
      </w:r>
      <w:r>
        <w:fldChar w:fldCharType="begin"/>
      </w:r>
      <w:r>
        <w:instrText xml:space="preserve"> PAGEREF _Toc522716122 \h </w:instrText>
      </w:r>
      <w:r>
        <w:fldChar w:fldCharType="separate"/>
      </w:r>
      <w:r>
        <w:t>9</w:t>
      </w:r>
      <w:r>
        <w:fldChar w:fldCharType="end"/>
      </w:r>
      <w:r>
        <w:fldChar w:fldCharType="end"/>
      </w:r>
    </w:p>
    <w:p>
      <w:pPr>
        <w:pStyle w:val="16"/>
        <w:rPr>
          <w:b w:val="0"/>
          <w:bCs w:val="0"/>
          <w:caps w:val="0"/>
          <w:szCs w:val="22"/>
        </w:rPr>
      </w:pPr>
      <w:r>
        <w:fldChar w:fldCharType="begin"/>
      </w:r>
      <w:r>
        <w:instrText xml:space="preserve">HYPERLINK  \l "_Toc522716123" </w:instrText>
      </w:r>
      <w:r>
        <w:fldChar w:fldCharType="separate"/>
      </w:r>
      <w:r>
        <w:rPr>
          <w:rStyle w:val="22"/>
        </w:rPr>
        <w:t>9</w:t>
      </w:r>
      <w:r>
        <w:rPr>
          <w:b w:val="0"/>
          <w:bCs w:val="0"/>
          <w:caps w:val="0"/>
          <w:szCs w:val="22"/>
        </w:rPr>
        <w:tab/>
      </w:r>
      <w:r>
        <w:rPr>
          <w:rStyle w:val="22"/>
        </w:rPr>
        <w:t>安全要求</w:t>
      </w:r>
      <w:r>
        <w:tab/>
      </w:r>
      <w:r>
        <w:fldChar w:fldCharType="begin"/>
      </w:r>
      <w:r>
        <w:instrText xml:space="preserve"> PAGEREF _Toc522716123 \h </w:instrText>
      </w:r>
      <w:r>
        <w:fldChar w:fldCharType="separate"/>
      </w:r>
      <w:r>
        <w:t>14</w:t>
      </w:r>
      <w:r>
        <w:fldChar w:fldCharType="end"/>
      </w:r>
      <w:r>
        <w:fldChar w:fldCharType="end"/>
      </w:r>
    </w:p>
    <w:p>
      <w:pPr>
        <w:pStyle w:val="16"/>
        <w:rPr>
          <w:b w:val="0"/>
          <w:bCs w:val="0"/>
          <w:caps w:val="0"/>
          <w:szCs w:val="22"/>
        </w:rPr>
      </w:pPr>
      <w:r>
        <w:fldChar w:fldCharType="begin"/>
      </w:r>
      <w:r>
        <w:instrText xml:space="preserve">HYPERLINK  \l "_Toc522716124" </w:instrText>
      </w:r>
      <w:r>
        <w:fldChar w:fldCharType="separate"/>
      </w:r>
      <w:r>
        <w:rPr>
          <w:rStyle w:val="22"/>
        </w:rPr>
        <w:t>10</w:t>
      </w:r>
      <w:r>
        <w:rPr>
          <w:b w:val="0"/>
          <w:bCs w:val="0"/>
          <w:caps w:val="0"/>
          <w:szCs w:val="22"/>
        </w:rPr>
        <w:tab/>
      </w:r>
      <w:r>
        <w:rPr>
          <w:rStyle w:val="22"/>
        </w:rPr>
        <w:t>文件要求</w:t>
      </w:r>
      <w:r>
        <w:tab/>
      </w:r>
      <w:r>
        <w:fldChar w:fldCharType="begin"/>
      </w:r>
      <w:r>
        <w:instrText xml:space="preserve"> PAGEREF _Toc522716124 \h </w:instrText>
      </w:r>
      <w:r>
        <w:fldChar w:fldCharType="separate"/>
      </w:r>
      <w:r>
        <w:t>14</w:t>
      </w:r>
      <w:r>
        <w:fldChar w:fldCharType="end"/>
      </w:r>
      <w:r>
        <w:fldChar w:fldCharType="end"/>
      </w:r>
    </w:p>
    <w:p>
      <w:pPr>
        <w:pStyle w:val="16"/>
        <w:rPr>
          <w:b w:val="0"/>
          <w:bCs w:val="0"/>
          <w:caps w:val="0"/>
          <w:szCs w:val="22"/>
        </w:rPr>
      </w:pPr>
      <w:r>
        <w:fldChar w:fldCharType="begin"/>
      </w:r>
      <w:r>
        <w:instrText xml:space="preserve">HYPERLINK  \l "_Toc522716125" </w:instrText>
      </w:r>
      <w:r>
        <w:fldChar w:fldCharType="separate"/>
      </w:r>
      <w:r>
        <w:rPr>
          <w:rStyle w:val="22"/>
        </w:rPr>
        <w:t>11</w:t>
      </w:r>
      <w:r>
        <w:rPr>
          <w:b w:val="0"/>
          <w:bCs w:val="0"/>
          <w:caps w:val="0"/>
          <w:szCs w:val="22"/>
        </w:rPr>
        <w:tab/>
      </w:r>
      <w:r>
        <w:rPr>
          <w:rStyle w:val="22"/>
        </w:rPr>
        <w:t>服务要求</w:t>
      </w:r>
      <w:r>
        <w:tab/>
      </w:r>
      <w:r>
        <w:fldChar w:fldCharType="begin"/>
      </w:r>
      <w:r>
        <w:instrText xml:space="preserve"> PAGEREF _Toc522716125 \h </w:instrText>
      </w:r>
      <w:r>
        <w:fldChar w:fldCharType="separate"/>
      </w:r>
      <w:r>
        <w:t>15</w:t>
      </w:r>
      <w:r>
        <w:fldChar w:fldCharType="end"/>
      </w:r>
      <w:r>
        <w:fldChar w:fldCharType="end"/>
      </w:r>
    </w:p>
    <w:p>
      <w:pPr>
        <w:pStyle w:val="16"/>
        <w:rPr>
          <w:b w:val="0"/>
          <w:bCs w:val="0"/>
          <w:caps w:val="0"/>
          <w:szCs w:val="22"/>
        </w:rPr>
      </w:pPr>
      <w:r>
        <w:fldChar w:fldCharType="begin"/>
      </w:r>
      <w:r>
        <w:instrText xml:space="preserve">HYPERLINK  \l "_Toc522716126" </w:instrText>
      </w:r>
      <w:r>
        <w:fldChar w:fldCharType="separate"/>
      </w:r>
      <w:r>
        <w:rPr>
          <w:rStyle w:val="22"/>
        </w:rPr>
        <w:t>12</w:t>
      </w:r>
      <w:r>
        <w:rPr>
          <w:b w:val="0"/>
          <w:bCs w:val="0"/>
          <w:caps w:val="0"/>
          <w:szCs w:val="22"/>
        </w:rPr>
        <w:tab/>
      </w:r>
      <w:r>
        <w:rPr>
          <w:rStyle w:val="22"/>
        </w:rPr>
        <w:t>附件</w:t>
      </w:r>
      <w:r>
        <w:tab/>
      </w:r>
      <w:r>
        <w:fldChar w:fldCharType="begin"/>
      </w:r>
      <w:r>
        <w:instrText xml:space="preserve"> PAGEREF _Toc522716126 \h </w:instrText>
      </w:r>
      <w:r>
        <w:fldChar w:fldCharType="separate"/>
      </w:r>
      <w:r>
        <w:t>17</w:t>
      </w:r>
      <w:r>
        <w:fldChar w:fldCharType="end"/>
      </w:r>
      <w:r>
        <w:fldChar w:fldCharType="end"/>
      </w:r>
    </w:p>
    <w:p>
      <w:r>
        <w:fldChar w:fldCharType="end"/>
      </w:r>
    </w:p>
    <w:p>
      <w:pPr>
        <w:rPr>
          <w:lang w:val="en-US" w:eastAsia="zh-CN"/>
        </w:rPr>
      </w:pPr>
      <w:r>
        <w:rPr>
          <w:lang w:val="en-US" w:eastAsia="zh-CN"/>
        </w:rPr>
        <w:br w:type="page"/>
      </w:r>
      <w:bookmarkStart w:id="6" w:name="_Toc522107734"/>
    </w:p>
    <w:p>
      <w:pPr>
        <w:rPr>
          <w:lang w:val="en-US" w:eastAsia="zh-CN"/>
        </w:rPr>
      </w:pPr>
    </w:p>
    <w:bookmarkEnd w:id="6"/>
    <w:p>
      <w:pPr>
        <w:pStyle w:val="31"/>
        <w:numPr>
          <w:ilvl w:val="0"/>
          <w:numId w:val="3"/>
        </w:numPr>
        <w:spacing w:after="158" w:afterLines="50"/>
        <w:ind w:left="426" w:hanging="426" w:hangingChars="202"/>
        <w:outlineLvl w:val="0"/>
        <w:rPr>
          <w:rFonts w:ascii="Times New Roman" w:hAnsi="Times New Roman"/>
          <w:b/>
        </w:rPr>
      </w:pPr>
      <w:bookmarkStart w:id="7" w:name="_Toc522716115"/>
      <w:bookmarkStart w:id="8" w:name="_Toc522107735"/>
      <w:r>
        <w:rPr>
          <w:rFonts w:ascii="Times New Roman" w:hAnsi="Times New Roman"/>
          <w:b/>
        </w:rPr>
        <w:t>目的</w:t>
      </w:r>
      <w:bookmarkEnd w:id="7"/>
      <w:bookmarkEnd w:id="8"/>
    </w:p>
    <w:p>
      <w:pPr>
        <w:pStyle w:val="35"/>
        <w:spacing w:before="0" w:line="360" w:lineRule="auto"/>
        <w:ind w:left="357"/>
        <w:jc w:val="left"/>
        <w:rPr>
          <w:szCs w:val="21"/>
          <w:lang w:eastAsia="zh-CN"/>
        </w:rPr>
      </w:pPr>
      <w:bookmarkStart w:id="9" w:name="_Toc482360281"/>
      <w:bookmarkStart w:id="10" w:name="_Toc482370757"/>
      <w:bookmarkStart w:id="11" w:name="_Toc482369805"/>
      <w:bookmarkStart w:id="12" w:name="_Toc482370141"/>
      <w:bookmarkStart w:id="13" w:name="_Toc481702475"/>
      <w:bookmarkStart w:id="14" w:name="_Toc482359936"/>
      <w:bookmarkStart w:id="15" w:name="_Toc482625279"/>
      <w:bookmarkStart w:id="16" w:name="_Toc482370349"/>
      <w:bookmarkStart w:id="17" w:name="_Toc482370061"/>
      <w:r>
        <w:rPr>
          <w:szCs w:val="21"/>
          <w:lang w:eastAsia="zh-CN"/>
        </w:rPr>
        <w:t>本文件的目的是描述武汉生物制品研究所有限责任公司</w:t>
      </w:r>
      <w:r>
        <w:rPr>
          <w:rFonts w:hint="eastAsia"/>
          <w:szCs w:val="21"/>
          <w:lang w:eastAsia="zh-CN"/>
        </w:rPr>
        <w:t>裹包机</w:t>
      </w:r>
      <w:r>
        <w:rPr>
          <w:szCs w:val="21"/>
          <w:lang w:eastAsia="zh-CN"/>
        </w:rPr>
        <w:t>的用户需求说明（URS），以确保最终用户的需求在项目设计阶段得以实现，并作为后续验证工作的基础。</w:t>
      </w:r>
    </w:p>
    <w:p>
      <w:pPr>
        <w:pStyle w:val="35"/>
        <w:spacing w:before="0"/>
        <w:ind w:left="360"/>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8" w:name="_Toc522107736"/>
      <w:bookmarkStart w:id="19" w:name="_Toc522716116"/>
      <w:r>
        <w:rPr>
          <w:rFonts w:ascii="Times New Roman" w:hAnsi="Times New Roman"/>
          <w:b/>
        </w:rPr>
        <w:t>范围</w:t>
      </w:r>
      <w:bookmarkEnd w:id="18"/>
      <w:bookmarkEnd w:id="19"/>
    </w:p>
    <w:p>
      <w:pPr>
        <w:pStyle w:val="35"/>
        <w:spacing w:before="0" w:line="360" w:lineRule="auto"/>
        <w:ind w:left="357"/>
        <w:jc w:val="left"/>
        <w:rPr>
          <w:szCs w:val="21"/>
          <w:lang w:eastAsia="zh-CN"/>
        </w:rPr>
      </w:pPr>
      <w:r>
        <w:rPr>
          <w:szCs w:val="21"/>
          <w:lang w:eastAsia="zh-CN"/>
        </w:rPr>
        <w:t>本URS适用于武汉生物制品研究所有限责任公司</w:t>
      </w:r>
      <w:r>
        <w:rPr>
          <w:rFonts w:hint="eastAsia"/>
          <w:szCs w:val="21"/>
          <w:lang w:eastAsia="zh-CN"/>
        </w:rPr>
        <w:t>裹包机</w:t>
      </w:r>
      <w:r>
        <w:rPr>
          <w:szCs w:val="21"/>
          <w:lang w:eastAsia="zh-CN"/>
        </w:rPr>
        <w:t>。</w:t>
      </w:r>
      <w:bookmarkEnd w:id="9"/>
      <w:bookmarkEnd w:id="10"/>
      <w:bookmarkEnd w:id="11"/>
      <w:bookmarkEnd w:id="12"/>
      <w:bookmarkEnd w:id="13"/>
      <w:bookmarkEnd w:id="14"/>
      <w:bookmarkEnd w:id="15"/>
      <w:bookmarkEnd w:id="16"/>
      <w:bookmarkEnd w:id="17"/>
    </w:p>
    <w:p>
      <w:pPr>
        <w:pStyle w:val="35"/>
        <w:spacing w:before="0" w:line="360" w:lineRule="auto"/>
        <w:ind w:left="357"/>
        <w:jc w:val="left"/>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20" w:name="_Toc522716117"/>
      <w:bookmarkStart w:id="21" w:name="_Toc522107737"/>
      <w:r>
        <w:rPr>
          <w:rFonts w:ascii="Times New Roman" w:hAnsi="Times New Roman"/>
          <w:b/>
        </w:rPr>
        <w:t>参考文件</w:t>
      </w:r>
      <w:bookmarkEnd w:id="20"/>
      <w:bookmarkEnd w:id="21"/>
    </w:p>
    <w:p>
      <w:pPr>
        <w:pStyle w:val="35"/>
        <w:numPr>
          <w:ilvl w:val="0"/>
          <w:numId w:val="4"/>
        </w:numPr>
        <w:spacing w:before="0" w:line="360" w:lineRule="auto"/>
        <w:jc w:val="left"/>
        <w:rPr>
          <w:color w:val="000000"/>
          <w:szCs w:val="21"/>
          <w:lang w:eastAsia="zh-CN"/>
        </w:rPr>
      </w:pPr>
      <w:r>
        <w:rPr>
          <w:color w:val="000000"/>
          <w:szCs w:val="21"/>
          <w:lang w:eastAsia="zh-CN"/>
        </w:rPr>
        <w:t>GMP法规指南和SOP</w:t>
      </w:r>
    </w:p>
    <w:p>
      <w:pPr>
        <w:pStyle w:val="35"/>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5"/>
        <w:numPr>
          <w:ilvl w:val="0"/>
          <w:numId w:val="5"/>
        </w:numPr>
        <w:spacing w:before="0" w:line="360" w:lineRule="auto"/>
        <w:ind w:left="777"/>
        <w:jc w:val="left"/>
        <w:rPr>
          <w:iCs/>
          <w:szCs w:val="24"/>
          <w:lang w:eastAsia="zh-CN"/>
        </w:rPr>
      </w:pPr>
      <w:r>
        <w:rPr>
          <w:rFonts w:hint="eastAsia"/>
          <w:iCs/>
          <w:szCs w:val="24"/>
          <w:lang w:eastAsia="zh-CN"/>
        </w:rPr>
        <w:t>中国药典</w:t>
      </w:r>
      <w:r>
        <w:rPr>
          <w:iCs/>
          <w:szCs w:val="24"/>
        </w:rPr>
        <w:t>20</w:t>
      </w:r>
      <w:r>
        <w:rPr>
          <w:rFonts w:hint="eastAsia"/>
          <w:iCs/>
          <w:szCs w:val="24"/>
          <w:lang w:eastAsia="zh-CN"/>
        </w:rPr>
        <w:t>20</w:t>
      </w:r>
      <w:r>
        <w:rPr>
          <w:rFonts w:hint="eastAsia"/>
          <w:iCs/>
          <w:szCs w:val="24"/>
        </w:rPr>
        <w:t>年版</w:t>
      </w:r>
    </w:p>
    <w:p>
      <w:pPr>
        <w:pStyle w:val="35"/>
        <w:numPr>
          <w:ilvl w:val="0"/>
          <w:numId w:val="5"/>
        </w:numPr>
        <w:spacing w:before="0" w:line="360" w:lineRule="auto"/>
        <w:ind w:left="777"/>
        <w:jc w:val="left"/>
        <w:rPr>
          <w:iCs/>
          <w:szCs w:val="24"/>
          <w:lang w:eastAsia="zh-CN"/>
        </w:rPr>
      </w:pPr>
      <w:r>
        <w:rPr>
          <w:rFonts w:hint="eastAsia"/>
          <w:iCs/>
          <w:szCs w:val="24"/>
          <w:lang w:eastAsia="zh-CN"/>
        </w:rPr>
        <w:t>《药品生产质量管理规范》（</w:t>
      </w:r>
      <w:r>
        <w:rPr>
          <w:iCs/>
          <w:szCs w:val="24"/>
          <w:lang w:eastAsia="zh-CN"/>
        </w:rPr>
        <w:t>2010</w:t>
      </w:r>
      <w:r>
        <w:rPr>
          <w:rFonts w:hint="eastAsia"/>
          <w:iCs/>
          <w:szCs w:val="24"/>
          <w:lang w:eastAsia="zh-CN"/>
        </w:rPr>
        <w:t>修订版）</w:t>
      </w:r>
    </w:p>
    <w:p>
      <w:pPr>
        <w:pStyle w:val="35"/>
        <w:numPr>
          <w:ilvl w:val="0"/>
          <w:numId w:val="5"/>
        </w:numPr>
        <w:spacing w:before="0" w:line="360" w:lineRule="auto"/>
        <w:ind w:left="777"/>
        <w:jc w:val="left"/>
        <w:rPr>
          <w:iCs/>
          <w:szCs w:val="24"/>
          <w:lang w:eastAsia="zh-CN"/>
        </w:rPr>
      </w:pPr>
      <w:r>
        <w:rPr>
          <w:rFonts w:hint="eastAsia"/>
          <w:iCs/>
          <w:szCs w:val="24"/>
          <w:lang w:eastAsia="zh-CN"/>
        </w:rPr>
        <w:t>21 CFR Part 11：电子</w:t>
      </w:r>
      <w:r>
        <w:fldChar w:fldCharType="begin"/>
      </w:r>
      <w:r>
        <w:instrText xml:space="preserve">HYPERLINK "https://baike.baidu.com/item/è®°å½/1837758" \t "https://baike.baidu.com/item/21%20CFR%20Part%2011/_blank" </w:instrText>
      </w:r>
      <w:r>
        <w:fldChar w:fldCharType="separate"/>
      </w:r>
      <w:r>
        <w:rPr>
          <w:iCs/>
          <w:szCs w:val="24"/>
          <w:lang w:eastAsia="zh-CN"/>
        </w:rPr>
        <w:t>记录</w:t>
      </w:r>
      <w:r>
        <w:fldChar w:fldCharType="end"/>
      </w:r>
      <w:r>
        <w:rPr>
          <w:iCs/>
          <w:szCs w:val="24"/>
          <w:lang w:eastAsia="zh-CN"/>
        </w:rPr>
        <w:t>和</w:t>
      </w:r>
      <w:r>
        <w:fldChar w:fldCharType="begin"/>
      </w:r>
      <w:r>
        <w:instrText xml:space="preserve">HYPERLINK "https://baike.baidu.com/item/çµå­ç­¾å/305853" \t "https://baike.baidu.com/item/21%20CFR%20Part%2011/_blank" </w:instrText>
      </w:r>
      <w:r>
        <w:fldChar w:fldCharType="separate"/>
      </w:r>
      <w:r>
        <w:rPr>
          <w:iCs/>
          <w:szCs w:val="24"/>
          <w:lang w:eastAsia="zh-CN"/>
        </w:rPr>
        <w:t>电子签名</w:t>
      </w:r>
      <w:r>
        <w:fldChar w:fldCharType="end"/>
      </w:r>
      <w:r>
        <w:rPr>
          <w:rFonts w:hint="eastAsia"/>
          <w:iCs/>
          <w:szCs w:val="24"/>
          <w:lang w:eastAsia="zh-CN"/>
        </w:rPr>
        <w:t>符合《联邦法规21章》第11款。</w:t>
      </w:r>
    </w:p>
    <w:p>
      <w:pPr>
        <w:pStyle w:val="35"/>
        <w:numPr>
          <w:ilvl w:val="0"/>
          <w:numId w:val="5"/>
        </w:numPr>
        <w:spacing w:before="0" w:line="360" w:lineRule="auto"/>
        <w:ind w:left="777"/>
        <w:jc w:val="left"/>
        <w:rPr>
          <w:iCs/>
          <w:szCs w:val="24"/>
          <w:lang w:eastAsia="zh-CN"/>
        </w:rPr>
      </w:pPr>
      <w:r>
        <w:rPr>
          <w:rFonts w:hint="eastAsia"/>
          <w:iCs/>
          <w:szCs w:val="24"/>
          <w:lang w:eastAsia="zh-CN"/>
        </w:rPr>
        <w:t>GAMP5</w:t>
      </w:r>
    </w:p>
    <w:p>
      <w:pPr>
        <w:pStyle w:val="35"/>
        <w:numPr>
          <w:ilvl w:val="0"/>
          <w:numId w:val="5"/>
        </w:numPr>
        <w:spacing w:before="0" w:line="360" w:lineRule="auto"/>
        <w:ind w:left="777"/>
        <w:jc w:val="left"/>
        <w:rPr>
          <w:iCs/>
          <w:szCs w:val="24"/>
          <w:lang w:eastAsia="zh-CN"/>
        </w:rPr>
      </w:pPr>
      <w:r>
        <w:rPr>
          <w:rFonts w:hint="eastAsia"/>
          <w:iCs/>
          <w:szCs w:val="24"/>
          <w:lang w:eastAsia="zh-CN"/>
        </w:rPr>
        <w:t>GMP 附件1《计算机化系统》（2015版）</w:t>
      </w:r>
    </w:p>
    <w:p>
      <w:pPr>
        <w:pStyle w:val="35"/>
        <w:numPr>
          <w:ilvl w:val="0"/>
          <w:numId w:val="5"/>
        </w:numPr>
        <w:spacing w:before="0" w:line="360" w:lineRule="auto"/>
        <w:ind w:left="777"/>
        <w:jc w:val="left"/>
        <w:rPr>
          <w:iCs/>
          <w:szCs w:val="24"/>
          <w:lang w:eastAsia="zh-CN"/>
        </w:rPr>
      </w:pPr>
      <w:r>
        <w:rPr>
          <w:rFonts w:hint="eastAsia"/>
          <w:iCs/>
          <w:szCs w:val="24"/>
          <w:lang w:eastAsia="zh-CN"/>
        </w:rPr>
        <w:t>GMP附件2《确认与验证》（2015版）</w:t>
      </w:r>
    </w:p>
    <w:p>
      <w:pPr>
        <w:pStyle w:val="35"/>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5"/>
        <w:numPr>
          <w:ilvl w:val="0"/>
          <w:numId w:val="5"/>
        </w:numPr>
        <w:spacing w:before="0" w:line="360" w:lineRule="auto"/>
        <w:ind w:left="777"/>
        <w:jc w:val="left"/>
        <w:rPr>
          <w:i/>
          <w:szCs w:val="21"/>
          <w:lang w:eastAsia="zh-CN"/>
        </w:rPr>
      </w:pPr>
      <w:r>
        <w:rPr>
          <w:iCs/>
          <w:szCs w:val="24"/>
          <w:lang w:eastAsia="zh-CN"/>
        </w:rPr>
        <w:t>电气安全应符合GB4793.1和GB4793.4的要求。</w:t>
      </w:r>
      <w:bookmarkStart w:id="50" w:name="_GoBack"/>
      <w:bookmarkEnd w:id="50"/>
    </w:p>
    <w:p>
      <w:pPr>
        <w:pStyle w:val="35"/>
        <w:spacing w:before="0" w:line="360" w:lineRule="auto"/>
        <w:ind w:left="357"/>
        <w:jc w:val="left"/>
        <w:rPr>
          <w:i/>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22" w:name="_Toc522716119"/>
      <w:bookmarkStart w:id="23" w:name="_Toc522107739"/>
      <w:r>
        <w:rPr>
          <w:rFonts w:ascii="Times New Roman" w:hAnsi="Times New Roman"/>
          <w:b/>
        </w:rPr>
        <w:t>系统描述</w:t>
      </w:r>
      <w:bookmarkEnd w:id="22"/>
      <w:bookmarkEnd w:id="23"/>
    </w:p>
    <w:p>
      <w:pPr>
        <w:pStyle w:val="35"/>
        <w:spacing w:before="0" w:line="360" w:lineRule="auto"/>
        <w:ind w:left="357"/>
        <w:jc w:val="left"/>
        <w:rPr>
          <w:rFonts w:ascii="宋体" w:hAnsi="宋体"/>
          <w:color w:val="000000"/>
          <w:sz w:val="21"/>
          <w:szCs w:val="21"/>
          <w:lang w:eastAsia="zh-CN"/>
        </w:rPr>
      </w:pPr>
      <w:r>
        <w:rPr>
          <w:rFonts w:hint="eastAsia"/>
          <w:sz w:val="21"/>
          <w:szCs w:val="21"/>
          <w:lang w:eastAsia="zh-CN"/>
        </w:rPr>
        <w:t>分包装室</w:t>
      </w:r>
      <w:r>
        <w:rPr>
          <w:rFonts w:hint="eastAsia" w:ascii="宋体" w:hAnsi="宋体"/>
          <w:color w:val="000000"/>
          <w:sz w:val="21"/>
          <w:szCs w:val="21"/>
          <w:lang w:eastAsia="zh-CN"/>
        </w:rPr>
        <w:t>需要购买西林瓶多支装包装生产线，用于新冠2ml或3ml西林瓶40支一盒包装形式的自动化包装设备，</w:t>
      </w:r>
      <w:r>
        <w:rPr>
          <w:rFonts w:hint="eastAsia"/>
          <w:sz w:val="21"/>
          <w:szCs w:val="21"/>
          <w:lang w:eastAsia="zh-CN"/>
        </w:rPr>
        <w:t>裹包机主要用于包装线产品自动裹包</w:t>
      </w:r>
      <w:r>
        <w:rPr>
          <w:rFonts w:hint="eastAsia"/>
          <w:i/>
          <w:color w:val="4472C4"/>
          <w:szCs w:val="21"/>
          <w:lang w:eastAsia="zh-CN"/>
        </w:rPr>
        <w:t>。</w:t>
      </w:r>
      <w:r>
        <w:rPr>
          <w:rFonts w:hint="eastAsia" w:ascii="宋体" w:hAnsi="宋体"/>
          <w:color w:val="000000"/>
          <w:sz w:val="21"/>
          <w:szCs w:val="21"/>
          <w:lang w:eastAsia="zh-CN"/>
        </w:rPr>
        <w:t>整个设备需满足现行中国</w:t>
      </w:r>
      <w:r>
        <w:rPr>
          <w:rFonts w:ascii="宋体" w:hAnsi="宋体"/>
          <w:color w:val="000000"/>
          <w:sz w:val="21"/>
          <w:szCs w:val="21"/>
          <w:lang w:eastAsia="zh-CN"/>
        </w:rPr>
        <w:t>GMP</w:t>
      </w:r>
      <w:r>
        <w:rPr>
          <w:rFonts w:hint="eastAsia" w:ascii="宋体" w:hAnsi="宋体"/>
          <w:color w:val="000000"/>
          <w:sz w:val="21"/>
          <w:szCs w:val="21"/>
          <w:lang w:eastAsia="zh-CN"/>
        </w:rPr>
        <w:t>和</w:t>
      </w:r>
      <w:r>
        <w:rPr>
          <w:rFonts w:ascii="宋体" w:hAnsi="宋体"/>
          <w:color w:val="000000"/>
          <w:sz w:val="21"/>
          <w:szCs w:val="21"/>
          <w:lang w:eastAsia="zh-CN"/>
        </w:rPr>
        <w:t>WHO-GMP</w:t>
      </w:r>
      <w:r>
        <w:rPr>
          <w:rFonts w:hint="eastAsia" w:ascii="宋体" w:hAnsi="宋体"/>
          <w:color w:val="000000"/>
          <w:sz w:val="21"/>
          <w:szCs w:val="21"/>
          <w:lang w:eastAsia="zh-CN"/>
        </w:rPr>
        <w:t>相关生产、安装、测试和验证要求。</w:t>
      </w:r>
    </w:p>
    <w:p>
      <w:pPr>
        <w:pStyle w:val="31"/>
        <w:numPr>
          <w:ilvl w:val="0"/>
          <w:numId w:val="3"/>
        </w:numPr>
        <w:spacing w:after="158" w:afterLines="50"/>
        <w:ind w:left="426" w:hanging="426" w:hangingChars="202"/>
        <w:outlineLvl w:val="0"/>
        <w:rPr>
          <w:rFonts w:ascii="Times New Roman" w:hAnsi="Times New Roman"/>
          <w:b/>
          <w:szCs w:val="21"/>
        </w:rPr>
      </w:pPr>
      <w:bookmarkStart w:id="24" w:name="_Toc522716120"/>
      <w:r>
        <w:rPr>
          <w:rFonts w:ascii="Times New Roman" w:hAnsi="Times New Roman"/>
          <w:b/>
          <w:szCs w:val="21"/>
        </w:rPr>
        <w:t>安装要求</w:t>
      </w:r>
      <w:bookmarkEnd w:id="24"/>
    </w:p>
    <w:p>
      <w:pPr>
        <w:pStyle w:val="31"/>
        <w:spacing w:after="158" w:afterLines="50"/>
        <w:ind w:left="425" w:firstLine="0" w:firstLineChars="0"/>
        <w:rPr>
          <w:rFonts w:ascii="Times New Roman" w:hAnsi="Times New Roman"/>
          <w:szCs w:val="21"/>
        </w:rPr>
      </w:pPr>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bookmarkStart w:id="25" w:name="OLE_LINK2"/>
            <w:bookmarkStart w:id="26" w:name="OLE_LINK1"/>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
                <w:color w:val="0070C0"/>
                <w:szCs w:val="21"/>
                <w:lang w:eastAsia="zh-CN"/>
              </w:rPr>
            </w:pPr>
            <w:r>
              <w:rPr>
                <w:rFonts w:hint="eastAsia" w:ascii="宋体" w:hAnsi="宋体"/>
                <w:color w:val="000000"/>
                <w:lang w:eastAsia="zh-CN"/>
              </w:rPr>
              <w:t>金港物检包装车间</w:t>
            </w:r>
          </w:p>
        </w:tc>
        <w:tc>
          <w:tcPr>
            <w:tcW w:w="2125" w:type="dxa"/>
            <w:vAlign w:val="center"/>
          </w:tcPr>
          <w:p>
            <w:pPr>
              <w:jc w:val="center"/>
              <w:rPr>
                <w:i/>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
                <w:szCs w:val="21"/>
                <w:lang w:eastAsia="zh-CN"/>
              </w:rPr>
            </w:pPr>
            <w:r>
              <w:rPr>
                <w:rFonts w:hint="eastAsia" w:ascii="宋体" w:hAnsi="宋体"/>
                <w:color w:val="000000"/>
                <w:szCs w:val="21"/>
                <w:lang w:eastAsia="zh-CN"/>
              </w:rPr>
              <w:t>设备最大占地尺寸不大于长×宽×高=</w:t>
            </w:r>
            <w:r>
              <w:rPr>
                <w:rFonts w:hint="eastAsia" w:ascii="宋体" w:hAnsi="宋体"/>
                <w:color w:val="000000"/>
                <w:lang w:eastAsia="zh-CN"/>
              </w:rPr>
              <w:t>3000mm×3000mm×2500mm</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70C0"/>
                <w:szCs w:val="21"/>
                <w:lang w:val="en-US" w:eastAsia="zh-CN"/>
              </w:rPr>
            </w:pPr>
            <w:r>
              <w:rPr>
                <w:rFonts w:ascii="宋体" w:hAnsi="宋体"/>
                <w:color w:val="000000"/>
                <w:lang w:eastAsia="zh-CN"/>
              </w:rPr>
              <w:t>设备的形式尺寸应符合制造商说明书及技术文件规定的要求。</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70C0"/>
                <w:szCs w:val="21"/>
                <w:lang w:eastAsia="zh-CN"/>
              </w:rPr>
            </w:pPr>
            <w:r>
              <w:rPr>
                <w:rFonts w:ascii="宋体" w:hAnsi="宋体"/>
                <w:color w:val="000000"/>
                <w:lang w:eastAsia="zh-CN"/>
              </w:rPr>
              <w:t>供应商必须给出设备选型方案及相应附件选型方案，并交给我公司使用部门及工程类部门审核。</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lang w:eastAsia="zh-CN"/>
              </w:rPr>
            </w:pPr>
            <w:r>
              <w:rPr>
                <w:rFonts w:ascii="宋体" w:hAnsi="宋体"/>
                <w:color w:val="000000"/>
                <w:lang w:eastAsia="zh-CN"/>
              </w:rPr>
              <w:t>设备</w:t>
            </w:r>
            <w:r>
              <w:rPr>
                <w:rFonts w:hint="eastAsia" w:ascii="宋体" w:hAnsi="宋体"/>
                <w:color w:val="000000"/>
                <w:lang w:eastAsia="zh-CN"/>
              </w:rPr>
              <w:t>安装后应留</w:t>
            </w:r>
            <w:r>
              <w:rPr>
                <w:rFonts w:ascii="宋体" w:hAnsi="宋体"/>
                <w:color w:val="000000"/>
                <w:lang w:eastAsia="zh-CN"/>
              </w:rPr>
              <w:t>有足够的</w:t>
            </w:r>
            <w:r>
              <w:rPr>
                <w:rFonts w:hint="eastAsia" w:ascii="宋体" w:hAnsi="宋体"/>
                <w:color w:val="000000"/>
                <w:lang w:eastAsia="zh-CN"/>
              </w:rPr>
              <w:t>生产操作和维修</w:t>
            </w:r>
            <w:r>
              <w:rPr>
                <w:rFonts w:ascii="宋体" w:hAnsi="宋体"/>
                <w:color w:val="000000"/>
                <w:lang w:eastAsia="zh-CN"/>
              </w:rPr>
              <w:t>空间</w:t>
            </w:r>
            <w:r>
              <w:rPr>
                <w:rFonts w:hint="eastAsia" w:ascii="宋体" w:hAnsi="宋体"/>
                <w:color w:val="000000"/>
                <w:lang w:eastAsia="zh-CN"/>
              </w:rPr>
              <w:t>，满足使用和维修的需要。</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
                <w:color w:val="0070C0"/>
                <w:szCs w:val="21"/>
                <w:lang w:eastAsia="zh-CN"/>
              </w:rPr>
            </w:pPr>
            <w:r>
              <w:rPr>
                <w:rFonts w:hint="eastAsia" w:ascii="宋体" w:hAnsi="宋体"/>
                <w:color w:val="000000"/>
                <w:szCs w:val="21"/>
                <w:lang w:eastAsia="zh-CN"/>
              </w:rPr>
              <w:t>重量（</w:t>
            </w:r>
            <w:r>
              <w:rPr>
                <w:color w:val="000000"/>
                <w:szCs w:val="21"/>
                <w:lang w:eastAsia="zh-CN"/>
              </w:rPr>
              <w:t>kg</w:t>
            </w:r>
            <w:r>
              <w:rPr>
                <w:rFonts w:hint="eastAsia" w:ascii="宋体" w:hAnsi="宋体"/>
                <w:color w:val="000000"/>
                <w:szCs w:val="21"/>
                <w:lang w:eastAsia="zh-CN"/>
              </w:rPr>
              <w:t>）不超出房间地面承重要求</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
                <w:szCs w:val="21"/>
                <w:lang w:eastAsia="zh-CN"/>
              </w:rPr>
            </w:pPr>
            <w:r>
              <w:rPr>
                <w:rFonts w:hint="eastAsia" w:ascii="宋体" w:hAnsi="宋体"/>
                <w:color w:val="000000"/>
                <w:lang w:val="en-US" w:eastAsia="zh-CN"/>
              </w:rPr>
              <w:t>5</w:t>
            </w:r>
            <w:r>
              <w:rPr>
                <w:rFonts w:hint="eastAsia" w:ascii="宋体" w:hAnsi="宋体"/>
                <w:color w:val="000000"/>
                <w:lang w:eastAsia="zh-CN"/>
              </w:rPr>
              <w:t>-7bar无水无油的压缩空气</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iCs/>
                <w:lang w:eastAsia="zh-CN"/>
              </w:rPr>
              <w:t>工作环境</w:t>
            </w:r>
            <w:r>
              <w:rPr>
                <w:rFonts w:hint="eastAsia" w:ascii="宋体" w:hAnsi="宋体"/>
                <w:color w:val="000000"/>
                <w:lang w:eastAsia="zh-CN"/>
              </w:rPr>
              <w:t>温度：</w:t>
            </w:r>
            <w:r>
              <w:rPr>
                <w:rFonts w:ascii="宋体" w:hAnsi="宋体"/>
                <w:iCs/>
                <w:lang w:eastAsia="zh-CN"/>
              </w:rPr>
              <w:t>18</w:t>
            </w:r>
            <w:r>
              <w:rPr>
                <w:rFonts w:hint="eastAsia" w:ascii="宋体" w:hAnsi="宋体"/>
                <w:iCs/>
                <w:lang w:eastAsia="zh-CN"/>
              </w:rPr>
              <w:t>℃～</w:t>
            </w:r>
            <w:r>
              <w:rPr>
                <w:rFonts w:ascii="宋体" w:hAnsi="宋体"/>
                <w:iCs/>
                <w:lang w:eastAsia="zh-CN"/>
              </w:rPr>
              <w:t>2</w:t>
            </w:r>
            <w:r>
              <w:rPr>
                <w:rFonts w:hint="eastAsia" w:ascii="宋体" w:hAnsi="宋体"/>
                <w:iCs/>
                <w:lang w:eastAsia="zh-CN"/>
              </w:rPr>
              <w:t>5℃环境   设备适应温度：0℃～35℃</w:t>
            </w:r>
          </w:p>
        </w:tc>
        <w:tc>
          <w:tcPr>
            <w:tcW w:w="2125" w:type="dxa"/>
            <w:vAlign w:val="center"/>
          </w:tcPr>
          <w:p>
            <w:pPr>
              <w:jc w:val="center"/>
              <w:rPr>
                <w:rFonts w:ascii="宋体" w:hAnsi="宋体"/>
                <w:szCs w:val="21"/>
                <w:lang w:eastAsia="zh-CN"/>
              </w:rPr>
            </w:pPr>
            <w:r>
              <w:rPr>
                <w:rFonts w:hint="eastAsia" w:ascii="宋体" w:hAnsi="宋体"/>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color w:val="000000"/>
                <w:lang w:eastAsia="zh-CN"/>
              </w:rPr>
              <w:t>工作环境湿度：</w:t>
            </w:r>
            <w:r>
              <w:rPr>
                <w:rFonts w:ascii="宋体" w:hAnsi="宋体"/>
                <w:lang w:eastAsia="zh-CN"/>
              </w:rPr>
              <w:t>45%</w:t>
            </w:r>
            <w:r>
              <w:rPr>
                <w:rFonts w:hint="eastAsia" w:ascii="宋体" w:hAnsi="宋体"/>
                <w:lang w:eastAsia="zh-CN"/>
              </w:rPr>
              <w:t>～</w:t>
            </w:r>
            <w:r>
              <w:rPr>
                <w:rFonts w:ascii="宋体" w:hAnsi="宋体"/>
                <w:lang w:eastAsia="zh-CN"/>
              </w:rPr>
              <w:t>65%</w:t>
            </w:r>
            <w:r>
              <w:rPr>
                <w:rFonts w:hint="eastAsia" w:ascii="宋体" w:hAnsi="宋体"/>
                <w:lang w:eastAsia="zh-CN"/>
              </w:rPr>
              <w:t xml:space="preserve">   </w:t>
            </w:r>
            <w:r>
              <w:rPr>
                <w:rFonts w:hint="eastAsia" w:ascii="宋体" w:hAnsi="宋体"/>
                <w:iCs/>
                <w:lang w:eastAsia="zh-CN"/>
              </w:rPr>
              <w:t>设备适应湿度：</w:t>
            </w:r>
            <w:r>
              <w:rPr>
                <w:rFonts w:ascii="宋体" w:hAnsi="宋体"/>
                <w:lang w:eastAsia="zh-CN"/>
              </w:rPr>
              <w:t>45%</w:t>
            </w:r>
            <w:r>
              <w:rPr>
                <w:rFonts w:hint="eastAsia" w:ascii="宋体" w:hAnsi="宋体"/>
                <w:lang w:eastAsia="zh-CN"/>
              </w:rPr>
              <w:t>～90</w:t>
            </w:r>
            <w:r>
              <w:rPr>
                <w:rFonts w:ascii="宋体" w:hAnsi="宋体"/>
                <w:lang w:eastAsia="zh-CN"/>
              </w:rPr>
              <w:t>%</w:t>
            </w:r>
          </w:p>
        </w:tc>
        <w:tc>
          <w:tcPr>
            <w:tcW w:w="2125" w:type="dxa"/>
            <w:vAlign w:val="center"/>
          </w:tcPr>
          <w:p>
            <w:pPr>
              <w:jc w:val="center"/>
              <w:rPr>
                <w:rFonts w:ascii="宋体" w:hAnsi="宋体"/>
                <w:szCs w:val="21"/>
                <w:lang w:eastAsia="zh-CN"/>
              </w:rPr>
            </w:pPr>
            <w:r>
              <w:rPr>
                <w:rFonts w:hint="eastAsia" w:ascii="宋体" w:hAnsi="宋体"/>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lang w:eastAsia="zh-CN"/>
              </w:rPr>
            </w:pPr>
            <w:r>
              <w:rPr>
                <w:rFonts w:ascii="宋体" w:hAnsi="宋体"/>
                <w:color w:val="000000"/>
                <w:lang w:eastAsia="zh-CN"/>
              </w:rPr>
              <w:t>工作环境洁净级别： CNC区</w:t>
            </w:r>
          </w:p>
        </w:tc>
        <w:tc>
          <w:tcPr>
            <w:tcW w:w="2125" w:type="dxa"/>
            <w:vAlign w:val="center"/>
          </w:tcPr>
          <w:p>
            <w:pPr>
              <w:jc w:val="center"/>
              <w:rPr>
                <w:rFonts w:ascii="宋体" w:hAnsi="宋体"/>
                <w:szCs w:val="21"/>
                <w:lang w:eastAsia="zh-CN"/>
              </w:rPr>
            </w:pPr>
            <w:r>
              <w:rPr>
                <w:rFonts w:hint="eastAsia" w:ascii="宋体" w:hAnsi="宋体"/>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lang w:eastAsia="zh-CN"/>
              </w:rPr>
            </w:pPr>
            <w:r>
              <w:rPr>
                <w:rFonts w:hint="eastAsia" w:ascii="宋体" w:hAnsi="宋体"/>
                <w:lang w:eastAsia="zh-CN"/>
              </w:rPr>
              <w:t>匹配我公司交流电电源：</w:t>
            </w:r>
            <w:r>
              <w:rPr>
                <w:rFonts w:ascii="宋体" w:hAnsi="宋体"/>
                <w:lang w:eastAsia="zh-CN"/>
              </w:rPr>
              <w:t>AC</w:t>
            </w:r>
            <w:r>
              <w:rPr>
                <w:rFonts w:hint="eastAsia" w:ascii="宋体" w:hAnsi="宋体"/>
                <w:lang w:eastAsia="zh-CN"/>
              </w:rPr>
              <w:t>380±10</w:t>
            </w:r>
            <w:r>
              <w:rPr>
                <w:rFonts w:ascii="宋体" w:hAnsi="宋体"/>
                <w:lang w:eastAsia="zh-CN"/>
              </w:rPr>
              <w:t>% V</w:t>
            </w:r>
            <w:r>
              <w:rPr>
                <w:rFonts w:hint="eastAsia" w:ascii="宋体" w:hAnsi="宋体"/>
                <w:lang w:eastAsia="zh-CN"/>
              </w:rPr>
              <w:t>；三相；</w:t>
            </w:r>
            <w:r>
              <w:rPr>
                <w:rFonts w:ascii="宋体" w:hAnsi="宋体"/>
                <w:lang w:eastAsia="zh-CN"/>
              </w:rPr>
              <w:t>50 Hz</w:t>
            </w:r>
          </w:p>
        </w:tc>
        <w:tc>
          <w:tcPr>
            <w:tcW w:w="2125" w:type="dxa"/>
            <w:vAlign w:val="center"/>
          </w:tcPr>
          <w:p>
            <w:pPr>
              <w:jc w:val="center"/>
              <w:rPr>
                <w:rFonts w:ascii="宋体" w:hAnsi="宋体"/>
                <w:szCs w:val="21"/>
                <w:lang w:eastAsia="zh-CN"/>
              </w:rPr>
            </w:pPr>
            <w:r>
              <w:rPr>
                <w:rFonts w:hint="eastAsia" w:ascii="宋体" w:hAnsi="宋体"/>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lang w:eastAsia="zh-CN"/>
              </w:rPr>
            </w:pPr>
            <w:r>
              <w:rPr>
                <w:rFonts w:hint="eastAsia" w:ascii="宋体" w:hAnsi="宋体"/>
                <w:color w:val="000000"/>
                <w:lang w:eastAsia="zh-CN"/>
              </w:rPr>
              <w:t>设备各零部件齐全并且连接可靠，外观端正，不得有异常变形、毛刺和锈蚀等缺陷。</w:t>
            </w:r>
          </w:p>
          <w:p>
            <w:pPr>
              <w:spacing w:line="276" w:lineRule="auto"/>
              <w:jc w:val="both"/>
              <w:rPr>
                <w:rFonts w:ascii="宋体" w:hAnsi="宋体"/>
                <w:color w:val="000000"/>
                <w:lang w:eastAsia="zh-CN"/>
              </w:rPr>
            </w:pPr>
            <w:r>
              <w:rPr>
                <w:rFonts w:ascii="宋体" w:hAnsi="宋体"/>
                <w:color w:val="000000"/>
                <w:lang w:eastAsia="zh-CN"/>
              </w:rPr>
              <w:t>所有暴露的机器表面</w:t>
            </w:r>
            <w:r>
              <w:rPr>
                <w:rFonts w:hint="eastAsia" w:ascii="宋体" w:hAnsi="宋体"/>
                <w:color w:val="000000"/>
                <w:lang w:eastAsia="zh-CN"/>
              </w:rPr>
              <w:t>、电气柜表面等使用的不锈钢</w:t>
            </w:r>
            <w:r>
              <w:rPr>
                <w:rFonts w:ascii="宋体" w:hAnsi="宋体"/>
                <w:color w:val="000000"/>
                <w:lang w:eastAsia="zh-CN"/>
              </w:rPr>
              <w:t>都应</w:t>
            </w:r>
            <w:r>
              <w:rPr>
                <w:rFonts w:hint="eastAsia" w:ascii="宋体" w:hAnsi="宋体"/>
                <w:color w:val="000000"/>
                <w:lang w:eastAsia="zh-CN"/>
              </w:rPr>
              <w:t>为表面拉丝处理过的</w:t>
            </w:r>
            <w:r>
              <w:rPr>
                <w:rFonts w:ascii="宋体" w:hAnsi="宋体"/>
                <w:color w:val="000000"/>
                <w:lang w:eastAsia="zh-CN"/>
              </w:rPr>
              <w:t>AISI 304</w:t>
            </w:r>
            <w:r>
              <w:rPr>
                <w:rFonts w:hint="eastAsia" w:ascii="宋体" w:hAnsi="宋体"/>
                <w:color w:val="000000"/>
                <w:lang w:eastAsia="zh-CN"/>
              </w:rPr>
              <w:t>材料</w:t>
            </w:r>
          </w:p>
          <w:p>
            <w:pPr>
              <w:spacing w:line="276" w:lineRule="auto"/>
              <w:jc w:val="both"/>
              <w:rPr>
                <w:rFonts w:ascii="宋体" w:hAnsi="宋体"/>
                <w:color w:val="000000"/>
                <w:lang w:eastAsia="zh-CN"/>
              </w:rPr>
            </w:pPr>
            <w:r>
              <w:rPr>
                <w:rFonts w:hint="eastAsia" w:ascii="宋体" w:hAnsi="宋体"/>
                <w:color w:val="000000"/>
                <w:lang w:eastAsia="zh-CN"/>
              </w:rPr>
              <w:t>设备操作面的高度符合人体工程学的要求，适合中国人的体型及身高，保证操作工人工作的舒适与便捷。</w:t>
            </w:r>
          </w:p>
        </w:tc>
        <w:tc>
          <w:tcPr>
            <w:tcW w:w="2125" w:type="dxa"/>
            <w:vAlign w:val="center"/>
          </w:tcPr>
          <w:p>
            <w:pPr>
              <w:jc w:val="center"/>
              <w:rPr>
                <w:rFonts w:ascii="宋体" w:hAnsi="宋体"/>
                <w:szCs w:val="21"/>
                <w:lang w:eastAsia="zh-CN"/>
              </w:rPr>
            </w:pPr>
            <w:r>
              <w:rPr>
                <w:rFonts w:hint="eastAsia" w:ascii="宋体" w:hAnsi="宋体"/>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lang w:eastAsia="zh-CN"/>
              </w:rPr>
            </w:pPr>
            <w:r>
              <w:rPr>
                <w:rFonts w:ascii="宋体" w:hAnsi="宋体"/>
                <w:color w:val="000000"/>
                <w:lang w:eastAsia="zh-CN"/>
              </w:rPr>
              <w:t xml:space="preserve">标识：至少应有以下永久贴牢和清楚易认的标识： </w:t>
            </w:r>
          </w:p>
          <w:p>
            <w:pPr>
              <w:spacing w:line="276" w:lineRule="auto"/>
              <w:jc w:val="both"/>
              <w:rPr>
                <w:rFonts w:ascii="宋体" w:hAnsi="宋体"/>
                <w:color w:val="000000"/>
                <w:lang w:eastAsia="zh-CN"/>
              </w:rPr>
            </w:pPr>
            <w:r>
              <w:rPr>
                <w:rFonts w:ascii="宋体" w:hAnsi="宋体"/>
                <w:color w:val="000000"/>
                <w:lang w:eastAsia="zh-CN"/>
              </w:rPr>
              <w:t>（1）制造/供应单位；</w:t>
            </w:r>
          </w:p>
          <w:p>
            <w:pPr>
              <w:spacing w:line="276" w:lineRule="auto"/>
              <w:jc w:val="both"/>
              <w:rPr>
                <w:rFonts w:ascii="宋体" w:hAnsi="宋体"/>
                <w:color w:val="000000"/>
                <w:lang w:eastAsia="zh-CN"/>
              </w:rPr>
            </w:pPr>
            <w:r>
              <w:rPr>
                <w:rFonts w:ascii="宋体" w:hAnsi="宋体"/>
                <w:color w:val="000000"/>
                <w:lang w:eastAsia="zh-CN"/>
              </w:rPr>
              <w:t>（</w:t>
            </w:r>
            <w:r>
              <w:rPr>
                <w:rFonts w:hint="eastAsia" w:ascii="宋体" w:hAnsi="宋体"/>
                <w:color w:val="000000"/>
                <w:lang w:val="en-US" w:eastAsia="zh-CN"/>
              </w:rPr>
              <w:t>2</w:t>
            </w:r>
            <w:r>
              <w:rPr>
                <w:rFonts w:ascii="宋体" w:hAnsi="宋体"/>
                <w:color w:val="000000"/>
                <w:lang w:eastAsia="zh-CN"/>
              </w:rPr>
              <w:t>）型号；</w:t>
            </w:r>
          </w:p>
          <w:p>
            <w:pPr>
              <w:spacing w:line="276" w:lineRule="auto"/>
              <w:jc w:val="both"/>
              <w:rPr>
                <w:rFonts w:ascii="宋体" w:hAnsi="宋体"/>
                <w:color w:val="000000"/>
                <w:lang w:eastAsia="zh-CN"/>
              </w:rPr>
            </w:pPr>
            <w:r>
              <w:rPr>
                <w:rFonts w:ascii="宋体" w:hAnsi="宋体"/>
                <w:color w:val="000000"/>
                <w:lang w:eastAsia="zh-CN"/>
              </w:rPr>
              <w:t>（</w:t>
            </w:r>
            <w:r>
              <w:rPr>
                <w:rFonts w:hint="eastAsia" w:ascii="宋体" w:hAnsi="宋体"/>
                <w:color w:val="000000"/>
                <w:lang w:val="en-US" w:eastAsia="zh-CN"/>
              </w:rPr>
              <w:t>3</w:t>
            </w:r>
            <w:r>
              <w:rPr>
                <w:rFonts w:ascii="宋体" w:hAnsi="宋体"/>
                <w:color w:val="000000"/>
                <w:lang w:eastAsia="zh-CN"/>
              </w:rPr>
              <w:t>）生产日期或编号；</w:t>
            </w:r>
          </w:p>
          <w:p>
            <w:pPr>
              <w:spacing w:line="276" w:lineRule="auto"/>
              <w:jc w:val="both"/>
              <w:rPr>
                <w:rFonts w:ascii="宋体" w:hAnsi="宋体"/>
                <w:color w:val="000000"/>
                <w:lang w:eastAsia="zh-CN"/>
              </w:rPr>
            </w:pPr>
            <w:r>
              <w:rPr>
                <w:rFonts w:ascii="宋体" w:hAnsi="宋体"/>
                <w:color w:val="000000"/>
                <w:lang w:eastAsia="zh-CN"/>
              </w:rPr>
              <w:t>（</w:t>
            </w:r>
            <w:r>
              <w:rPr>
                <w:rFonts w:hint="eastAsia" w:ascii="宋体" w:hAnsi="宋体"/>
                <w:color w:val="000000"/>
                <w:lang w:val="en-US" w:eastAsia="zh-CN"/>
              </w:rPr>
              <w:t>4</w:t>
            </w:r>
            <w:r>
              <w:rPr>
                <w:rFonts w:ascii="宋体" w:hAnsi="宋体"/>
                <w:color w:val="000000"/>
                <w:lang w:eastAsia="zh-CN"/>
              </w:rPr>
              <w:t>）对设备必要的说明；</w:t>
            </w:r>
          </w:p>
          <w:p>
            <w:pPr>
              <w:pStyle w:val="8"/>
              <w:spacing w:line="276" w:lineRule="auto"/>
              <w:rPr>
                <w:rFonts w:ascii="宋体" w:hAnsi="宋体"/>
                <w:color w:val="0070C0"/>
                <w:sz w:val="21"/>
                <w:szCs w:val="21"/>
                <w:lang w:eastAsia="zh-CN"/>
              </w:rPr>
            </w:pPr>
            <w:r>
              <w:rPr>
                <w:rFonts w:ascii="宋体" w:hAnsi="宋体"/>
                <w:color w:val="000000"/>
                <w:sz w:val="21"/>
                <w:szCs w:val="20"/>
                <w:lang w:eastAsia="zh-CN"/>
              </w:rPr>
              <w:t>（</w:t>
            </w:r>
            <w:r>
              <w:rPr>
                <w:rFonts w:hint="eastAsia" w:ascii="宋体" w:hAnsi="宋体"/>
                <w:color w:val="000000"/>
                <w:sz w:val="21"/>
                <w:szCs w:val="20"/>
                <w:lang w:val="en-US" w:eastAsia="zh-CN"/>
              </w:rPr>
              <w:t>5</w:t>
            </w:r>
            <w:r>
              <w:rPr>
                <w:rFonts w:ascii="宋体" w:hAnsi="宋体"/>
                <w:color w:val="000000"/>
                <w:sz w:val="21"/>
                <w:szCs w:val="20"/>
                <w:lang w:eastAsia="zh-CN"/>
              </w:rPr>
              <w:t>）安全标识。</w:t>
            </w:r>
          </w:p>
        </w:tc>
        <w:tc>
          <w:tcPr>
            <w:tcW w:w="2125" w:type="dxa"/>
            <w:vAlign w:val="center"/>
          </w:tcPr>
          <w:p>
            <w:pPr>
              <w:jc w:val="center"/>
              <w:rPr>
                <w:rFonts w:ascii="宋体" w:hAnsi="宋体"/>
                <w:szCs w:val="21"/>
                <w:lang w:eastAsia="zh-CN"/>
              </w:rPr>
            </w:pPr>
            <w:r>
              <w:rPr>
                <w:rFonts w:hint="eastAsia" w:ascii="宋体" w:hAnsi="宋体"/>
                <w:iCs/>
                <w:szCs w:val="21"/>
                <w:lang w:eastAsia="zh-CN"/>
              </w:rPr>
              <w:t>关键</w:t>
            </w:r>
          </w:p>
        </w:tc>
      </w:tr>
      <w:bookmarkEnd w:id="25"/>
      <w:bookmarkEnd w:id="26"/>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6" w:hangingChars="202"/>
        <w:outlineLvl w:val="0"/>
        <w:rPr>
          <w:rFonts w:ascii="Times New Roman" w:hAnsi="Times New Roman"/>
          <w:b/>
        </w:rPr>
      </w:pPr>
      <w:bookmarkStart w:id="27" w:name="_Toc522716121"/>
      <w:bookmarkStart w:id="28" w:name="_Toc522107740"/>
      <w:r>
        <w:rPr>
          <w:rFonts w:ascii="Times New Roman" w:hAnsi="Times New Roman"/>
          <w:b/>
        </w:rPr>
        <w:t>运行要求</w:t>
      </w:r>
      <w:bookmarkEnd w:id="27"/>
      <w:bookmarkEnd w:id="28"/>
    </w:p>
    <w:p>
      <w:pPr>
        <w:pStyle w:val="35"/>
        <w:spacing w:before="0" w:line="360" w:lineRule="auto"/>
        <w:jc w:val="left"/>
        <w:rPr>
          <w:bCs/>
          <w:i/>
          <w:color w:val="4472C4"/>
          <w:kern w:val="44"/>
          <w:szCs w:val="21"/>
          <w:lang w:eastAsia="zh-CN"/>
        </w:rPr>
      </w:pPr>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ind w:firstLine="0" w:firstLineChars="0"/>
              <w:rPr>
                <w:rFonts w:ascii="Times New Roman" w:hAnsi="Times New Roman"/>
                <w:szCs w:val="21"/>
              </w:rPr>
            </w:pPr>
            <w:bookmarkStart w:id="29" w:name="_Hlk65179586"/>
          </w:p>
        </w:tc>
        <w:tc>
          <w:tcPr>
            <w:tcW w:w="9253" w:type="dxa"/>
            <w:gridSpan w:val="2"/>
            <w:vAlign w:val="center"/>
          </w:tcPr>
          <w:p>
            <w:pPr>
              <w:jc w:val="both"/>
              <w:rPr>
                <w:kern w:val="2"/>
                <w:szCs w:val="21"/>
                <w:lang w:val="en-US" w:eastAsia="zh-CN"/>
              </w:rPr>
            </w:pPr>
            <w:r>
              <w:rPr>
                <w:szCs w:val="21"/>
                <w:lang w:val="en-US" w:eastAsia="zh-CN"/>
              </w:rPr>
              <w:t>N/A</w:t>
            </w:r>
          </w:p>
        </w:tc>
      </w:tr>
      <w:bookmark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szCs w:val="21"/>
                <w:lang w:eastAsia="zh-CN"/>
              </w:rPr>
            </w:pPr>
            <w:r>
              <w:rPr>
                <w:rFonts w:hint="eastAsia" w:ascii="宋体" w:hAnsi="宋体"/>
                <w:color w:val="000000"/>
                <w:szCs w:val="21"/>
                <w:lang w:eastAsia="zh-CN"/>
              </w:rPr>
              <w:t>裹包速度≥40盒</w:t>
            </w:r>
            <w:r>
              <w:rPr>
                <w:rFonts w:ascii="宋体" w:hAnsi="宋体"/>
                <w:color w:val="000000"/>
                <w:szCs w:val="21"/>
                <w:lang w:eastAsia="zh-CN"/>
              </w:rPr>
              <w:t>/</w:t>
            </w:r>
            <w:r>
              <w:rPr>
                <w:rFonts w:hint="eastAsia" w:ascii="宋体" w:hAnsi="宋体"/>
                <w:color w:val="000000"/>
                <w:szCs w:val="21"/>
                <w:lang w:eastAsia="zh-CN"/>
              </w:rPr>
              <w:t>分钟</w:t>
            </w:r>
            <w:r>
              <w:rPr>
                <w:rFonts w:ascii="宋体" w:hAnsi="宋体"/>
                <w:color w:val="000000"/>
                <w:szCs w:val="21"/>
                <w:lang w:eastAsia="zh-CN"/>
              </w:rPr>
              <w:t>,</w:t>
            </w:r>
            <w:r>
              <w:rPr>
                <w:rFonts w:hint="eastAsia" w:ascii="宋体" w:hAnsi="宋体"/>
                <w:color w:val="000000"/>
                <w:szCs w:val="21"/>
                <w:lang w:eastAsia="zh-CN"/>
              </w:rPr>
              <w:t xml:space="preserve"> 稳定速度≥30盒</w:t>
            </w:r>
            <w:r>
              <w:rPr>
                <w:rFonts w:ascii="宋体" w:hAnsi="宋体"/>
                <w:color w:val="000000"/>
                <w:szCs w:val="21"/>
                <w:lang w:eastAsia="zh-CN"/>
              </w:rPr>
              <w:t>/</w:t>
            </w:r>
            <w:r>
              <w:rPr>
                <w:rFonts w:hint="eastAsia" w:ascii="宋体" w:hAnsi="宋体"/>
                <w:color w:val="000000"/>
                <w:szCs w:val="21"/>
                <w:lang w:eastAsia="zh-CN"/>
              </w:rPr>
              <w:t>分钟。机器速度必须可调，最大速度和最小速度都能正常运行。</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szCs w:val="21"/>
                <w:lang w:eastAsia="zh-CN"/>
              </w:rPr>
            </w:pPr>
            <w:r>
              <w:rPr>
                <w:rFonts w:hint="eastAsia"/>
                <w:szCs w:val="21"/>
                <w:lang w:eastAsia="zh-CN"/>
              </w:rPr>
              <w:t>操作系统应不少于有两种语言的切换功能（中、英）</w:t>
            </w:r>
            <w:r>
              <w:rPr>
                <w:rFonts w:hint="eastAsia" w:ascii="宋体" w:hAnsi="宋体"/>
                <w:color w:val="000000"/>
                <w:szCs w:val="21"/>
                <w:lang w:eastAsia="zh-CN"/>
              </w:rPr>
              <w:t>。</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i/>
                <w:szCs w:val="21"/>
                <w:lang w:eastAsia="zh-CN"/>
              </w:rPr>
            </w:pPr>
            <w:r>
              <w:rPr>
                <w:rFonts w:hint="eastAsia" w:ascii="宋体" w:hAnsi="宋体"/>
                <w:iCs/>
                <w:szCs w:val="21"/>
                <w:lang w:eastAsia="zh-CN"/>
              </w:rPr>
              <w:t>包材和制品的破损率都应＜</w:t>
            </w:r>
            <w:r>
              <w:rPr>
                <w:rFonts w:ascii="宋体" w:hAnsi="宋体"/>
                <w:iCs/>
                <w:szCs w:val="21"/>
                <w:lang w:eastAsia="zh-CN"/>
              </w:rPr>
              <w:t>0.1</w:t>
            </w:r>
            <w:r>
              <w:rPr>
                <w:rFonts w:hint="eastAsia" w:ascii="宋体" w:hAnsi="宋体"/>
                <w:iCs/>
                <w:szCs w:val="21"/>
                <w:lang w:eastAsia="zh-CN"/>
              </w:rPr>
              <w:t>‰</w:t>
            </w:r>
            <w:r>
              <w:rPr>
                <w:rFonts w:hint="eastAsia" w:ascii="宋体" w:hAnsi="宋体"/>
                <w:color w:val="000000"/>
                <w:szCs w:val="21"/>
                <w:lang w:eastAsia="zh-CN"/>
              </w:rPr>
              <w:t>，设备运行噪音≤80</w:t>
            </w:r>
            <w:r>
              <w:rPr>
                <w:rFonts w:ascii="宋体" w:hAnsi="宋体"/>
                <w:color w:val="000000"/>
                <w:szCs w:val="21"/>
                <w:lang w:eastAsia="zh-CN"/>
              </w:rPr>
              <w:t>db</w:t>
            </w:r>
            <w:r>
              <w:rPr>
                <w:rFonts w:hint="eastAsia" w:ascii="宋体" w:hAnsi="宋体"/>
                <w:color w:val="000000"/>
                <w:szCs w:val="21"/>
                <w:lang w:eastAsia="zh-CN"/>
              </w:rPr>
              <w:t>。</w:t>
            </w:r>
          </w:p>
        </w:tc>
        <w:tc>
          <w:tcPr>
            <w:tcW w:w="2125" w:type="dxa"/>
            <w:vAlign w:val="center"/>
          </w:tcPr>
          <w:p>
            <w:pPr>
              <w:jc w:val="center"/>
              <w:rPr>
                <w:rFonts w:ascii="宋体" w:hAnsi="宋体"/>
                <w:szCs w:val="21"/>
                <w:lang w:eastAsia="zh-CN"/>
              </w:rPr>
            </w:pPr>
            <w:r>
              <w:rPr>
                <w:rFonts w:hint="eastAsia" w:ascii="宋体" w:hAnsi="宋体"/>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iCs/>
                <w:szCs w:val="21"/>
                <w:lang w:eastAsia="zh-CN"/>
              </w:rPr>
            </w:pPr>
            <w:r>
              <w:rPr>
                <w:rFonts w:hint="eastAsia" w:ascii="宋体" w:hAnsi="宋体"/>
                <w:iCs/>
                <w:szCs w:val="21"/>
                <w:lang w:eastAsia="zh-CN"/>
              </w:rPr>
              <w:t>与生产线包装小盒规格尺寸大小匹配</w:t>
            </w:r>
            <w:r>
              <w:rPr>
                <w:rFonts w:hint="eastAsia" w:ascii="宋体" w:hAnsi="宋体"/>
                <w:color w:val="000000"/>
                <w:szCs w:val="21"/>
                <w:lang w:eastAsia="zh-CN"/>
              </w:rPr>
              <w:t>。</w:t>
            </w:r>
          </w:p>
        </w:tc>
        <w:tc>
          <w:tcPr>
            <w:tcW w:w="2125" w:type="dxa"/>
            <w:vAlign w:val="center"/>
          </w:tcPr>
          <w:p>
            <w:pPr>
              <w:jc w:val="center"/>
              <w:rPr>
                <w:rFonts w:ascii="宋体" w:hAnsi="宋体"/>
                <w:iCs/>
                <w:szCs w:val="21"/>
                <w:lang w:eastAsia="zh-CN"/>
              </w:rPr>
            </w:pPr>
            <w:r>
              <w:rPr>
                <w:rFonts w:hint="eastAsia" w:ascii="宋体" w:hAnsi="宋体"/>
                <w:iCs/>
                <w:szCs w:val="21"/>
                <w:lang w:eastAsia="zh-CN"/>
              </w:rPr>
              <w:t xml:space="preserve"> </w:t>
            </w:r>
            <w:r>
              <w:rPr>
                <w:rFonts w:ascii="宋体" w:hAnsi="宋体"/>
                <w:iCs/>
                <w:szCs w:val="21"/>
                <w:lang w:eastAsia="zh-CN"/>
              </w:rPr>
              <w:t xml:space="preserve"> </w:t>
            </w:r>
            <w:r>
              <w:rPr>
                <w:rFonts w:hint="eastAsia" w:ascii="宋体" w:hAnsi="宋体"/>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iCs/>
                <w:szCs w:val="21"/>
                <w:lang w:eastAsia="zh-CN"/>
              </w:rPr>
            </w:pPr>
            <w:r>
              <w:rPr>
                <w:rFonts w:hint="eastAsia" w:ascii="宋体" w:hAnsi="宋体"/>
                <w:color w:val="000000"/>
                <w:szCs w:val="21"/>
              </w:rPr>
              <w:t>裹包合格率：高于99.99%</w:t>
            </w:r>
            <w:r>
              <w:rPr>
                <w:rFonts w:hint="eastAsia" w:ascii="宋体" w:hAnsi="宋体"/>
                <w:color w:val="000000"/>
                <w:szCs w:val="21"/>
                <w:lang w:eastAsia="zh-CN"/>
              </w:rPr>
              <w:t>。</w:t>
            </w:r>
          </w:p>
        </w:tc>
        <w:tc>
          <w:tcPr>
            <w:tcW w:w="2125" w:type="dxa"/>
            <w:vAlign w:val="center"/>
          </w:tcPr>
          <w:p>
            <w:pPr>
              <w:jc w:val="center"/>
              <w:rPr>
                <w:rFonts w:ascii="宋体" w:hAnsi="宋体"/>
                <w:iCs/>
                <w:szCs w:val="21"/>
                <w:lang w:eastAsia="zh-CN"/>
              </w:rPr>
            </w:pPr>
            <w:r>
              <w:rPr>
                <w:rFonts w:hint="eastAsia" w:ascii="宋体" w:hAnsi="宋体"/>
                <w:iCs/>
                <w:szCs w:val="21"/>
                <w:lang w:eastAsia="zh-CN"/>
              </w:rPr>
              <w:t xml:space="preserve">  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val="en-US" w:eastAsia="zh-CN"/>
              </w:rPr>
            </w:pPr>
            <w:r>
              <w:rPr>
                <w:rFonts w:hint="eastAsia" w:ascii="宋体" w:hAnsi="宋体" w:cs="Arial"/>
                <w:color w:val="000000"/>
                <w:szCs w:val="21"/>
                <w:lang w:eastAsia="zh-CN"/>
              </w:rPr>
              <w:t>以一天</w:t>
            </w:r>
            <w:r>
              <w:rPr>
                <w:rFonts w:ascii="宋体" w:hAnsi="宋体" w:cs="Arial"/>
                <w:color w:val="000000"/>
                <w:szCs w:val="21"/>
                <w:lang w:eastAsia="zh-CN"/>
              </w:rPr>
              <w:t>8</w:t>
            </w:r>
            <w:r>
              <w:rPr>
                <w:rFonts w:hint="eastAsia" w:ascii="宋体" w:hAnsi="宋体" w:cs="Arial"/>
                <w:color w:val="000000"/>
                <w:szCs w:val="21"/>
                <w:lang w:eastAsia="zh-CN"/>
              </w:rPr>
              <w:t>小时工作时间计算，停机处理问题总时间不得超过10分钟</w:t>
            </w:r>
            <w:r>
              <w:rPr>
                <w:rFonts w:hint="eastAsia" w:ascii="宋体" w:hAnsi="宋体"/>
                <w:color w:val="000000"/>
                <w:szCs w:val="21"/>
                <w:lang w:eastAsia="zh-CN"/>
              </w:rPr>
              <w:t>。</w:t>
            </w:r>
          </w:p>
        </w:tc>
        <w:tc>
          <w:tcPr>
            <w:tcW w:w="2125" w:type="dxa"/>
            <w:vAlign w:val="center"/>
          </w:tcPr>
          <w:p>
            <w:pPr>
              <w:ind w:firstLine="735" w:firstLineChars="350"/>
              <w:rPr>
                <w:rFonts w:ascii="宋体" w:hAnsi="宋体"/>
                <w:szCs w:val="21"/>
                <w:lang w:eastAsia="zh-CN"/>
              </w:rPr>
            </w:pPr>
            <w:r>
              <w:rPr>
                <w:rFonts w:hint="eastAsia" w:ascii="宋体" w:hAnsi="宋体"/>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Arial"/>
                <w:color w:val="000000"/>
                <w:szCs w:val="21"/>
                <w:lang w:eastAsia="zh-CN"/>
              </w:rPr>
            </w:pPr>
            <w:r>
              <w:rPr>
                <w:rFonts w:hint="eastAsia" w:ascii="宋体" w:hAnsi="宋体" w:cs="Arial"/>
                <w:color w:val="000000"/>
                <w:szCs w:val="21"/>
                <w:lang w:eastAsia="zh-CN"/>
              </w:rPr>
              <w:t>裹包样式及比例由厂家提供方案，需满足武汉公司需求</w:t>
            </w:r>
            <w:r>
              <w:rPr>
                <w:rFonts w:hint="eastAsia" w:ascii="宋体" w:hAnsi="宋体"/>
                <w:color w:val="000000"/>
                <w:szCs w:val="21"/>
                <w:lang w:eastAsia="zh-CN"/>
              </w:rPr>
              <w:t>。</w:t>
            </w:r>
          </w:p>
        </w:tc>
        <w:tc>
          <w:tcPr>
            <w:tcW w:w="2125" w:type="dxa"/>
            <w:vAlign w:val="center"/>
          </w:tcPr>
          <w:p>
            <w:pPr>
              <w:ind w:firstLine="735" w:firstLineChars="350"/>
              <w:rPr>
                <w:rFonts w:ascii="宋体" w:hAnsi="宋体"/>
                <w:iCs/>
                <w:szCs w:val="21"/>
                <w:lang w:eastAsia="zh-CN"/>
              </w:rPr>
            </w:pPr>
            <w:r>
              <w:rPr>
                <w:rFonts w:hint="eastAsia" w:ascii="宋体" w:hAnsi="宋体"/>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lang w:eastAsia="zh-CN"/>
              </w:rPr>
            </w:pPr>
            <w:r>
              <w:rPr>
                <w:rFonts w:hint="eastAsia"/>
                <w:color w:val="000000"/>
                <w:lang w:eastAsia="zh-CN"/>
              </w:rPr>
              <w:t>裹包机需要与我公司</w:t>
            </w:r>
            <w:r>
              <w:rPr>
                <w:rFonts w:hint="eastAsia" w:ascii="宋体" w:hAnsi="宋体"/>
                <w:color w:val="000000"/>
                <w:lang w:eastAsia="zh-CN"/>
              </w:rPr>
              <w:t>多支装西林瓶包装联线</w:t>
            </w:r>
            <w:r>
              <w:rPr>
                <w:rFonts w:hint="eastAsia"/>
                <w:color w:val="000000"/>
                <w:lang w:eastAsia="zh-CN"/>
              </w:rPr>
              <w:t>完全兼容。</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lang w:eastAsia="zh-CN"/>
              </w:rPr>
            </w:pPr>
            <w:r>
              <w:rPr>
                <w:rFonts w:hint="eastAsia"/>
                <w:color w:val="000000"/>
                <w:lang w:eastAsia="zh-CN"/>
              </w:rPr>
              <w:t>裹包机和装盒机、检重秤等高、直线式联线配合使用，不得降低自动包装线的生产速度。</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lang w:eastAsia="zh-CN"/>
              </w:rPr>
            </w:pPr>
            <w:r>
              <w:rPr>
                <w:rFonts w:hint="eastAsia"/>
                <w:color w:val="000000"/>
                <w:lang w:eastAsia="zh-CN"/>
              </w:rPr>
              <w:t>裹包方式：6面封膜，双侧及背面热封。</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lang w:eastAsia="zh-CN"/>
              </w:rPr>
            </w:pPr>
            <w:r>
              <w:rPr>
                <w:rFonts w:hint="eastAsia" w:ascii="宋体" w:hAnsi="宋体"/>
                <w:color w:val="000000"/>
                <w:lang w:eastAsia="zh-CN"/>
              </w:rPr>
              <w:t>裹包效果：烟膜左右对称，左右膜偏差不超过5mm；接头处粘接牢固；平整紧密，裹包紧密度适中，在后续转运过程中不会松散。</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lang w:eastAsia="zh-CN"/>
              </w:rPr>
            </w:pPr>
            <w:r>
              <w:rPr>
                <w:rFonts w:hint="eastAsia" w:ascii="宋体" w:hAnsi="宋体"/>
                <w:color w:val="000000"/>
                <w:lang w:eastAsia="zh-CN"/>
              </w:rPr>
              <w:t>配进料缓冲机构：轨道式进料缓冲，可实现连续生产不停机；产品进料传输带必须具有宽度可调节的导轨；输送带可无级变速。</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pStyle w:val="8"/>
              <w:widowControl w:val="0"/>
              <w:adjustRightInd/>
              <w:spacing w:after="0" w:line="360" w:lineRule="auto"/>
              <w:jc w:val="both"/>
              <w:textAlignment w:val="auto"/>
              <w:rPr>
                <w:rFonts w:ascii="宋体" w:hAnsi="宋体"/>
                <w:color w:val="000000"/>
                <w:sz w:val="21"/>
                <w:szCs w:val="20"/>
                <w:lang w:eastAsia="zh-CN"/>
              </w:rPr>
            </w:pPr>
            <w:r>
              <w:rPr>
                <w:rFonts w:hint="eastAsia"/>
                <w:color w:val="000000"/>
                <w:sz w:val="21"/>
                <w:szCs w:val="20"/>
                <w:lang w:eastAsia="zh-CN"/>
              </w:rPr>
              <w:t>合格产品出料必须在导轨间有序、稳定推动之前的单包进入下游设备，且要有最后一包稳定停留在裹包机出料平台指定位置，停留位置精度±3mm。</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pStyle w:val="8"/>
              <w:widowControl w:val="0"/>
              <w:adjustRightInd/>
              <w:spacing w:after="0" w:line="360" w:lineRule="auto"/>
              <w:jc w:val="both"/>
              <w:textAlignment w:val="auto"/>
              <w:rPr>
                <w:color w:val="000000"/>
                <w:sz w:val="21"/>
                <w:szCs w:val="20"/>
                <w:lang w:eastAsia="zh-CN"/>
              </w:rPr>
            </w:pPr>
            <w:r>
              <w:rPr>
                <w:rFonts w:hint="eastAsia"/>
                <w:color w:val="000000"/>
                <w:sz w:val="21"/>
                <w:szCs w:val="20"/>
                <w:lang w:eastAsia="zh-CN"/>
              </w:rPr>
              <w:t>阳台式结构，驱动与操作区域完全隔离，避免相互影响。</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pStyle w:val="8"/>
              <w:widowControl w:val="0"/>
              <w:adjustRightInd/>
              <w:spacing w:after="0" w:line="360" w:lineRule="auto"/>
              <w:jc w:val="both"/>
              <w:textAlignment w:val="auto"/>
              <w:rPr>
                <w:rFonts w:ascii="宋体" w:hAnsi="宋体"/>
                <w:color w:val="000000"/>
                <w:sz w:val="21"/>
                <w:szCs w:val="20"/>
                <w:lang w:eastAsia="zh-CN"/>
              </w:rPr>
            </w:pPr>
            <w:r>
              <w:rPr>
                <w:rFonts w:hint="eastAsia" w:ascii="宋体" w:hAnsi="宋体"/>
                <w:color w:val="000000"/>
                <w:sz w:val="21"/>
                <w:szCs w:val="20"/>
                <w:lang w:eastAsia="zh-CN"/>
              </w:rPr>
              <w:t>操作区结构简洁，小盒、薄膜运动过程易于观察；可以方便进入所有的操作和维护点位；操作区便于清洁清场，当批号或生产结束时易于清空。</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pStyle w:val="8"/>
              <w:widowControl w:val="0"/>
              <w:adjustRightInd/>
              <w:spacing w:after="0" w:line="360" w:lineRule="auto"/>
              <w:jc w:val="both"/>
              <w:textAlignment w:val="auto"/>
              <w:rPr>
                <w:rFonts w:ascii="宋体" w:hAnsi="宋体"/>
                <w:color w:val="000000"/>
                <w:sz w:val="21"/>
                <w:szCs w:val="20"/>
                <w:lang w:eastAsia="zh-CN"/>
              </w:rPr>
            </w:pPr>
            <w:r>
              <w:rPr>
                <w:rFonts w:hint="eastAsia" w:ascii="宋体" w:hAnsi="宋体"/>
                <w:color w:val="000000"/>
                <w:sz w:val="21"/>
                <w:szCs w:val="20"/>
                <w:lang w:eastAsia="zh-CN"/>
              </w:rPr>
              <w:t>规格件：可快速更换规格件，规格的调整操作简单、快捷，应可在10分钟内完成；不需要通过刻度和数字显示来手动调整，规格件可直接插入，安装后不需要微调即可正常运行。</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pStyle w:val="8"/>
              <w:widowControl w:val="0"/>
              <w:adjustRightInd/>
              <w:spacing w:after="0" w:line="360" w:lineRule="auto"/>
              <w:jc w:val="both"/>
              <w:textAlignment w:val="auto"/>
              <w:rPr>
                <w:rFonts w:ascii="宋体" w:hAnsi="宋体"/>
                <w:color w:val="000000"/>
                <w:sz w:val="21"/>
                <w:szCs w:val="20"/>
                <w:lang w:eastAsia="zh-CN"/>
              </w:rPr>
            </w:pPr>
            <w:r>
              <w:rPr>
                <w:rFonts w:hint="eastAsia" w:ascii="宋体" w:hAnsi="宋体"/>
                <w:color w:val="000000"/>
                <w:sz w:val="21"/>
                <w:szCs w:val="20"/>
                <w:lang w:eastAsia="zh-CN"/>
              </w:rPr>
              <w:t>薄膜要求：可适应0.021-0.025mm厚度的薄膜，可完全适应国产包材，对不同厂家的薄膜具有较好的适应性。</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pStyle w:val="8"/>
              <w:widowControl w:val="0"/>
              <w:adjustRightInd/>
              <w:spacing w:after="0" w:line="360" w:lineRule="auto"/>
              <w:jc w:val="both"/>
              <w:textAlignment w:val="auto"/>
              <w:rPr>
                <w:rFonts w:ascii="宋体" w:hAnsi="宋体"/>
                <w:color w:val="000000"/>
                <w:sz w:val="21"/>
                <w:szCs w:val="20"/>
                <w:lang w:eastAsia="zh-CN"/>
              </w:rPr>
            </w:pPr>
            <w:r>
              <w:rPr>
                <w:rFonts w:hint="eastAsia" w:ascii="宋体" w:hAnsi="宋体"/>
                <w:color w:val="000000"/>
                <w:sz w:val="21"/>
                <w:szCs w:val="20"/>
                <w:lang w:eastAsia="zh-CN"/>
              </w:rPr>
              <w:t>薄膜切割：薄膜切口平直；切刀刃不直接接触薄膜以外的部件，使用寿命长，需保证1年不坏。</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pStyle w:val="8"/>
              <w:spacing w:line="360" w:lineRule="auto"/>
              <w:rPr>
                <w:rFonts w:ascii="宋体" w:hAnsi="宋体"/>
                <w:color w:val="000000"/>
                <w:sz w:val="21"/>
                <w:szCs w:val="20"/>
                <w:lang w:eastAsia="zh-CN"/>
              </w:rPr>
            </w:pPr>
            <w:r>
              <w:rPr>
                <w:rFonts w:hint="eastAsia" w:ascii="宋体" w:hAnsi="宋体"/>
                <w:color w:val="000000"/>
                <w:sz w:val="21"/>
                <w:szCs w:val="20"/>
                <w:lang w:eastAsia="zh-CN"/>
              </w:rPr>
              <w:t>设备与控制柜之间电缆长度应满足车间布局要求，且留有余量。</w:t>
            </w:r>
          </w:p>
        </w:tc>
        <w:tc>
          <w:tcPr>
            <w:tcW w:w="2125" w:type="dxa"/>
            <w:vAlign w:val="center"/>
          </w:tcPr>
          <w:p>
            <w:pPr>
              <w:jc w:val="center"/>
              <w:rPr>
                <w:rFonts w:ascii="宋体" w:hAnsi="宋体"/>
                <w:color w:val="000000"/>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rPr>
                <w:rFonts w:ascii="宋体" w:hAnsi="宋体"/>
                <w:color w:val="000000"/>
                <w:lang w:eastAsia="zh-CN"/>
              </w:rPr>
            </w:pPr>
            <w:r>
              <w:rPr>
                <w:rFonts w:hint="eastAsia" w:ascii="宋体" w:hAnsi="宋体"/>
                <w:color w:val="000000"/>
                <w:lang w:eastAsia="zh-CN"/>
              </w:rPr>
              <w:t>电气线路都应装有易识别的唯一编号，按规范区分好动力线、控制线、零线及地线，同时各个系统线路标识模块化，容易分辨查找。</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rPr>
                <w:rFonts w:ascii="宋体" w:hAnsi="宋体"/>
                <w:color w:val="000000"/>
                <w:lang w:eastAsia="zh-CN"/>
              </w:rPr>
            </w:pPr>
            <w:r>
              <w:rPr>
                <w:rFonts w:hint="eastAsia" w:ascii="宋体" w:hAnsi="宋体"/>
                <w:color w:val="000000"/>
                <w:lang w:eastAsia="zh-CN"/>
              </w:rPr>
              <w:t>用于频率控制器、伺服转换器或变频器、传感器等通讯先必须使用进口优质屏蔽线，信号传输稳定可靠，有避免信号衰减或信号干扰的措施。</w:t>
            </w:r>
          </w:p>
        </w:tc>
        <w:tc>
          <w:tcPr>
            <w:tcW w:w="2125" w:type="dxa"/>
            <w:vAlign w:val="center"/>
          </w:tcPr>
          <w:p>
            <w:pPr>
              <w:jc w:val="center"/>
              <w:rPr>
                <w:iCs/>
                <w:szCs w:val="21"/>
                <w:lang w:eastAsia="zh-CN"/>
              </w:rPr>
            </w:pPr>
            <w:r>
              <w:rPr>
                <w:rFonts w:hint="eastAsia"/>
                <w:iCs/>
                <w:szCs w:val="21"/>
                <w:lang w:eastAsia="zh-CN"/>
              </w:rPr>
              <w:t>关键</w:t>
            </w:r>
          </w:p>
        </w:tc>
      </w:tr>
    </w:tbl>
    <w:p>
      <w:pPr>
        <w:pStyle w:val="31"/>
        <w:numPr>
          <w:ilvl w:val="0"/>
          <w:numId w:val="3"/>
        </w:numPr>
        <w:spacing w:after="158" w:afterLines="50"/>
        <w:ind w:left="426" w:hanging="426" w:hangingChars="202"/>
        <w:outlineLvl w:val="0"/>
        <w:rPr>
          <w:rFonts w:ascii="Times New Roman" w:hAnsi="Times New Roman"/>
          <w:b/>
        </w:rPr>
      </w:pPr>
      <w:bookmarkStart w:id="30" w:name="_Toc522716122"/>
      <w:bookmarkStart w:id="31" w:name="_Toc522107742"/>
      <w:bookmarkStart w:id="32" w:name="_Toc482360291"/>
      <w:bookmarkStart w:id="33" w:name="_Toc482370767"/>
      <w:bookmarkStart w:id="34" w:name="_Toc482370151"/>
      <w:bookmarkStart w:id="35" w:name="_Toc482370359"/>
      <w:bookmarkStart w:id="36" w:name="_Toc483227237"/>
      <w:bookmarkStart w:id="37" w:name="_Toc482359946"/>
      <w:bookmarkStart w:id="38" w:name="_Toc481702480"/>
      <w:bookmarkStart w:id="39" w:name="_Toc482370071"/>
      <w:bookmarkStart w:id="40" w:name="_Toc482625289"/>
      <w:bookmarkStart w:id="41" w:name="_Toc482369815"/>
      <w:bookmarkStart w:id="42" w:name="_Toc483400317"/>
      <w:bookmarkStart w:id="43" w:name="_Toc482717202"/>
      <w:r>
        <w:rPr>
          <w:rFonts w:ascii="Times New Roman" w:hAnsi="Times New Roman"/>
          <w:b/>
        </w:rPr>
        <w:t>电气、自动控制要求</w:t>
      </w:r>
      <w:bookmarkEnd w:id="30"/>
    </w:p>
    <w:p>
      <w:pPr>
        <w:pStyle w:val="35"/>
        <w:spacing w:before="0" w:line="360" w:lineRule="auto"/>
        <w:ind w:left="425"/>
        <w:jc w:val="left"/>
        <w:rPr>
          <w:i/>
          <w:color w:val="4472C4"/>
          <w:szCs w:val="21"/>
          <w:lang w:eastAsia="zh-CN"/>
        </w:rPr>
      </w:pPr>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pStyle w:val="8"/>
              <w:widowControl w:val="0"/>
              <w:adjustRightInd/>
              <w:spacing w:after="0" w:line="360" w:lineRule="auto"/>
              <w:jc w:val="both"/>
              <w:textAlignment w:val="auto"/>
              <w:rPr>
                <w:rFonts w:ascii="宋体" w:hAnsi="宋体"/>
                <w:bCs/>
                <w:sz w:val="24"/>
                <w:szCs w:val="30"/>
                <w:lang w:eastAsia="zh-CN"/>
              </w:rPr>
            </w:pPr>
            <w:r>
              <w:rPr>
                <w:rFonts w:hint="eastAsia" w:ascii="宋体" w:hAnsi="宋体"/>
                <w:color w:val="000000"/>
                <w:sz w:val="21"/>
                <w:szCs w:val="20"/>
                <w:lang w:eastAsia="zh-CN"/>
              </w:rPr>
              <w:t>工作气压检测：当工作气压低于或高于规定的工作压力区域或范围时，设备停机并报警，工作气压恢复至工作压力方可复位、开机。</w:t>
            </w:r>
          </w:p>
        </w:tc>
        <w:tc>
          <w:tcPr>
            <w:tcW w:w="2125" w:type="dxa"/>
            <w:vAlign w:val="center"/>
          </w:tcPr>
          <w:p>
            <w:pPr>
              <w:jc w:val="center"/>
              <w:rPr>
                <w:rFonts w:ascii="宋体" w:hAnsi="宋体"/>
                <w:szCs w:val="21"/>
                <w:lang w:eastAsia="zh-CN"/>
              </w:rPr>
            </w:pPr>
            <w:r>
              <w:rPr>
                <w:rFonts w:hint="eastAsia" w:ascii="宋体" w:hAnsi="宋体"/>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pStyle w:val="8"/>
              <w:widowControl w:val="0"/>
              <w:adjustRightInd/>
              <w:spacing w:after="0" w:line="360" w:lineRule="auto"/>
              <w:jc w:val="both"/>
              <w:textAlignment w:val="auto"/>
              <w:rPr>
                <w:rFonts w:ascii="宋体" w:hAnsi="宋体"/>
                <w:bCs/>
                <w:sz w:val="24"/>
                <w:szCs w:val="30"/>
                <w:lang w:eastAsia="zh-CN"/>
              </w:rPr>
            </w:pPr>
            <w:r>
              <w:rPr>
                <w:rFonts w:hint="eastAsia"/>
                <w:color w:val="000000"/>
                <w:sz w:val="21"/>
                <w:szCs w:val="20"/>
                <w:lang w:eastAsia="zh-CN"/>
              </w:rPr>
              <w:t>联线要求：配堵料检测装置，进料口堵料后，控制上游设备停机；下游设备故障停机时裹包机必须自动停机，当下游设备故障解决后可以自动启动机器。</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pStyle w:val="8"/>
              <w:widowControl w:val="0"/>
              <w:adjustRightInd/>
              <w:spacing w:after="0" w:line="360" w:lineRule="auto"/>
              <w:jc w:val="both"/>
              <w:textAlignment w:val="auto"/>
              <w:rPr>
                <w:color w:val="000000"/>
                <w:sz w:val="21"/>
                <w:szCs w:val="20"/>
                <w:lang w:eastAsia="zh-CN"/>
              </w:rPr>
            </w:pPr>
            <w:r>
              <w:rPr>
                <w:rFonts w:hint="eastAsia"/>
                <w:color w:val="000000"/>
                <w:sz w:val="21"/>
                <w:szCs w:val="20"/>
                <w:lang w:eastAsia="zh-CN"/>
              </w:rPr>
              <w:t>热封机构：背封杆和侧封板的温度、动作时间可设置、可控制，温度控制精确，精度在±2.5℃，如果温度超出规定的范围可自动</w:t>
            </w:r>
            <w:r>
              <w:rPr>
                <w:rFonts w:hint="eastAsia"/>
                <w:color w:val="000000"/>
                <w:sz w:val="21"/>
                <w:szCs w:val="20"/>
                <w:lang w:val="en-US" w:eastAsia="zh-CN"/>
              </w:rPr>
              <w:t>报警</w:t>
            </w:r>
            <w:r>
              <w:rPr>
                <w:rFonts w:hint="eastAsia"/>
                <w:color w:val="000000"/>
                <w:sz w:val="21"/>
                <w:szCs w:val="20"/>
                <w:lang w:eastAsia="zh-CN"/>
              </w:rPr>
              <w:t>停机；动作时间可设定，确保所有被裹包的产品均在同样的温度、时间内完成裹包。采用无涂层的热封杆和侧封板，耐磨损，保证使用寿命长；背封口位置上下可调；热封前先收紧薄膜，热封后松紧度适中。</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pStyle w:val="8"/>
              <w:widowControl w:val="0"/>
              <w:adjustRightInd/>
              <w:spacing w:after="0" w:line="360" w:lineRule="auto"/>
              <w:jc w:val="both"/>
              <w:textAlignment w:val="auto"/>
              <w:rPr>
                <w:color w:val="000000"/>
                <w:sz w:val="21"/>
                <w:szCs w:val="20"/>
                <w:lang w:eastAsia="zh-CN"/>
              </w:rPr>
            </w:pPr>
            <w:r>
              <w:rPr>
                <w:rFonts w:hint="eastAsia"/>
                <w:color w:val="000000"/>
                <w:sz w:val="21"/>
                <w:szCs w:val="20"/>
                <w:lang w:eastAsia="zh-CN"/>
              </w:rPr>
              <w:t>下膜机构：配备垂直进给、气帘辅助下膜系统，下膜长度可以通过触摸屏精确设定，下膜动作由伺服电机控制，薄膜进给平稳、准确、不跑偏；配去静电装置，下膜前需要先除静电。应有下膜到位传感器，与下膜电机配合确保每次下膜等距、完整。</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pStyle w:val="8"/>
              <w:widowControl w:val="0"/>
              <w:adjustRightInd/>
              <w:spacing w:after="0" w:line="360" w:lineRule="auto"/>
              <w:jc w:val="both"/>
              <w:textAlignment w:val="auto"/>
              <w:rPr>
                <w:color w:val="000000"/>
                <w:sz w:val="21"/>
                <w:szCs w:val="20"/>
                <w:lang w:eastAsia="zh-CN"/>
              </w:rPr>
            </w:pPr>
            <w:r>
              <w:rPr>
                <w:rFonts w:hint="eastAsia"/>
                <w:color w:val="000000"/>
                <w:sz w:val="21"/>
                <w:szCs w:val="20"/>
                <w:lang w:eastAsia="zh-CN"/>
              </w:rPr>
              <w:t>供膜检测要求：可自动检测薄膜余量，供膜余量不足时供膜机构自动进行预警、报警、停机功能。</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pStyle w:val="8"/>
              <w:widowControl w:val="0"/>
              <w:adjustRightInd/>
              <w:spacing w:after="0" w:line="360" w:lineRule="auto"/>
              <w:jc w:val="both"/>
              <w:textAlignment w:val="auto"/>
              <w:rPr>
                <w:color w:val="000000"/>
                <w:sz w:val="21"/>
                <w:szCs w:val="20"/>
                <w:lang w:eastAsia="zh-CN"/>
              </w:rPr>
            </w:pPr>
            <w:r>
              <w:rPr>
                <w:rFonts w:hint="eastAsia"/>
                <w:color w:val="000000"/>
                <w:sz w:val="21"/>
                <w:szCs w:val="20"/>
                <w:lang w:eastAsia="zh-CN"/>
              </w:rPr>
              <w:t>单包传送系统：每个中包采用伺服电机传送，避免小盒之间相互挤压变形而影响包装效果；单包输出，避免中包之间互相粘连</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pStyle w:val="8"/>
              <w:widowControl w:val="0"/>
              <w:adjustRightInd/>
              <w:spacing w:after="0" w:line="360" w:lineRule="auto"/>
              <w:jc w:val="both"/>
              <w:textAlignment w:val="auto"/>
              <w:rPr>
                <w:color w:val="000000"/>
                <w:sz w:val="21"/>
                <w:szCs w:val="20"/>
                <w:lang w:eastAsia="zh-CN"/>
              </w:rPr>
            </w:pPr>
            <w:r>
              <w:rPr>
                <w:rFonts w:hint="eastAsia"/>
                <w:color w:val="000000"/>
                <w:sz w:val="21"/>
                <w:szCs w:val="20"/>
                <w:lang w:eastAsia="zh-CN"/>
              </w:rPr>
              <w:t>自动清空功能：当停机或上游在设定时间无产品时，位于裹包加热区的产品应该自动完成裹包并清空，防止产品停留、确保加热区无产品。</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pStyle w:val="8"/>
              <w:widowControl w:val="0"/>
              <w:adjustRightInd/>
              <w:spacing w:after="0" w:line="360" w:lineRule="auto"/>
              <w:jc w:val="both"/>
              <w:textAlignment w:val="auto"/>
              <w:rPr>
                <w:color w:val="000000"/>
                <w:sz w:val="21"/>
                <w:szCs w:val="20"/>
                <w:lang w:eastAsia="zh-CN"/>
              </w:rPr>
            </w:pPr>
            <w:r>
              <w:rPr>
                <w:rFonts w:hint="eastAsia"/>
                <w:color w:val="000000"/>
                <w:sz w:val="21"/>
                <w:szCs w:val="20"/>
                <w:lang w:eastAsia="zh-CN"/>
              </w:rPr>
              <w:t>设备必须有安全保护罩，在运行过程中能保护操作人员，运行时开门设备自动报警停机。</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pStyle w:val="8"/>
              <w:widowControl w:val="0"/>
              <w:adjustRightInd/>
              <w:spacing w:after="0" w:line="360" w:lineRule="auto"/>
              <w:jc w:val="both"/>
              <w:textAlignment w:val="auto"/>
              <w:rPr>
                <w:rFonts w:ascii="宋体" w:hAnsi="宋体"/>
                <w:bCs/>
                <w:sz w:val="24"/>
                <w:szCs w:val="30"/>
                <w:lang w:eastAsia="zh-CN"/>
              </w:rPr>
            </w:pPr>
            <w:r>
              <w:rPr>
                <w:rFonts w:hint="eastAsia"/>
                <w:color w:val="000000"/>
                <w:sz w:val="21"/>
                <w:szCs w:val="20"/>
                <w:lang w:eastAsia="zh-CN"/>
              </w:rPr>
              <w:t>急停与启动：需在关键位置安装急停按钮，保证操作人员能够第一时间按到；设备应配有启动控制器，不会自动重启，只有通过复位按钮或启动按钮作用后方可启动设备，控制器必须容易辨识和不易触动。</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pStyle w:val="8"/>
              <w:widowControl w:val="0"/>
              <w:adjustRightInd/>
              <w:spacing w:after="0" w:line="276" w:lineRule="auto"/>
              <w:jc w:val="both"/>
              <w:textAlignment w:val="auto"/>
              <w:rPr>
                <w:rFonts w:ascii="宋体" w:hAnsi="宋体"/>
                <w:bCs/>
                <w:sz w:val="21"/>
                <w:szCs w:val="21"/>
                <w:lang w:eastAsia="zh-CN"/>
              </w:rPr>
            </w:pPr>
            <w:r>
              <w:rPr>
                <w:rFonts w:hint="eastAsia" w:ascii="宋体" w:hAnsi="宋体"/>
                <w:bCs/>
                <w:sz w:val="21"/>
                <w:szCs w:val="21"/>
                <w:lang w:eastAsia="zh-CN"/>
              </w:rPr>
              <w:t>断电保护：</w:t>
            </w:r>
          </w:p>
          <w:p>
            <w:pPr>
              <w:pStyle w:val="8"/>
              <w:widowControl w:val="0"/>
              <w:numPr>
                <w:ilvl w:val="0"/>
                <w:numId w:val="10"/>
              </w:numPr>
              <w:tabs>
                <w:tab w:val="left" w:pos="420"/>
              </w:tabs>
              <w:adjustRightInd/>
              <w:spacing w:after="0" w:line="276" w:lineRule="auto"/>
              <w:jc w:val="both"/>
              <w:textAlignment w:val="auto"/>
              <w:rPr>
                <w:rFonts w:ascii="宋体" w:hAnsi="宋体"/>
                <w:bCs/>
                <w:sz w:val="21"/>
                <w:szCs w:val="21"/>
                <w:lang w:eastAsia="zh-CN"/>
              </w:rPr>
            </w:pPr>
            <w:r>
              <w:rPr>
                <w:rFonts w:hint="eastAsia" w:ascii="宋体" w:hAnsi="宋体"/>
                <w:bCs/>
                <w:sz w:val="21"/>
                <w:szCs w:val="21"/>
                <w:lang w:eastAsia="zh-CN"/>
              </w:rPr>
              <w:t>在设备正常使用时，突然断电后机器的设置参数、数据记录不会丢失，软硬件不会损坏。</w:t>
            </w:r>
          </w:p>
          <w:p>
            <w:pPr>
              <w:pStyle w:val="8"/>
              <w:widowControl w:val="0"/>
              <w:numPr>
                <w:ilvl w:val="0"/>
                <w:numId w:val="10"/>
              </w:numPr>
              <w:tabs>
                <w:tab w:val="left" w:pos="420"/>
              </w:tabs>
              <w:adjustRightInd/>
              <w:spacing w:after="0" w:line="276" w:lineRule="auto"/>
              <w:jc w:val="both"/>
              <w:textAlignment w:val="auto"/>
              <w:rPr>
                <w:rFonts w:ascii="宋体" w:hAnsi="宋体"/>
                <w:color w:val="000000"/>
                <w:sz w:val="21"/>
                <w:szCs w:val="20"/>
                <w:lang w:eastAsia="zh-CN"/>
              </w:rPr>
            </w:pPr>
            <w:r>
              <w:rPr>
                <w:rFonts w:hint="eastAsia" w:ascii="宋体" w:hAnsi="宋体"/>
                <w:bCs/>
                <w:sz w:val="21"/>
                <w:szCs w:val="21"/>
                <w:lang w:eastAsia="zh-CN"/>
              </w:rPr>
              <w:t>突然断电后，设备应处于保护状态，来电后设备应处于暂停待命状态，需要人为操作设备才能运行。</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pStyle w:val="8"/>
              <w:spacing w:line="360" w:lineRule="auto"/>
              <w:rPr>
                <w:rFonts w:ascii="宋体" w:hAnsi="宋体"/>
                <w:color w:val="000000"/>
                <w:sz w:val="21"/>
                <w:szCs w:val="20"/>
                <w:lang w:eastAsia="zh-CN"/>
              </w:rPr>
            </w:pPr>
            <w:r>
              <w:rPr>
                <w:rFonts w:hint="eastAsia" w:ascii="宋体" w:hAnsi="宋体"/>
                <w:color w:val="000000"/>
                <w:sz w:val="21"/>
                <w:szCs w:val="20"/>
                <w:lang w:eastAsia="zh-CN"/>
              </w:rPr>
              <w:t>带触摸屏，可显示运行情况、错误故障报警等信息，有中文界面；触摸屏可设置基本功能；可以设定和编辑操作者的级别、权限。</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pStyle w:val="8"/>
              <w:spacing w:line="360" w:lineRule="auto"/>
              <w:rPr>
                <w:rFonts w:ascii="宋体" w:hAnsi="宋体"/>
                <w:color w:val="000000"/>
                <w:sz w:val="21"/>
                <w:szCs w:val="20"/>
                <w:lang w:eastAsia="zh-CN"/>
              </w:rPr>
            </w:pPr>
            <w:r>
              <w:rPr>
                <w:rFonts w:hint="eastAsia" w:ascii="宋体" w:hAnsi="宋体"/>
                <w:color w:val="000000"/>
                <w:sz w:val="21"/>
                <w:szCs w:val="20"/>
                <w:lang w:eastAsia="zh-CN"/>
              </w:rPr>
              <w:t>具备</w:t>
            </w:r>
            <w:r>
              <w:rPr>
                <w:rFonts w:ascii="宋体" w:hAnsi="宋体"/>
                <w:color w:val="000000"/>
                <w:sz w:val="21"/>
                <w:szCs w:val="20"/>
                <w:lang w:eastAsia="zh-CN"/>
              </w:rPr>
              <w:t>批次的设定以及批次的导出</w:t>
            </w:r>
            <w:r>
              <w:rPr>
                <w:rFonts w:hint="eastAsia" w:ascii="宋体" w:hAnsi="宋体"/>
                <w:color w:val="000000"/>
                <w:sz w:val="21"/>
                <w:szCs w:val="20"/>
                <w:lang w:eastAsia="zh-CN"/>
              </w:rPr>
              <w:t>功能</w:t>
            </w:r>
            <w:r>
              <w:rPr>
                <w:rFonts w:ascii="宋体" w:hAnsi="宋体"/>
                <w:color w:val="000000"/>
                <w:sz w:val="21"/>
                <w:szCs w:val="20"/>
                <w:lang w:eastAsia="zh-CN"/>
              </w:rPr>
              <w:t>，同时</w:t>
            </w:r>
            <w:r>
              <w:rPr>
                <w:rFonts w:hint="eastAsia" w:ascii="宋体" w:hAnsi="宋体"/>
                <w:color w:val="000000"/>
                <w:sz w:val="21"/>
                <w:szCs w:val="20"/>
                <w:lang w:eastAsia="zh-CN"/>
              </w:rPr>
              <w:t>具有</w:t>
            </w:r>
            <w:r>
              <w:rPr>
                <w:rFonts w:ascii="宋体" w:hAnsi="宋体"/>
                <w:color w:val="000000"/>
                <w:sz w:val="21"/>
                <w:szCs w:val="20"/>
                <w:lang w:eastAsia="zh-CN"/>
              </w:rPr>
              <w:t>统计功能，生产配方信息，电子签名信息，生产统计信息。在批次报告中，</w:t>
            </w:r>
            <w:r>
              <w:rPr>
                <w:rFonts w:hint="eastAsia" w:ascii="宋体" w:hAnsi="宋体"/>
                <w:color w:val="000000"/>
                <w:sz w:val="21"/>
                <w:szCs w:val="20"/>
                <w:lang w:eastAsia="zh-CN"/>
              </w:rPr>
              <w:t>必须</w:t>
            </w:r>
            <w:r>
              <w:rPr>
                <w:rFonts w:ascii="宋体" w:hAnsi="宋体"/>
                <w:color w:val="000000"/>
                <w:sz w:val="21"/>
                <w:szCs w:val="20"/>
                <w:lang w:eastAsia="zh-CN"/>
              </w:rPr>
              <w:t>含有电子签名的信息在里面，可用于追溯； 建立批次前，必须</w:t>
            </w:r>
            <w:r>
              <w:rPr>
                <w:rFonts w:hint="eastAsia" w:ascii="宋体" w:hAnsi="宋体"/>
                <w:color w:val="000000"/>
                <w:sz w:val="21"/>
                <w:szCs w:val="20"/>
                <w:lang w:eastAsia="zh-CN"/>
              </w:rPr>
              <w:t>可</w:t>
            </w:r>
            <w:r>
              <w:rPr>
                <w:rFonts w:ascii="宋体" w:hAnsi="宋体"/>
                <w:color w:val="000000"/>
                <w:sz w:val="21"/>
                <w:szCs w:val="20"/>
                <w:lang w:eastAsia="zh-CN"/>
              </w:rPr>
              <w:t>输入生产订单号及批次号。</w:t>
            </w:r>
            <w:r>
              <w:rPr>
                <w:rFonts w:hint="eastAsia" w:ascii="宋体" w:hAnsi="宋体"/>
                <w:color w:val="000000"/>
                <w:sz w:val="21"/>
                <w:szCs w:val="20"/>
                <w:lang w:eastAsia="zh-CN"/>
              </w:rPr>
              <w:t>使用U盘导出原文件并防止串改</w:t>
            </w:r>
            <w:r>
              <w:rPr>
                <w:rFonts w:ascii="宋体" w:hAnsi="宋体"/>
                <w:color w:val="000000"/>
                <w:sz w:val="21"/>
                <w:szCs w:val="20"/>
                <w:lang w:eastAsia="zh-CN"/>
              </w:rPr>
              <w:t>，可以打印相关的统计报表。</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color w:val="000000"/>
                <w:lang w:val="en-US" w:eastAsia="zh-CN"/>
              </w:rPr>
              <w:t>设备</w:t>
            </w:r>
            <w:r>
              <w:rPr>
                <w:rFonts w:ascii="宋体" w:hAnsi="宋体"/>
                <w:color w:val="000000"/>
                <w:lang w:eastAsia="zh-CN"/>
              </w:rPr>
              <w:t>软件具有至少</w:t>
            </w:r>
            <w:r>
              <w:rPr>
                <w:rFonts w:hint="eastAsia" w:ascii="宋体" w:hAnsi="宋体"/>
                <w:color w:val="000000"/>
                <w:lang w:eastAsia="zh-CN"/>
              </w:rPr>
              <w:t>3</w:t>
            </w:r>
            <w:r>
              <w:rPr>
                <w:rFonts w:ascii="宋体" w:hAnsi="宋体"/>
                <w:color w:val="000000"/>
                <w:lang w:eastAsia="zh-CN"/>
              </w:rPr>
              <w:t>级用户分层权限管理及密码管理的功能</w:t>
            </w:r>
            <w:r>
              <w:rPr>
                <w:rFonts w:hint="eastAsia" w:ascii="宋体" w:hAnsi="宋体"/>
                <w:color w:val="000000"/>
                <w:lang w:eastAsia="zh-CN"/>
              </w:rPr>
              <w:t>。</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color w:val="000000"/>
                <w:lang w:val="en-US" w:eastAsia="zh-CN"/>
              </w:rPr>
              <w:t>设备</w:t>
            </w:r>
            <w:r>
              <w:rPr>
                <w:rFonts w:ascii="宋体" w:hAnsi="宋体"/>
                <w:color w:val="000000"/>
                <w:lang w:eastAsia="zh-CN"/>
              </w:rPr>
              <w:t>软件应可以设置多个用户，并有用户分级管理功能，每个等级拥有相应的可设置权限</w:t>
            </w:r>
            <w:r>
              <w:rPr>
                <w:rFonts w:hint="eastAsia" w:ascii="宋体" w:hAnsi="宋体"/>
                <w:color w:val="000000"/>
                <w:lang w:eastAsia="zh-CN"/>
              </w:rPr>
              <w:t>。</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color w:val="000000"/>
                <w:lang w:eastAsia="zh-CN"/>
              </w:rPr>
              <w:t>系统应可以为每个用户创建唯一的用户名和密码</w:t>
            </w:r>
            <w:r>
              <w:rPr>
                <w:rFonts w:hint="eastAsia"/>
                <w:color w:val="000000"/>
                <w:lang w:eastAsia="zh-CN"/>
              </w:rPr>
              <w:t>。</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color w:val="000000"/>
                <w:lang w:eastAsia="zh-CN"/>
              </w:rPr>
              <w:t>系统应不允许两个或多个用户拥有相同的用户名</w:t>
            </w:r>
            <w:r>
              <w:rPr>
                <w:rFonts w:hint="eastAsia"/>
                <w:color w:val="000000"/>
                <w:lang w:eastAsia="zh-CN"/>
              </w:rPr>
              <w:t>。</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lang w:eastAsia="zh-CN"/>
              </w:rPr>
            </w:pPr>
            <w:r>
              <w:rPr>
                <w:rFonts w:hint="eastAsia" w:ascii="宋体" w:hAnsi="宋体"/>
                <w:color w:val="000000"/>
                <w:lang w:eastAsia="zh-CN"/>
              </w:rPr>
              <w:t>系统时间必须由特定权限来管理和控制，与标准时间偏差≤</w:t>
            </w:r>
            <w:r>
              <w:rPr>
                <w:rFonts w:ascii="宋体" w:hAnsi="宋体"/>
                <w:color w:val="000000"/>
                <w:lang w:eastAsia="zh-CN"/>
              </w:rPr>
              <w:t>5s/24h</w:t>
            </w:r>
            <w:r>
              <w:rPr>
                <w:rFonts w:hint="eastAsia" w:ascii="宋体" w:hAnsi="宋体"/>
                <w:color w:val="000000"/>
                <w:lang w:eastAsia="zh-CN"/>
              </w:rPr>
              <w:t>。</w:t>
            </w:r>
          </w:p>
        </w:tc>
        <w:tc>
          <w:tcPr>
            <w:tcW w:w="2125" w:type="dxa"/>
            <w:vAlign w:val="center"/>
          </w:tcPr>
          <w:p>
            <w:pPr>
              <w:jc w:val="center"/>
              <w:rPr>
                <w:rFonts w:ascii="宋体" w:hAnsi="宋体"/>
                <w:color w:val="000000"/>
                <w:lang w:eastAsia="zh-CN"/>
              </w:rPr>
            </w:pPr>
            <w:r>
              <w:rPr>
                <w:rFonts w:hint="eastAsia" w:ascii="宋体" w:hAnsi="宋体"/>
                <w:color w:val="000000"/>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lang w:eastAsia="zh-CN"/>
              </w:rPr>
            </w:pPr>
            <w:r>
              <w:rPr>
                <w:rFonts w:ascii="宋体" w:hAnsi="宋体"/>
                <w:color w:val="000000"/>
                <w:lang w:eastAsia="zh-CN"/>
              </w:rPr>
              <w:t>屏幕显示的结果</w:t>
            </w:r>
            <w:r>
              <w:rPr>
                <w:rFonts w:hint="eastAsia" w:ascii="宋体" w:hAnsi="宋体"/>
                <w:color w:val="000000"/>
                <w:lang w:eastAsia="zh-CN"/>
              </w:rPr>
              <w:t>、存储的电子记录</w:t>
            </w:r>
            <w:r>
              <w:rPr>
                <w:rFonts w:ascii="宋体" w:hAnsi="宋体"/>
                <w:color w:val="000000"/>
                <w:lang w:eastAsia="zh-CN"/>
              </w:rPr>
              <w:t>与打印报告应是一致的。</w:t>
            </w:r>
          </w:p>
        </w:tc>
        <w:tc>
          <w:tcPr>
            <w:tcW w:w="2125" w:type="dxa"/>
            <w:vAlign w:val="center"/>
          </w:tcPr>
          <w:p>
            <w:pPr>
              <w:jc w:val="center"/>
              <w:rPr>
                <w:rFonts w:ascii="宋体" w:hAnsi="宋体"/>
                <w:color w:val="000000"/>
                <w:lang w:eastAsia="zh-CN"/>
              </w:rPr>
            </w:pPr>
            <w:r>
              <w:rPr>
                <w:rFonts w:hint="eastAsia" w:ascii="宋体" w:hAnsi="宋体"/>
                <w:color w:val="000000"/>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lang w:eastAsia="zh-CN"/>
              </w:rPr>
            </w:pPr>
            <w:r>
              <w:rPr>
                <w:rFonts w:ascii="宋体" w:hAnsi="宋体"/>
                <w:color w:val="000000"/>
                <w:lang w:eastAsia="zh-CN"/>
              </w:rPr>
              <w:t>用户在密码输入时，电脑显示器上应不显示实际密码（比如密码会以*或其他符合显示）</w:t>
            </w:r>
            <w:r>
              <w:rPr>
                <w:rFonts w:hint="eastAsia" w:ascii="宋体" w:hAnsi="宋体"/>
                <w:color w:val="000000"/>
                <w:lang w:eastAsia="zh-CN"/>
              </w:rPr>
              <w:t>。</w:t>
            </w:r>
          </w:p>
        </w:tc>
        <w:tc>
          <w:tcPr>
            <w:tcW w:w="2125" w:type="dxa"/>
            <w:vAlign w:val="center"/>
          </w:tcPr>
          <w:p>
            <w:pPr>
              <w:jc w:val="center"/>
              <w:rPr>
                <w:rFonts w:ascii="宋体" w:hAnsi="宋体"/>
                <w:color w:val="000000"/>
                <w:lang w:eastAsia="zh-CN"/>
              </w:rPr>
            </w:pPr>
            <w:r>
              <w:rPr>
                <w:rFonts w:hint="eastAsia" w:ascii="宋体" w:hAnsi="宋体"/>
                <w:color w:val="000000"/>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lang w:eastAsia="zh-CN"/>
              </w:rPr>
            </w:pPr>
            <w:r>
              <w:rPr>
                <w:rFonts w:ascii="宋体" w:hAnsi="宋体"/>
                <w:color w:val="000000"/>
                <w:lang w:eastAsia="zh-CN"/>
              </w:rPr>
              <w:t>系统管理员应可以重置密码</w:t>
            </w:r>
            <w:r>
              <w:rPr>
                <w:rFonts w:hint="eastAsia" w:ascii="宋体" w:hAnsi="宋体"/>
                <w:color w:val="000000"/>
                <w:lang w:eastAsia="zh-CN"/>
              </w:rPr>
              <w:t>。</w:t>
            </w:r>
          </w:p>
        </w:tc>
        <w:tc>
          <w:tcPr>
            <w:tcW w:w="2125" w:type="dxa"/>
            <w:vAlign w:val="center"/>
          </w:tcPr>
          <w:p>
            <w:pPr>
              <w:jc w:val="center"/>
              <w:rPr>
                <w:rFonts w:ascii="宋体" w:hAnsi="宋体"/>
                <w:color w:val="000000"/>
                <w:lang w:eastAsia="zh-CN"/>
              </w:rPr>
            </w:pPr>
            <w:r>
              <w:rPr>
                <w:rFonts w:hint="eastAsia" w:ascii="宋体" w:hAnsi="宋体"/>
                <w:color w:val="000000"/>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lang w:eastAsia="zh-CN"/>
              </w:rPr>
            </w:pPr>
            <w:r>
              <w:rPr>
                <w:rFonts w:ascii="宋体" w:hAnsi="宋体"/>
                <w:color w:val="000000"/>
                <w:lang w:eastAsia="zh-CN"/>
              </w:rPr>
              <w:t>系统应可以设置密码最小长度为8位</w:t>
            </w:r>
            <w:r>
              <w:rPr>
                <w:rFonts w:hint="eastAsia" w:ascii="宋体" w:hAnsi="宋体"/>
                <w:color w:val="000000"/>
                <w:lang w:eastAsia="zh-CN"/>
              </w:rPr>
              <w:t>。</w:t>
            </w:r>
          </w:p>
        </w:tc>
        <w:tc>
          <w:tcPr>
            <w:tcW w:w="2125" w:type="dxa"/>
            <w:vAlign w:val="center"/>
          </w:tcPr>
          <w:p>
            <w:pPr>
              <w:jc w:val="center"/>
              <w:rPr>
                <w:rFonts w:ascii="宋体" w:hAnsi="宋体"/>
                <w:color w:val="000000"/>
                <w:lang w:eastAsia="zh-CN"/>
              </w:rPr>
            </w:pPr>
            <w:r>
              <w:rPr>
                <w:rFonts w:hint="eastAsia" w:ascii="宋体" w:hAnsi="宋体"/>
                <w:color w:val="000000"/>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lang w:eastAsia="zh-CN"/>
              </w:rPr>
            </w:pPr>
            <w:r>
              <w:rPr>
                <w:rFonts w:ascii="宋体" w:hAnsi="宋体"/>
                <w:color w:val="000000"/>
                <w:lang w:eastAsia="zh-CN"/>
              </w:rPr>
              <w:t>应有安全保护以防止未授权的用户账号和密码进行使用，比如</w:t>
            </w:r>
            <w:r>
              <w:rPr>
                <w:rFonts w:hint="eastAsia" w:ascii="宋体" w:hAnsi="宋体"/>
                <w:color w:val="000000"/>
                <w:lang w:eastAsia="zh-CN"/>
              </w:rPr>
              <w:t>5</w:t>
            </w:r>
            <w:r>
              <w:rPr>
                <w:rFonts w:ascii="宋体" w:hAnsi="宋体"/>
                <w:color w:val="000000"/>
                <w:lang w:eastAsia="zh-CN"/>
              </w:rPr>
              <w:t>次无效登录尝试后将锁定账户等</w:t>
            </w:r>
            <w:r>
              <w:rPr>
                <w:rFonts w:hint="eastAsia" w:ascii="宋体" w:hAnsi="宋体"/>
                <w:color w:val="000000"/>
                <w:lang w:eastAsia="zh-CN"/>
              </w:rPr>
              <w:t>。</w:t>
            </w:r>
          </w:p>
        </w:tc>
        <w:tc>
          <w:tcPr>
            <w:tcW w:w="2125" w:type="dxa"/>
            <w:vAlign w:val="center"/>
          </w:tcPr>
          <w:p>
            <w:pPr>
              <w:jc w:val="center"/>
              <w:rPr>
                <w:rFonts w:ascii="宋体" w:hAnsi="宋体"/>
                <w:color w:val="000000"/>
                <w:lang w:eastAsia="zh-CN"/>
              </w:rPr>
            </w:pPr>
            <w:r>
              <w:rPr>
                <w:rFonts w:hint="eastAsia" w:ascii="宋体" w:hAnsi="宋体"/>
                <w:color w:val="000000"/>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lang w:eastAsia="zh-CN"/>
              </w:rPr>
            </w:pPr>
            <w:r>
              <w:rPr>
                <w:rFonts w:ascii="宋体" w:hAnsi="宋体"/>
                <w:color w:val="000000"/>
                <w:lang w:eastAsia="zh-CN"/>
              </w:rPr>
              <w:t>系统管理员应可以激活锁住的账户</w:t>
            </w:r>
            <w:r>
              <w:rPr>
                <w:rFonts w:hint="eastAsia" w:ascii="宋体" w:hAnsi="宋体"/>
                <w:color w:val="000000"/>
                <w:lang w:eastAsia="zh-CN"/>
              </w:rPr>
              <w:t>。</w:t>
            </w:r>
          </w:p>
        </w:tc>
        <w:tc>
          <w:tcPr>
            <w:tcW w:w="2125" w:type="dxa"/>
            <w:vAlign w:val="center"/>
          </w:tcPr>
          <w:p>
            <w:pPr>
              <w:jc w:val="center"/>
              <w:rPr>
                <w:rFonts w:ascii="宋体" w:hAnsi="宋体"/>
                <w:color w:val="000000"/>
                <w:lang w:eastAsia="zh-CN"/>
              </w:rPr>
            </w:pPr>
            <w:r>
              <w:rPr>
                <w:rFonts w:hint="eastAsia" w:ascii="宋体" w:hAnsi="宋体"/>
                <w:color w:val="000000"/>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128" w:type="dxa"/>
            <w:vAlign w:val="center"/>
          </w:tcPr>
          <w:p>
            <w:pPr>
              <w:spacing w:line="276" w:lineRule="auto"/>
              <w:jc w:val="both"/>
              <w:rPr>
                <w:rFonts w:ascii="宋体" w:hAnsi="宋体"/>
                <w:color w:val="000000"/>
                <w:lang w:eastAsia="zh-CN"/>
              </w:rPr>
            </w:pPr>
            <w:r>
              <w:rPr>
                <w:rFonts w:hint="eastAsia" w:ascii="宋体" w:hAnsi="宋体"/>
                <w:color w:val="000000"/>
                <w:lang w:eastAsia="zh-CN"/>
              </w:rPr>
              <w:t>具备自动锁屏/登出时限设置，达到规定时限后系统自动锁屏/登出，再次操作需重新登录账户；</w:t>
            </w:r>
          </w:p>
        </w:tc>
        <w:tc>
          <w:tcPr>
            <w:tcW w:w="2125" w:type="dxa"/>
            <w:vAlign w:val="center"/>
          </w:tcPr>
          <w:p>
            <w:pPr>
              <w:jc w:val="center"/>
              <w:rPr>
                <w:rFonts w:ascii="宋体" w:hAnsi="宋体"/>
                <w:color w:val="000000"/>
                <w:lang w:eastAsia="zh-CN"/>
              </w:rPr>
            </w:pPr>
            <w:r>
              <w:rPr>
                <w:rFonts w:hint="eastAsia" w:ascii="宋体" w:hAnsi="宋体"/>
                <w:color w:val="000000"/>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128" w:type="dxa"/>
            <w:vAlign w:val="center"/>
          </w:tcPr>
          <w:p>
            <w:pPr>
              <w:spacing w:line="276" w:lineRule="auto"/>
              <w:jc w:val="both"/>
              <w:rPr>
                <w:rFonts w:ascii="宋体" w:hAnsi="宋体"/>
                <w:color w:val="000000"/>
                <w:lang w:eastAsia="zh-CN"/>
              </w:rPr>
            </w:pPr>
            <w:r>
              <w:rPr>
                <w:rFonts w:ascii="宋体" w:hAnsi="宋体"/>
                <w:color w:val="000000"/>
                <w:lang w:eastAsia="zh-CN"/>
              </w:rPr>
              <w:t>系统必须具有超时强制退出要求重新登录的功能。</w:t>
            </w:r>
          </w:p>
        </w:tc>
        <w:tc>
          <w:tcPr>
            <w:tcW w:w="2125" w:type="dxa"/>
            <w:vAlign w:val="center"/>
          </w:tcPr>
          <w:p>
            <w:pPr>
              <w:jc w:val="center"/>
              <w:rPr>
                <w:rFonts w:ascii="宋体" w:hAnsi="宋体"/>
                <w:color w:val="000000"/>
                <w:lang w:eastAsia="zh-CN"/>
              </w:rPr>
            </w:pPr>
            <w:r>
              <w:rPr>
                <w:rFonts w:hint="eastAsia" w:ascii="宋体" w:hAnsi="宋体"/>
                <w:color w:val="000000"/>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128" w:type="dxa"/>
            <w:vAlign w:val="center"/>
          </w:tcPr>
          <w:p>
            <w:pPr>
              <w:spacing w:line="276" w:lineRule="auto"/>
              <w:jc w:val="both"/>
              <w:rPr>
                <w:rFonts w:ascii="宋体" w:hAnsi="宋体"/>
                <w:color w:val="000000"/>
                <w:lang w:eastAsia="zh-CN"/>
              </w:rPr>
            </w:pPr>
            <w:r>
              <w:rPr>
                <w:rFonts w:ascii="宋体" w:hAnsi="宋体"/>
                <w:color w:val="000000"/>
                <w:lang w:eastAsia="zh-CN"/>
              </w:rPr>
              <w:t>系统应可以允许用户和管理员更改自己的密码</w:t>
            </w:r>
            <w:r>
              <w:rPr>
                <w:rFonts w:hint="eastAsia" w:ascii="宋体" w:hAnsi="宋体"/>
                <w:color w:val="000000"/>
                <w:lang w:eastAsia="zh-CN"/>
              </w:rPr>
              <w:t>。</w:t>
            </w:r>
          </w:p>
        </w:tc>
        <w:tc>
          <w:tcPr>
            <w:tcW w:w="2125" w:type="dxa"/>
            <w:vAlign w:val="center"/>
          </w:tcPr>
          <w:p>
            <w:pPr>
              <w:jc w:val="center"/>
              <w:rPr>
                <w:rFonts w:ascii="宋体" w:hAnsi="宋体"/>
                <w:color w:val="000000"/>
                <w:lang w:eastAsia="zh-CN"/>
              </w:rPr>
            </w:pPr>
            <w:r>
              <w:rPr>
                <w:rFonts w:hint="eastAsia" w:ascii="宋体" w:hAnsi="宋体"/>
                <w:color w:val="000000"/>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128" w:type="dxa"/>
            <w:vAlign w:val="center"/>
          </w:tcPr>
          <w:p>
            <w:pPr>
              <w:spacing w:line="276" w:lineRule="auto"/>
              <w:jc w:val="both"/>
              <w:rPr>
                <w:rFonts w:ascii="宋体" w:hAnsi="宋体"/>
                <w:color w:val="000000"/>
                <w:lang w:eastAsia="zh-CN"/>
              </w:rPr>
            </w:pPr>
            <w:r>
              <w:rPr>
                <w:rFonts w:ascii="宋体" w:hAnsi="宋体"/>
                <w:color w:val="000000"/>
                <w:lang w:eastAsia="zh-CN"/>
              </w:rPr>
              <w:t>系统应可设置密码效期，如</w:t>
            </w:r>
            <w:r>
              <w:rPr>
                <w:rFonts w:hint="eastAsia" w:ascii="宋体" w:hAnsi="宋体"/>
                <w:color w:val="000000"/>
                <w:lang w:eastAsia="zh-CN"/>
              </w:rPr>
              <w:t>3</w:t>
            </w:r>
            <w:r>
              <w:rPr>
                <w:rFonts w:ascii="宋体" w:hAnsi="宋体"/>
                <w:color w:val="000000"/>
                <w:lang w:eastAsia="zh-CN"/>
              </w:rPr>
              <w:t>个月</w:t>
            </w:r>
            <w:r>
              <w:rPr>
                <w:rFonts w:hint="eastAsia" w:ascii="宋体" w:hAnsi="宋体"/>
                <w:color w:val="000000"/>
                <w:lang w:eastAsia="zh-CN"/>
              </w:rPr>
              <w:t>。</w:t>
            </w:r>
          </w:p>
        </w:tc>
        <w:tc>
          <w:tcPr>
            <w:tcW w:w="2125" w:type="dxa"/>
            <w:vAlign w:val="center"/>
          </w:tcPr>
          <w:p>
            <w:pPr>
              <w:jc w:val="center"/>
              <w:rPr>
                <w:rFonts w:ascii="宋体" w:hAnsi="宋体"/>
                <w:color w:val="000000"/>
                <w:lang w:eastAsia="zh-CN"/>
              </w:rPr>
            </w:pPr>
            <w:r>
              <w:rPr>
                <w:rFonts w:hint="eastAsia" w:ascii="宋体" w:hAnsi="宋体"/>
                <w:color w:val="000000"/>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128" w:type="dxa"/>
            <w:vAlign w:val="center"/>
          </w:tcPr>
          <w:p>
            <w:pPr>
              <w:spacing w:line="276" w:lineRule="auto"/>
              <w:jc w:val="both"/>
              <w:rPr>
                <w:rFonts w:ascii="宋体" w:hAnsi="宋体"/>
                <w:color w:val="000000"/>
                <w:lang w:eastAsia="zh-CN"/>
              </w:rPr>
            </w:pPr>
            <w:r>
              <w:rPr>
                <w:rFonts w:ascii="宋体" w:hAnsi="宋体"/>
                <w:color w:val="000000"/>
                <w:lang w:eastAsia="zh-CN"/>
              </w:rPr>
              <w:t>系统应可提示密码效期信息以提醒用户更改密码。</w:t>
            </w:r>
          </w:p>
        </w:tc>
        <w:tc>
          <w:tcPr>
            <w:tcW w:w="2125" w:type="dxa"/>
            <w:vAlign w:val="center"/>
          </w:tcPr>
          <w:p>
            <w:pPr>
              <w:jc w:val="center"/>
              <w:rPr>
                <w:rFonts w:ascii="宋体" w:hAnsi="宋体"/>
                <w:color w:val="000000"/>
                <w:lang w:eastAsia="zh-CN"/>
              </w:rPr>
            </w:pPr>
            <w:r>
              <w:rPr>
                <w:rFonts w:hint="eastAsia" w:ascii="宋体" w:hAnsi="宋体"/>
                <w:color w:val="000000"/>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128" w:type="dxa"/>
            <w:vAlign w:val="center"/>
          </w:tcPr>
          <w:p>
            <w:pPr>
              <w:spacing w:line="276" w:lineRule="auto"/>
              <w:jc w:val="both"/>
              <w:rPr>
                <w:rFonts w:ascii="宋体" w:hAnsi="宋体"/>
                <w:color w:val="000000"/>
                <w:lang w:eastAsia="zh-CN"/>
              </w:rPr>
            </w:pPr>
            <w:r>
              <w:rPr>
                <w:rFonts w:ascii="宋体" w:hAnsi="宋体"/>
                <w:color w:val="000000"/>
                <w:lang w:eastAsia="zh-CN"/>
              </w:rPr>
              <w:t>系统应有审计追踪功能，可以记录系统和安全的事件，包括</w:t>
            </w:r>
            <w:r>
              <w:rPr>
                <w:rFonts w:hint="eastAsia" w:ascii="宋体" w:hAnsi="宋体"/>
                <w:color w:val="000000"/>
                <w:lang w:eastAsia="zh-CN"/>
              </w:rPr>
              <w:t>GMP关键操作，</w:t>
            </w:r>
            <w:r>
              <w:rPr>
                <w:rFonts w:ascii="宋体" w:hAnsi="宋体"/>
                <w:color w:val="000000"/>
                <w:lang w:eastAsia="zh-CN"/>
              </w:rPr>
              <w:t>比如登录登出、密码更改、关键操作</w:t>
            </w:r>
            <w:r>
              <w:rPr>
                <w:rFonts w:hint="eastAsia" w:ascii="宋体" w:hAnsi="宋体"/>
                <w:color w:val="000000"/>
                <w:lang w:eastAsia="zh-CN"/>
              </w:rPr>
              <w:t>、</w:t>
            </w:r>
            <w:r>
              <w:rPr>
                <w:rFonts w:ascii="宋体" w:hAnsi="宋体"/>
                <w:color w:val="000000"/>
                <w:lang w:eastAsia="zh-CN"/>
              </w:rPr>
              <w:t>方法参数更改、记录删除与修改</w:t>
            </w:r>
            <w:r>
              <w:rPr>
                <w:rFonts w:hint="eastAsia" w:ascii="宋体" w:hAnsi="宋体"/>
                <w:color w:val="000000"/>
                <w:lang w:eastAsia="zh-CN"/>
              </w:rPr>
              <w:t>、</w:t>
            </w:r>
            <w:r>
              <w:rPr>
                <w:rFonts w:ascii="宋体" w:hAnsi="宋体"/>
                <w:color w:val="000000"/>
                <w:lang w:eastAsia="zh-CN"/>
              </w:rPr>
              <w:t>系统设置</w:t>
            </w:r>
            <w:r>
              <w:rPr>
                <w:rFonts w:hint="eastAsia" w:ascii="宋体" w:hAnsi="宋体"/>
                <w:color w:val="000000"/>
                <w:lang w:eastAsia="zh-CN"/>
              </w:rPr>
              <w:t>，以</w:t>
            </w:r>
            <w:r>
              <w:rPr>
                <w:rFonts w:ascii="宋体" w:hAnsi="宋体"/>
                <w:color w:val="000000"/>
                <w:lang w:eastAsia="zh-CN"/>
              </w:rPr>
              <w:t>及相应操作人员</w:t>
            </w:r>
            <w:r>
              <w:rPr>
                <w:rFonts w:hint="eastAsia" w:ascii="宋体" w:hAnsi="宋体"/>
                <w:color w:val="000000"/>
                <w:lang w:eastAsia="zh-CN"/>
              </w:rPr>
              <w:t>、</w:t>
            </w:r>
            <w:r>
              <w:rPr>
                <w:rFonts w:ascii="宋体" w:hAnsi="宋体"/>
                <w:color w:val="000000"/>
                <w:lang w:eastAsia="zh-CN"/>
              </w:rPr>
              <w:t>日期时间</w:t>
            </w:r>
            <w:r>
              <w:rPr>
                <w:rFonts w:hint="eastAsia" w:ascii="宋体" w:hAnsi="宋体"/>
                <w:color w:val="000000"/>
                <w:lang w:eastAsia="zh-CN"/>
              </w:rPr>
              <w:t>、操作</w:t>
            </w:r>
            <w:r>
              <w:rPr>
                <w:rFonts w:ascii="宋体" w:hAnsi="宋体"/>
                <w:color w:val="000000"/>
                <w:lang w:eastAsia="zh-CN"/>
              </w:rPr>
              <w:t>原因等</w:t>
            </w:r>
            <w:r>
              <w:rPr>
                <w:rFonts w:hint="eastAsia" w:ascii="宋体" w:hAnsi="宋体"/>
                <w:color w:val="000000"/>
                <w:lang w:eastAsia="zh-CN"/>
              </w:rPr>
              <w:t>。</w:t>
            </w:r>
          </w:p>
        </w:tc>
        <w:tc>
          <w:tcPr>
            <w:tcW w:w="2125" w:type="dxa"/>
            <w:vAlign w:val="center"/>
          </w:tcPr>
          <w:p>
            <w:pPr>
              <w:jc w:val="center"/>
              <w:rPr>
                <w:rFonts w:ascii="宋体" w:hAnsi="宋体"/>
                <w:color w:val="000000"/>
                <w:lang w:eastAsia="zh-CN"/>
              </w:rPr>
            </w:pPr>
            <w:r>
              <w:rPr>
                <w:rFonts w:hint="eastAsia" w:ascii="宋体" w:hAnsi="宋体"/>
                <w:color w:val="000000"/>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128" w:type="dxa"/>
            <w:vAlign w:val="center"/>
          </w:tcPr>
          <w:p>
            <w:pPr>
              <w:spacing w:line="276" w:lineRule="auto"/>
              <w:jc w:val="both"/>
              <w:rPr>
                <w:rFonts w:ascii="宋体" w:hAnsi="宋体"/>
                <w:color w:val="000000"/>
                <w:lang w:eastAsia="zh-CN"/>
              </w:rPr>
            </w:pPr>
            <w:r>
              <w:rPr>
                <w:rFonts w:ascii="宋体" w:hAnsi="宋体"/>
                <w:color w:val="000000"/>
                <w:lang w:eastAsia="zh-CN"/>
              </w:rPr>
              <w:t>具备关键操作复核功能</w:t>
            </w:r>
            <w:r>
              <w:rPr>
                <w:rFonts w:hint="eastAsia" w:ascii="宋体" w:hAnsi="宋体"/>
                <w:color w:val="000000"/>
                <w:lang w:eastAsia="zh-CN"/>
              </w:rPr>
              <w:t>。</w:t>
            </w:r>
          </w:p>
        </w:tc>
        <w:tc>
          <w:tcPr>
            <w:tcW w:w="2125" w:type="dxa"/>
            <w:vAlign w:val="center"/>
          </w:tcPr>
          <w:p>
            <w:pPr>
              <w:jc w:val="center"/>
              <w:rPr>
                <w:rFonts w:ascii="宋体" w:hAnsi="宋体"/>
                <w:color w:val="000000"/>
                <w:lang w:eastAsia="zh-CN"/>
              </w:rPr>
            </w:pPr>
            <w:r>
              <w:rPr>
                <w:rFonts w:hint="eastAsia" w:ascii="宋体" w:hAnsi="宋体"/>
                <w:color w:val="000000"/>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128" w:type="dxa"/>
            <w:vAlign w:val="center"/>
          </w:tcPr>
          <w:p>
            <w:pPr>
              <w:spacing w:line="276" w:lineRule="auto"/>
              <w:jc w:val="both"/>
              <w:rPr>
                <w:rFonts w:ascii="宋体" w:hAnsi="宋体"/>
                <w:color w:val="000000"/>
                <w:lang w:eastAsia="zh-CN"/>
              </w:rPr>
            </w:pPr>
            <w:r>
              <w:rPr>
                <w:rFonts w:ascii="宋体" w:hAnsi="宋体"/>
                <w:color w:val="000000"/>
                <w:lang w:eastAsia="zh-CN"/>
              </w:rPr>
              <w:t>审计追踪记录可自动存储为不可修改格式</w:t>
            </w:r>
            <w:r>
              <w:rPr>
                <w:rFonts w:hint="eastAsia" w:ascii="宋体" w:hAnsi="宋体"/>
                <w:color w:val="000000"/>
                <w:lang w:eastAsia="zh-CN"/>
              </w:rPr>
              <w:t>，</w:t>
            </w:r>
            <w:r>
              <w:rPr>
                <w:rFonts w:ascii="宋体" w:hAnsi="宋体"/>
                <w:color w:val="000000"/>
                <w:lang w:eastAsia="zh-CN"/>
              </w:rPr>
              <w:t>可通过不同方式查询</w:t>
            </w:r>
            <w:r>
              <w:rPr>
                <w:rFonts w:hint="eastAsia" w:ascii="宋体" w:hAnsi="宋体"/>
                <w:color w:val="000000"/>
                <w:lang w:eastAsia="zh-CN"/>
              </w:rPr>
              <w:t>、</w:t>
            </w:r>
            <w:r>
              <w:rPr>
                <w:rFonts w:ascii="宋体" w:hAnsi="宋体"/>
                <w:color w:val="000000"/>
                <w:lang w:eastAsia="zh-CN"/>
              </w:rPr>
              <w:t>输出</w:t>
            </w:r>
            <w:r>
              <w:rPr>
                <w:rFonts w:hint="eastAsia" w:ascii="宋体" w:hAnsi="宋体"/>
                <w:color w:val="000000"/>
                <w:lang w:eastAsia="zh-CN"/>
              </w:rPr>
              <w:t>、</w:t>
            </w:r>
            <w:r>
              <w:rPr>
                <w:rFonts w:ascii="宋体" w:hAnsi="宋体"/>
                <w:color w:val="000000"/>
                <w:lang w:eastAsia="zh-CN"/>
              </w:rPr>
              <w:t>备份恢复</w:t>
            </w:r>
            <w:r>
              <w:rPr>
                <w:rFonts w:hint="eastAsia" w:ascii="宋体" w:hAnsi="宋体"/>
                <w:color w:val="000000"/>
                <w:lang w:eastAsia="zh-CN"/>
              </w:rPr>
              <w:t>、</w:t>
            </w:r>
            <w:r>
              <w:rPr>
                <w:rFonts w:ascii="宋体" w:hAnsi="宋体"/>
                <w:color w:val="000000"/>
                <w:lang w:eastAsia="zh-CN"/>
              </w:rPr>
              <w:t>打印</w:t>
            </w:r>
            <w:r>
              <w:rPr>
                <w:rFonts w:hint="eastAsia" w:ascii="宋体" w:hAnsi="宋体"/>
                <w:color w:val="000000"/>
                <w:lang w:eastAsia="zh-CN"/>
              </w:rPr>
              <w:t>，</w:t>
            </w:r>
            <w:r>
              <w:rPr>
                <w:rFonts w:ascii="宋体" w:hAnsi="宋体"/>
                <w:color w:val="000000"/>
                <w:lang w:eastAsia="zh-CN"/>
              </w:rPr>
              <w:t>不可被删除或更改</w:t>
            </w:r>
            <w:r>
              <w:rPr>
                <w:rFonts w:hint="eastAsia" w:ascii="宋体" w:hAnsi="宋体"/>
                <w:color w:val="000000"/>
                <w:lang w:eastAsia="zh-CN"/>
              </w:rPr>
              <w:t>。</w:t>
            </w:r>
          </w:p>
        </w:tc>
        <w:tc>
          <w:tcPr>
            <w:tcW w:w="2125" w:type="dxa"/>
            <w:vAlign w:val="center"/>
          </w:tcPr>
          <w:p>
            <w:pPr>
              <w:spacing w:line="276" w:lineRule="auto"/>
              <w:jc w:val="center"/>
              <w:rPr>
                <w:rFonts w:ascii="宋体" w:hAnsi="宋体"/>
                <w:color w:val="000000"/>
                <w:lang w:eastAsia="zh-CN"/>
              </w:rPr>
            </w:pPr>
            <w:r>
              <w:rPr>
                <w:rFonts w:hint="eastAsia" w:ascii="宋体" w:hAnsi="宋体"/>
                <w:color w:val="000000"/>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128" w:type="dxa"/>
            <w:vAlign w:val="center"/>
          </w:tcPr>
          <w:p>
            <w:pPr>
              <w:spacing w:line="276" w:lineRule="auto"/>
              <w:jc w:val="both"/>
              <w:rPr>
                <w:rFonts w:ascii="宋体" w:hAnsi="宋体"/>
                <w:color w:val="000000"/>
                <w:lang w:eastAsia="zh-CN"/>
              </w:rPr>
            </w:pPr>
            <w:r>
              <w:rPr>
                <w:rFonts w:ascii="宋体" w:hAnsi="宋体"/>
                <w:color w:val="000000"/>
                <w:lang w:eastAsia="zh-CN"/>
              </w:rPr>
              <w:t>报警记录可自动存储为不可修改格式</w:t>
            </w:r>
            <w:r>
              <w:rPr>
                <w:rFonts w:hint="eastAsia" w:ascii="宋体" w:hAnsi="宋体"/>
                <w:color w:val="000000"/>
                <w:lang w:eastAsia="zh-CN"/>
              </w:rPr>
              <w:t>，</w:t>
            </w:r>
            <w:r>
              <w:rPr>
                <w:rFonts w:ascii="宋体" w:hAnsi="宋体"/>
                <w:color w:val="000000"/>
                <w:lang w:eastAsia="zh-CN"/>
              </w:rPr>
              <w:t>可通过不同方式查询</w:t>
            </w:r>
            <w:r>
              <w:rPr>
                <w:rFonts w:hint="eastAsia" w:ascii="宋体" w:hAnsi="宋体"/>
                <w:color w:val="000000"/>
                <w:lang w:eastAsia="zh-CN"/>
              </w:rPr>
              <w:t>、</w:t>
            </w:r>
            <w:r>
              <w:rPr>
                <w:rFonts w:ascii="宋体" w:hAnsi="宋体"/>
                <w:color w:val="000000"/>
                <w:lang w:eastAsia="zh-CN"/>
              </w:rPr>
              <w:t>输出</w:t>
            </w:r>
            <w:r>
              <w:rPr>
                <w:rFonts w:hint="eastAsia" w:ascii="宋体" w:hAnsi="宋体"/>
                <w:color w:val="000000"/>
                <w:lang w:eastAsia="zh-CN"/>
              </w:rPr>
              <w:t>、</w:t>
            </w:r>
            <w:r>
              <w:rPr>
                <w:rFonts w:ascii="宋体" w:hAnsi="宋体"/>
                <w:color w:val="000000"/>
                <w:lang w:eastAsia="zh-CN"/>
              </w:rPr>
              <w:t>备份恢复</w:t>
            </w:r>
            <w:r>
              <w:rPr>
                <w:rFonts w:hint="eastAsia" w:ascii="宋体" w:hAnsi="宋体"/>
                <w:color w:val="000000"/>
                <w:lang w:eastAsia="zh-CN"/>
              </w:rPr>
              <w:t>、</w:t>
            </w:r>
            <w:r>
              <w:rPr>
                <w:rFonts w:ascii="宋体" w:hAnsi="宋体"/>
                <w:color w:val="000000"/>
                <w:lang w:eastAsia="zh-CN"/>
              </w:rPr>
              <w:t>打印</w:t>
            </w:r>
            <w:r>
              <w:rPr>
                <w:rFonts w:hint="eastAsia" w:ascii="宋体" w:hAnsi="宋体"/>
                <w:color w:val="000000"/>
                <w:lang w:eastAsia="zh-CN"/>
              </w:rPr>
              <w:t>，</w:t>
            </w:r>
            <w:r>
              <w:rPr>
                <w:rFonts w:ascii="宋体" w:hAnsi="宋体"/>
                <w:color w:val="000000"/>
                <w:lang w:eastAsia="zh-CN"/>
              </w:rPr>
              <w:t>不可被删除或更改</w:t>
            </w:r>
            <w:r>
              <w:rPr>
                <w:rFonts w:hint="eastAsia" w:ascii="宋体" w:hAnsi="宋体"/>
                <w:color w:val="000000"/>
                <w:lang w:eastAsia="zh-CN"/>
              </w:rPr>
              <w:t>。</w:t>
            </w:r>
          </w:p>
        </w:tc>
        <w:tc>
          <w:tcPr>
            <w:tcW w:w="2125" w:type="dxa"/>
            <w:vAlign w:val="center"/>
          </w:tcPr>
          <w:p>
            <w:pPr>
              <w:spacing w:line="276" w:lineRule="auto"/>
              <w:jc w:val="center"/>
              <w:rPr>
                <w:rFonts w:ascii="宋体" w:hAnsi="宋体"/>
                <w:color w:val="000000"/>
                <w:lang w:eastAsia="zh-CN"/>
              </w:rPr>
            </w:pPr>
            <w:r>
              <w:rPr>
                <w:rFonts w:hint="eastAsia" w:ascii="宋体" w:hAnsi="宋体"/>
                <w:color w:val="000000"/>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128" w:type="dxa"/>
            <w:vAlign w:val="center"/>
          </w:tcPr>
          <w:p>
            <w:pPr>
              <w:spacing w:line="276" w:lineRule="auto"/>
              <w:jc w:val="both"/>
              <w:rPr>
                <w:rFonts w:ascii="宋体" w:hAnsi="宋体"/>
                <w:color w:val="000000"/>
                <w:lang w:eastAsia="zh-CN"/>
              </w:rPr>
            </w:pPr>
            <w:r>
              <w:rPr>
                <w:rFonts w:ascii="宋体" w:hAnsi="宋体"/>
                <w:color w:val="000000"/>
                <w:szCs w:val="21"/>
                <w:lang w:eastAsia="zh-CN"/>
              </w:rPr>
              <w:t>系统应</w:t>
            </w:r>
            <w:r>
              <w:rPr>
                <w:rFonts w:hint="eastAsia" w:ascii="宋体" w:hAnsi="宋体"/>
                <w:color w:val="000000"/>
                <w:szCs w:val="21"/>
                <w:lang w:eastAsia="zh-CN"/>
              </w:rPr>
              <w:t>由管理员权限</w:t>
            </w:r>
            <w:r>
              <w:rPr>
                <w:rFonts w:ascii="宋体" w:hAnsi="宋体"/>
                <w:color w:val="000000"/>
                <w:szCs w:val="21"/>
                <w:lang w:eastAsia="zh-CN"/>
              </w:rPr>
              <w:t>新增、修改和禁用账户。</w:t>
            </w:r>
          </w:p>
        </w:tc>
        <w:tc>
          <w:tcPr>
            <w:tcW w:w="2125" w:type="dxa"/>
            <w:vAlign w:val="center"/>
          </w:tcPr>
          <w:p>
            <w:pPr>
              <w:spacing w:line="276" w:lineRule="auto"/>
              <w:jc w:val="center"/>
              <w:rPr>
                <w:rFonts w:ascii="宋体" w:hAnsi="宋体"/>
                <w:color w:val="000000"/>
                <w:lang w:eastAsia="zh-CN"/>
              </w:rPr>
            </w:pPr>
            <w:r>
              <w:rPr>
                <w:rFonts w:hint="eastAsia" w:ascii="宋体" w:hAnsi="宋体"/>
                <w:color w:val="000000"/>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128" w:type="dxa"/>
            <w:vAlign w:val="center"/>
          </w:tcPr>
          <w:p>
            <w:pPr>
              <w:spacing w:line="276" w:lineRule="auto"/>
              <w:jc w:val="both"/>
              <w:rPr>
                <w:rFonts w:ascii="宋体" w:hAnsi="宋体"/>
                <w:color w:val="000000"/>
                <w:lang w:eastAsia="zh-CN"/>
              </w:rPr>
            </w:pPr>
            <w:r>
              <w:rPr>
                <w:rFonts w:ascii="宋体" w:hAnsi="宋体"/>
                <w:color w:val="000000"/>
                <w:lang w:eastAsia="zh-CN"/>
              </w:rPr>
              <w:t>系统可自动生成电子记录</w:t>
            </w:r>
            <w:r>
              <w:rPr>
                <w:rFonts w:hint="eastAsia" w:ascii="宋体" w:hAnsi="宋体"/>
                <w:color w:val="000000"/>
                <w:lang w:eastAsia="zh-CN"/>
              </w:rPr>
              <w:t>，记录格式不可修改，</w:t>
            </w:r>
            <w:r>
              <w:rPr>
                <w:rFonts w:ascii="宋体" w:hAnsi="宋体"/>
                <w:color w:val="000000"/>
                <w:lang w:eastAsia="zh-CN"/>
              </w:rPr>
              <w:t>并可通过不同方式查询</w:t>
            </w:r>
            <w:r>
              <w:rPr>
                <w:rFonts w:hint="eastAsia" w:ascii="宋体" w:hAnsi="宋体"/>
                <w:color w:val="000000"/>
                <w:lang w:eastAsia="zh-CN"/>
              </w:rPr>
              <w:t>、</w:t>
            </w:r>
            <w:r>
              <w:rPr>
                <w:rFonts w:ascii="宋体" w:hAnsi="宋体"/>
                <w:color w:val="000000"/>
                <w:lang w:eastAsia="zh-CN"/>
              </w:rPr>
              <w:t>输出</w:t>
            </w:r>
            <w:r>
              <w:rPr>
                <w:rFonts w:hint="eastAsia" w:ascii="宋体" w:hAnsi="宋体"/>
                <w:color w:val="000000"/>
                <w:lang w:eastAsia="zh-CN"/>
              </w:rPr>
              <w:t>、</w:t>
            </w:r>
            <w:r>
              <w:rPr>
                <w:rFonts w:ascii="宋体" w:hAnsi="宋体"/>
                <w:color w:val="000000"/>
                <w:lang w:eastAsia="zh-CN"/>
              </w:rPr>
              <w:t>备份恢复</w:t>
            </w:r>
            <w:r>
              <w:rPr>
                <w:rFonts w:hint="eastAsia" w:ascii="宋体" w:hAnsi="宋体"/>
                <w:color w:val="000000"/>
                <w:lang w:eastAsia="zh-CN"/>
              </w:rPr>
              <w:t>、</w:t>
            </w:r>
            <w:r>
              <w:rPr>
                <w:rFonts w:ascii="宋体" w:hAnsi="宋体"/>
                <w:color w:val="000000"/>
                <w:lang w:eastAsia="zh-CN"/>
              </w:rPr>
              <w:t>打印</w:t>
            </w:r>
          </w:p>
        </w:tc>
        <w:tc>
          <w:tcPr>
            <w:tcW w:w="2125" w:type="dxa"/>
            <w:vAlign w:val="center"/>
          </w:tcPr>
          <w:p>
            <w:pPr>
              <w:spacing w:line="276" w:lineRule="auto"/>
              <w:jc w:val="center"/>
              <w:rPr>
                <w:rFonts w:ascii="宋体" w:hAnsi="宋体"/>
                <w:color w:val="000000"/>
                <w:lang w:eastAsia="zh-CN"/>
              </w:rPr>
            </w:pPr>
            <w:r>
              <w:rPr>
                <w:rFonts w:hint="eastAsia" w:ascii="宋体" w:hAnsi="宋体"/>
                <w:color w:val="000000"/>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128" w:type="dxa"/>
            <w:vAlign w:val="center"/>
          </w:tcPr>
          <w:p>
            <w:pPr>
              <w:spacing w:line="276" w:lineRule="auto"/>
              <w:jc w:val="both"/>
              <w:rPr>
                <w:rFonts w:ascii="宋体" w:hAnsi="宋体"/>
                <w:color w:val="000000"/>
                <w:lang w:eastAsia="zh-CN"/>
              </w:rPr>
            </w:pPr>
            <w:r>
              <w:rPr>
                <w:rFonts w:ascii="宋体" w:hAnsi="宋体"/>
                <w:color w:val="000000"/>
                <w:lang w:eastAsia="zh-CN"/>
              </w:rPr>
              <w:t>应有控制措施以防止电子记录从应用软件外面被修改或删除。</w:t>
            </w:r>
          </w:p>
        </w:tc>
        <w:tc>
          <w:tcPr>
            <w:tcW w:w="2125" w:type="dxa"/>
            <w:vAlign w:val="center"/>
          </w:tcPr>
          <w:p>
            <w:pPr>
              <w:spacing w:line="276" w:lineRule="auto"/>
              <w:jc w:val="center"/>
              <w:rPr>
                <w:rFonts w:ascii="宋体" w:hAnsi="宋体"/>
                <w:color w:val="000000"/>
                <w:lang w:eastAsia="zh-CN"/>
              </w:rPr>
            </w:pPr>
            <w:r>
              <w:rPr>
                <w:rFonts w:hint="eastAsia" w:ascii="宋体" w:hAnsi="宋体"/>
                <w:color w:val="000000"/>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128" w:type="dxa"/>
            <w:vAlign w:val="center"/>
          </w:tcPr>
          <w:p>
            <w:pPr>
              <w:spacing w:line="276" w:lineRule="auto"/>
              <w:jc w:val="both"/>
              <w:rPr>
                <w:rFonts w:ascii="宋体" w:hAnsi="宋体"/>
                <w:color w:val="000000"/>
                <w:lang w:eastAsia="zh-CN"/>
              </w:rPr>
            </w:pPr>
            <w:r>
              <w:rPr>
                <w:rFonts w:ascii="宋体" w:hAnsi="宋体"/>
                <w:color w:val="000000"/>
                <w:lang w:eastAsia="zh-CN"/>
              </w:rPr>
              <w:t>可</w:t>
            </w:r>
            <w:r>
              <w:rPr>
                <w:rFonts w:hint="eastAsia" w:ascii="宋体" w:hAnsi="宋体"/>
                <w:color w:val="000000"/>
                <w:lang w:eastAsia="zh-CN"/>
              </w:rPr>
              <w:t>生成</w:t>
            </w:r>
            <w:r>
              <w:rPr>
                <w:rFonts w:ascii="宋体" w:hAnsi="宋体"/>
                <w:color w:val="000000"/>
                <w:lang w:eastAsia="zh-CN"/>
              </w:rPr>
              <w:t>批生产报告及时间段报告</w:t>
            </w:r>
            <w:r>
              <w:rPr>
                <w:rFonts w:hint="eastAsia" w:ascii="宋体" w:hAnsi="宋体"/>
                <w:color w:val="000000"/>
                <w:lang w:eastAsia="zh-CN"/>
              </w:rPr>
              <w:t>，</w:t>
            </w:r>
            <w:r>
              <w:rPr>
                <w:rFonts w:ascii="宋体" w:hAnsi="宋体"/>
                <w:color w:val="000000"/>
                <w:lang w:eastAsia="zh-CN"/>
              </w:rPr>
              <w:t>报告格式应包含以下内容：日期时间</w:t>
            </w:r>
            <w:r>
              <w:rPr>
                <w:rFonts w:hint="eastAsia" w:ascii="宋体" w:hAnsi="宋体"/>
                <w:color w:val="000000"/>
                <w:lang w:eastAsia="zh-CN"/>
              </w:rPr>
              <w:t>、</w:t>
            </w:r>
            <w:r>
              <w:rPr>
                <w:rFonts w:ascii="宋体" w:hAnsi="宋体"/>
                <w:color w:val="000000"/>
                <w:lang w:eastAsia="zh-CN"/>
              </w:rPr>
              <w:t>名称</w:t>
            </w:r>
            <w:r>
              <w:rPr>
                <w:rFonts w:hint="eastAsia" w:ascii="宋体" w:hAnsi="宋体"/>
                <w:color w:val="000000"/>
                <w:lang w:eastAsia="zh-CN"/>
              </w:rPr>
              <w:t>、</w:t>
            </w:r>
            <w:r>
              <w:rPr>
                <w:rFonts w:ascii="宋体" w:hAnsi="宋体"/>
                <w:color w:val="000000"/>
                <w:lang w:eastAsia="zh-CN"/>
              </w:rPr>
              <w:t>运行时间</w:t>
            </w:r>
            <w:r>
              <w:rPr>
                <w:rFonts w:hint="eastAsia" w:ascii="宋体" w:hAnsi="宋体"/>
                <w:color w:val="000000"/>
                <w:lang w:eastAsia="zh-CN"/>
              </w:rPr>
              <w:t>、</w:t>
            </w:r>
            <w:r>
              <w:rPr>
                <w:rFonts w:ascii="宋体" w:hAnsi="宋体"/>
                <w:color w:val="000000"/>
                <w:lang w:eastAsia="zh-CN"/>
              </w:rPr>
              <w:t>产品名称</w:t>
            </w:r>
            <w:r>
              <w:rPr>
                <w:rFonts w:hint="eastAsia" w:ascii="宋体" w:hAnsi="宋体"/>
                <w:color w:val="000000"/>
                <w:lang w:eastAsia="zh-CN"/>
              </w:rPr>
              <w:t>、产品</w:t>
            </w:r>
            <w:r>
              <w:rPr>
                <w:rFonts w:ascii="宋体" w:hAnsi="宋体"/>
                <w:color w:val="000000"/>
                <w:lang w:eastAsia="zh-CN"/>
              </w:rPr>
              <w:t>批号</w:t>
            </w:r>
            <w:r>
              <w:rPr>
                <w:rFonts w:hint="eastAsia" w:ascii="宋体" w:hAnsi="宋体"/>
                <w:color w:val="000000"/>
                <w:lang w:eastAsia="zh-CN"/>
              </w:rPr>
              <w:t>、</w:t>
            </w:r>
            <w:r>
              <w:rPr>
                <w:rFonts w:ascii="宋体" w:hAnsi="宋体"/>
                <w:color w:val="000000"/>
                <w:lang w:eastAsia="zh-CN"/>
              </w:rPr>
              <w:t>必要的设置信息</w:t>
            </w:r>
            <w:r>
              <w:rPr>
                <w:rFonts w:hint="eastAsia" w:ascii="宋体" w:hAnsi="宋体"/>
                <w:color w:val="000000"/>
                <w:lang w:eastAsia="zh-CN"/>
              </w:rPr>
              <w:t>、</w:t>
            </w:r>
            <w:r>
              <w:rPr>
                <w:rFonts w:ascii="宋体" w:hAnsi="宋体"/>
                <w:color w:val="000000"/>
                <w:lang w:eastAsia="zh-CN"/>
              </w:rPr>
              <w:t>运行号</w:t>
            </w:r>
            <w:r>
              <w:rPr>
                <w:rFonts w:hint="eastAsia" w:ascii="宋体" w:hAnsi="宋体"/>
                <w:color w:val="000000"/>
                <w:lang w:eastAsia="zh-CN"/>
              </w:rPr>
              <w:t>、</w:t>
            </w:r>
            <w:r>
              <w:rPr>
                <w:rFonts w:ascii="宋体" w:hAnsi="宋体"/>
                <w:color w:val="000000"/>
                <w:lang w:eastAsia="zh-CN"/>
              </w:rPr>
              <w:t>相关电子记录等</w:t>
            </w:r>
            <w:r>
              <w:rPr>
                <w:rFonts w:hint="eastAsia" w:ascii="宋体" w:hAnsi="宋体"/>
                <w:color w:val="000000"/>
                <w:lang w:eastAsia="zh-CN"/>
              </w:rPr>
              <w:t>。</w:t>
            </w:r>
          </w:p>
        </w:tc>
        <w:tc>
          <w:tcPr>
            <w:tcW w:w="2125" w:type="dxa"/>
            <w:vAlign w:val="center"/>
          </w:tcPr>
          <w:p>
            <w:pPr>
              <w:spacing w:line="276" w:lineRule="auto"/>
              <w:jc w:val="center"/>
              <w:rPr>
                <w:rFonts w:ascii="宋体" w:hAnsi="宋体"/>
                <w:color w:val="000000"/>
                <w:lang w:eastAsia="zh-CN"/>
              </w:rPr>
            </w:pPr>
            <w:r>
              <w:rPr>
                <w:rFonts w:hint="eastAsia" w:ascii="宋体" w:hAnsi="宋体"/>
                <w:color w:val="000000"/>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128" w:type="dxa"/>
            <w:vAlign w:val="center"/>
          </w:tcPr>
          <w:p>
            <w:pPr>
              <w:spacing w:line="276" w:lineRule="auto"/>
              <w:jc w:val="both"/>
              <w:rPr>
                <w:rFonts w:ascii="宋体" w:hAnsi="宋体"/>
                <w:color w:val="000000"/>
                <w:lang w:eastAsia="zh-CN"/>
              </w:rPr>
            </w:pPr>
            <w:r>
              <w:rPr>
                <w:rFonts w:ascii="宋体" w:hAnsi="宋体"/>
                <w:color w:val="000000"/>
                <w:lang w:eastAsia="zh-CN"/>
              </w:rPr>
              <w:t>报告应为只读的格式</w:t>
            </w:r>
            <w:r>
              <w:rPr>
                <w:rFonts w:hint="eastAsia" w:ascii="宋体" w:hAnsi="宋体"/>
                <w:color w:val="000000"/>
                <w:lang w:eastAsia="zh-CN"/>
              </w:rPr>
              <w:t>，可查询、输出、打印、备份恢复。</w:t>
            </w:r>
          </w:p>
        </w:tc>
        <w:tc>
          <w:tcPr>
            <w:tcW w:w="2125" w:type="dxa"/>
            <w:vAlign w:val="center"/>
          </w:tcPr>
          <w:p>
            <w:pPr>
              <w:spacing w:line="276" w:lineRule="auto"/>
              <w:jc w:val="center"/>
              <w:rPr>
                <w:rFonts w:ascii="宋体" w:hAnsi="宋体"/>
                <w:color w:val="000000"/>
                <w:lang w:eastAsia="zh-CN"/>
              </w:rPr>
            </w:pPr>
            <w:r>
              <w:rPr>
                <w:rFonts w:hint="eastAsia" w:ascii="宋体" w:hAnsi="宋体"/>
                <w:color w:val="000000"/>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128" w:type="dxa"/>
            <w:vAlign w:val="center"/>
          </w:tcPr>
          <w:p>
            <w:pPr>
              <w:spacing w:line="276" w:lineRule="auto"/>
              <w:jc w:val="both"/>
              <w:rPr>
                <w:rFonts w:ascii="宋体" w:hAnsi="宋体"/>
                <w:color w:val="000000"/>
                <w:lang w:eastAsia="zh-CN"/>
              </w:rPr>
            </w:pPr>
            <w:r>
              <w:rPr>
                <w:rFonts w:ascii="宋体" w:hAnsi="宋体"/>
                <w:color w:val="000000"/>
                <w:lang w:eastAsia="zh-CN"/>
              </w:rPr>
              <w:t>使用者应不能修改</w:t>
            </w:r>
            <w:r>
              <w:rPr>
                <w:rFonts w:hint="eastAsia" w:ascii="宋体" w:hAnsi="宋体"/>
                <w:color w:val="000000"/>
                <w:lang w:eastAsia="zh-CN"/>
              </w:rPr>
              <w:t>数据</w:t>
            </w:r>
            <w:r>
              <w:rPr>
                <w:rFonts w:ascii="宋体" w:hAnsi="宋体"/>
                <w:color w:val="000000"/>
                <w:lang w:eastAsia="zh-CN"/>
              </w:rPr>
              <w:t>结果</w:t>
            </w:r>
            <w:r>
              <w:rPr>
                <w:rFonts w:hint="eastAsia" w:ascii="宋体" w:hAnsi="宋体"/>
                <w:color w:val="000000"/>
                <w:lang w:eastAsia="zh-CN"/>
              </w:rPr>
              <w:t>。</w:t>
            </w:r>
          </w:p>
        </w:tc>
        <w:tc>
          <w:tcPr>
            <w:tcW w:w="2125" w:type="dxa"/>
            <w:vAlign w:val="center"/>
          </w:tcPr>
          <w:p>
            <w:pPr>
              <w:spacing w:line="276" w:lineRule="auto"/>
              <w:jc w:val="center"/>
              <w:rPr>
                <w:rFonts w:ascii="宋体" w:hAnsi="宋体"/>
                <w:color w:val="000000"/>
                <w:lang w:eastAsia="zh-CN"/>
              </w:rPr>
            </w:pPr>
            <w:r>
              <w:rPr>
                <w:rFonts w:hint="eastAsia" w:ascii="宋体" w:hAnsi="宋体"/>
                <w:color w:val="000000"/>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128" w:type="dxa"/>
            <w:vAlign w:val="center"/>
          </w:tcPr>
          <w:p>
            <w:pPr>
              <w:spacing w:line="276" w:lineRule="auto"/>
              <w:jc w:val="both"/>
              <w:rPr>
                <w:rFonts w:ascii="宋体" w:hAnsi="宋体"/>
                <w:color w:val="000000"/>
                <w:lang w:eastAsia="zh-CN"/>
              </w:rPr>
            </w:pPr>
            <w:r>
              <w:rPr>
                <w:rFonts w:hint="eastAsia" w:ascii="宋体" w:hAnsi="宋体"/>
                <w:color w:val="000000"/>
                <w:lang w:eastAsia="zh-CN"/>
              </w:rPr>
              <w:t>系统存储容量满足所有电子记录存储至产品有效期后一年，且不影响正常的运行速度。</w:t>
            </w:r>
          </w:p>
        </w:tc>
        <w:tc>
          <w:tcPr>
            <w:tcW w:w="2125" w:type="dxa"/>
            <w:vAlign w:val="center"/>
          </w:tcPr>
          <w:p>
            <w:pPr>
              <w:spacing w:line="276" w:lineRule="auto"/>
              <w:jc w:val="center"/>
              <w:rPr>
                <w:rFonts w:ascii="宋体" w:hAnsi="宋体"/>
                <w:color w:val="000000"/>
                <w:lang w:eastAsia="zh-CN"/>
              </w:rPr>
            </w:pPr>
            <w:r>
              <w:rPr>
                <w:rFonts w:hint="eastAsia" w:ascii="宋体" w:hAnsi="宋体"/>
                <w:color w:val="000000"/>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128" w:type="dxa"/>
            <w:vAlign w:val="center"/>
          </w:tcPr>
          <w:p>
            <w:pPr>
              <w:spacing w:line="276" w:lineRule="auto"/>
              <w:jc w:val="both"/>
              <w:rPr>
                <w:rFonts w:ascii="宋体" w:hAnsi="宋体"/>
                <w:color w:val="000000"/>
                <w:lang w:eastAsia="zh-CN"/>
              </w:rPr>
            </w:pPr>
            <w:r>
              <w:rPr>
                <w:rFonts w:hint="eastAsia" w:ascii="宋体" w:hAnsi="宋体"/>
                <w:color w:val="000000"/>
                <w:lang w:eastAsia="zh-CN"/>
              </w:rPr>
              <w:t>电子记录的存储不得影响系统运行，例如：不得由于电子数据存储而导致系统出现卡顿现象。</w:t>
            </w:r>
          </w:p>
        </w:tc>
        <w:tc>
          <w:tcPr>
            <w:tcW w:w="2125" w:type="dxa"/>
            <w:vAlign w:val="center"/>
          </w:tcPr>
          <w:p>
            <w:pPr>
              <w:spacing w:line="276" w:lineRule="auto"/>
              <w:jc w:val="center"/>
              <w:rPr>
                <w:rFonts w:ascii="宋体" w:hAnsi="宋体"/>
                <w:color w:val="000000"/>
                <w:lang w:eastAsia="zh-CN"/>
              </w:rPr>
            </w:pPr>
            <w:r>
              <w:rPr>
                <w:rFonts w:hint="eastAsia" w:ascii="宋体" w:hAnsi="宋体"/>
                <w:color w:val="000000"/>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128" w:type="dxa"/>
            <w:vAlign w:val="center"/>
          </w:tcPr>
          <w:p>
            <w:pPr>
              <w:spacing w:line="276" w:lineRule="auto"/>
              <w:jc w:val="both"/>
              <w:rPr>
                <w:rFonts w:ascii="宋体" w:hAnsi="宋体"/>
                <w:color w:val="000000"/>
                <w:lang w:eastAsia="zh-CN"/>
              </w:rPr>
            </w:pPr>
            <w:r>
              <w:rPr>
                <w:rFonts w:ascii="宋体" w:hAnsi="宋体"/>
                <w:color w:val="000000"/>
                <w:lang w:eastAsia="zh-CN"/>
              </w:rPr>
              <w:t>断电恢复后系统可正常运行</w:t>
            </w:r>
            <w:r>
              <w:rPr>
                <w:rFonts w:hint="eastAsia" w:ascii="宋体" w:hAnsi="宋体"/>
                <w:color w:val="000000"/>
                <w:lang w:eastAsia="zh-CN"/>
              </w:rPr>
              <w:t>，</w:t>
            </w:r>
            <w:r>
              <w:rPr>
                <w:rFonts w:ascii="宋体" w:hAnsi="宋体"/>
                <w:color w:val="000000"/>
                <w:lang w:eastAsia="zh-CN"/>
              </w:rPr>
              <w:t>不影响参数设置</w:t>
            </w:r>
            <w:r>
              <w:rPr>
                <w:rFonts w:hint="eastAsia" w:ascii="宋体" w:hAnsi="宋体"/>
                <w:color w:val="000000"/>
                <w:lang w:eastAsia="zh-CN"/>
              </w:rPr>
              <w:t>、</w:t>
            </w:r>
            <w:r>
              <w:rPr>
                <w:rFonts w:ascii="宋体" w:hAnsi="宋体"/>
                <w:color w:val="000000"/>
                <w:lang w:eastAsia="zh-CN"/>
              </w:rPr>
              <w:t>数据完整性</w:t>
            </w:r>
          </w:p>
        </w:tc>
        <w:tc>
          <w:tcPr>
            <w:tcW w:w="2125" w:type="dxa"/>
            <w:vAlign w:val="center"/>
          </w:tcPr>
          <w:p>
            <w:pPr>
              <w:spacing w:line="276" w:lineRule="auto"/>
              <w:jc w:val="center"/>
              <w:rPr>
                <w:rFonts w:ascii="宋体" w:hAnsi="宋体"/>
                <w:color w:val="000000"/>
                <w:lang w:eastAsia="zh-CN"/>
              </w:rPr>
            </w:pPr>
            <w:r>
              <w:rPr>
                <w:rFonts w:hint="eastAsia" w:ascii="宋体" w:hAnsi="宋体"/>
                <w:color w:val="000000"/>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128" w:type="dxa"/>
            <w:vAlign w:val="center"/>
          </w:tcPr>
          <w:p>
            <w:pPr>
              <w:spacing w:line="276" w:lineRule="auto"/>
              <w:jc w:val="both"/>
              <w:rPr>
                <w:rFonts w:ascii="宋体" w:hAnsi="宋体"/>
                <w:color w:val="000000"/>
                <w:lang w:eastAsia="zh-CN"/>
              </w:rPr>
            </w:pPr>
            <w:r>
              <w:rPr>
                <w:rFonts w:hint="eastAsia" w:ascii="宋体" w:hAnsi="宋体"/>
                <w:lang w:eastAsia="zh-CN"/>
              </w:rPr>
              <w:t>应有与上位机或MAS系统数据通讯接口。</w:t>
            </w:r>
          </w:p>
        </w:tc>
        <w:tc>
          <w:tcPr>
            <w:tcW w:w="2125" w:type="dxa"/>
            <w:vAlign w:val="center"/>
          </w:tcPr>
          <w:p>
            <w:pPr>
              <w:spacing w:line="276" w:lineRule="auto"/>
              <w:jc w:val="center"/>
              <w:rPr>
                <w:rFonts w:ascii="宋体" w:hAnsi="宋体"/>
                <w:color w:val="000000"/>
                <w:lang w:eastAsia="zh-CN"/>
              </w:rPr>
            </w:pPr>
            <w:r>
              <w:rPr>
                <w:rFonts w:hint="eastAsia" w:ascii="宋体" w:hAnsi="宋体"/>
                <w:color w:val="000000"/>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128" w:type="dxa"/>
            <w:vAlign w:val="center"/>
          </w:tcPr>
          <w:p>
            <w:pPr>
              <w:spacing w:line="276" w:lineRule="auto"/>
              <w:jc w:val="both"/>
              <w:rPr>
                <w:rFonts w:ascii="宋体" w:hAnsi="宋体"/>
                <w:color w:val="000000"/>
                <w:lang w:eastAsia="zh-CN"/>
              </w:rPr>
            </w:pPr>
            <w:r>
              <w:rPr>
                <w:rFonts w:ascii="宋体" w:hAnsi="宋体"/>
                <w:color w:val="000000"/>
                <w:lang w:eastAsia="zh-CN"/>
              </w:rPr>
              <w:t>系统及软件必须为正版</w:t>
            </w:r>
            <w:r>
              <w:rPr>
                <w:rFonts w:hint="eastAsia" w:ascii="宋体" w:hAnsi="宋体"/>
                <w:color w:val="000000"/>
                <w:lang w:eastAsia="zh-CN"/>
              </w:rPr>
              <w:t>，</w:t>
            </w:r>
            <w:r>
              <w:rPr>
                <w:rFonts w:ascii="宋体" w:hAnsi="宋体"/>
                <w:color w:val="000000"/>
                <w:lang w:eastAsia="zh-CN"/>
              </w:rPr>
              <w:t>若为</w:t>
            </w:r>
            <w:r>
              <w:rPr>
                <w:rFonts w:hint="eastAsia" w:ascii="宋体" w:hAnsi="宋体"/>
                <w:color w:val="000000"/>
                <w:lang w:eastAsia="zh-CN"/>
              </w:rPr>
              <w:t>Windows系统必须为专业版以上版本</w:t>
            </w:r>
          </w:p>
        </w:tc>
        <w:tc>
          <w:tcPr>
            <w:tcW w:w="2125" w:type="dxa"/>
            <w:vAlign w:val="center"/>
          </w:tcPr>
          <w:p>
            <w:pPr>
              <w:spacing w:line="276" w:lineRule="auto"/>
              <w:jc w:val="center"/>
              <w:rPr>
                <w:rFonts w:ascii="宋体" w:hAnsi="宋体"/>
                <w:color w:val="000000"/>
                <w:lang w:eastAsia="zh-CN"/>
              </w:rPr>
            </w:pPr>
            <w:r>
              <w:rPr>
                <w:rFonts w:hint="eastAsia" w:ascii="宋体" w:hAnsi="宋体"/>
                <w:color w:val="000000"/>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128" w:type="dxa"/>
            <w:vAlign w:val="center"/>
          </w:tcPr>
          <w:p>
            <w:pPr>
              <w:spacing w:line="276" w:lineRule="auto"/>
              <w:jc w:val="both"/>
              <w:rPr>
                <w:rFonts w:ascii="宋体" w:hAnsi="宋体"/>
                <w:color w:val="000000"/>
                <w:lang w:eastAsia="zh-CN"/>
              </w:rPr>
            </w:pPr>
            <w:r>
              <w:rPr>
                <w:rFonts w:ascii="宋体" w:hAnsi="宋体"/>
                <w:color w:val="000000"/>
                <w:lang w:eastAsia="zh-CN"/>
              </w:rPr>
              <w:t>供应商提供程序备份</w:t>
            </w:r>
            <w:r>
              <w:rPr>
                <w:rFonts w:hint="eastAsia" w:ascii="宋体" w:hAnsi="宋体"/>
                <w:color w:val="000000"/>
                <w:lang w:eastAsia="zh-CN"/>
              </w:rPr>
              <w:t>及程序备份</w:t>
            </w:r>
            <w:r>
              <w:rPr>
                <w:rFonts w:ascii="宋体" w:hAnsi="宋体"/>
                <w:color w:val="000000"/>
                <w:lang w:eastAsia="zh-CN"/>
              </w:rPr>
              <w:t>恢复策略</w:t>
            </w:r>
          </w:p>
        </w:tc>
        <w:tc>
          <w:tcPr>
            <w:tcW w:w="2125" w:type="dxa"/>
            <w:vAlign w:val="center"/>
          </w:tcPr>
          <w:p>
            <w:pPr>
              <w:spacing w:line="276" w:lineRule="auto"/>
              <w:jc w:val="center"/>
              <w:rPr>
                <w:rFonts w:ascii="宋体" w:hAnsi="宋体"/>
                <w:color w:val="000000"/>
                <w:lang w:eastAsia="zh-CN"/>
              </w:rPr>
            </w:pPr>
            <w:r>
              <w:rPr>
                <w:rFonts w:hint="eastAsia" w:ascii="宋体" w:hAnsi="宋体"/>
                <w:color w:val="000000"/>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128" w:type="dxa"/>
            <w:vAlign w:val="center"/>
          </w:tcPr>
          <w:p>
            <w:pPr>
              <w:spacing w:line="276" w:lineRule="auto"/>
              <w:jc w:val="both"/>
              <w:rPr>
                <w:rFonts w:ascii="宋体" w:hAnsi="宋体"/>
                <w:color w:val="000000"/>
                <w:lang w:eastAsia="zh-CN"/>
              </w:rPr>
            </w:pPr>
            <w:r>
              <w:rPr>
                <w:rFonts w:ascii="宋体" w:hAnsi="宋体"/>
                <w:color w:val="000000"/>
                <w:lang w:eastAsia="zh-CN"/>
              </w:rPr>
              <w:t>供应商提供备份数据读取策略</w:t>
            </w:r>
            <w:r>
              <w:rPr>
                <w:rFonts w:hint="eastAsia" w:ascii="宋体" w:hAnsi="宋体"/>
                <w:color w:val="000000"/>
                <w:lang w:eastAsia="zh-CN"/>
              </w:rPr>
              <w:t>，需在相应的设备中提供并安装相应读取软件，具备异地备份的原始电子记录的读取、查询、打印功能，并能识别对电子记录的修改，并提供相应设备。不具备编辑功能。</w:t>
            </w:r>
          </w:p>
        </w:tc>
        <w:tc>
          <w:tcPr>
            <w:tcW w:w="2125" w:type="dxa"/>
            <w:vAlign w:val="center"/>
          </w:tcPr>
          <w:p>
            <w:pPr>
              <w:spacing w:line="276" w:lineRule="auto"/>
              <w:jc w:val="center"/>
              <w:rPr>
                <w:rFonts w:ascii="宋体" w:hAnsi="宋体"/>
                <w:color w:val="000000"/>
                <w:lang w:eastAsia="zh-CN"/>
              </w:rPr>
            </w:pPr>
            <w:r>
              <w:rPr>
                <w:rFonts w:hint="eastAsia" w:ascii="宋体" w:hAnsi="宋体"/>
                <w:color w:val="000000"/>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128" w:type="dxa"/>
            <w:vAlign w:val="center"/>
          </w:tcPr>
          <w:p>
            <w:pPr>
              <w:spacing w:line="276" w:lineRule="auto"/>
              <w:jc w:val="both"/>
              <w:rPr>
                <w:rFonts w:ascii="宋体" w:hAnsi="宋体"/>
                <w:color w:val="000000"/>
                <w:lang w:eastAsia="zh-CN"/>
              </w:rPr>
            </w:pPr>
            <w:r>
              <w:rPr>
                <w:rFonts w:hint="eastAsia" w:ascii="宋体" w:hAnsi="宋体"/>
                <w:color w:val="000000"/>
                <w:lang w:eastAsia="zh-CN"/>
              </w:rPr>
              <w:t>备份、恢复的电子记录应与原始电子记录一致，供应商提供一致性确认策略</w:t>
            </w:r>
          </w:p>
        </w:tc>
        <w:tc>
          <w:tcPr>
            <w:tcW w:w="2125" w:type="dxa"/>
            <w:vAlign w:val="center"/>
          </w:tcPr>
          <w:p>
            <w:pPr>
              <w:jc w:val="center"/>
              <w:rPr>
                <w:rFonts w:ascii="宋体" w:hAnsi="宋体"/>
                <w:color w:val="000000"/>
                <w:lang w:eastAsia="zh-CN"/>
              </w:rPr>
            </w:pPr>
            <w:r>
              <w:rPr>
                <w:rFonts w:hint="eastAsia" w:ascii="宋体" w:hAnsi="宋体"/>
                <w:color w:val="000000"/>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128" w:type="dxa"/>
            <w:vAlign w:val="center"/>
          </w:tcPr>
          <w:p>
            <w:pPr>
              <w:spacing w:line="276" w:lineRule="auto"/>
              <w:jc w:val="both"/>
              <w:rPr>
                <w:rFonts w:ascii="宋体" w:hAnsi="宋体"/>
                <w:color w:val="000000"/>
                <w:lang w:eastAsia="zh-CN"/>
              </w:rPr>
            </w:pPr>
            <w:r>
              <w:rPr>
                <w:rFonts w:hint="eastAsia" w:ascii="宋体" w:hAnsi="宋体"/>
                <w:color w:val="000000"/>
                <w:lang w:eastAsia="zh-CN"/>
              </w:rPr>
              <w:t>供应商提供系统安全策略并说明。</w:t>
            </w:r>
          </w:p>
        </w:tc>
        <w:tc>
          <w:tcPr>
            <w:tcW w:w="2125" w:type="dxa"/>
            <w:vAlign w:val="center"/>
          </w:tcPr>
          <w:p>
            <w:pPr>
              <w:jc w:val="center"/>
              <w:rPr>
                <w:rFonts w:ascii="宋体" w:hAnsi="宋体"/>
                <w:color w:val="000000"/>
                <w:lang w:eastAsia="zh-CN"/>
              </w:rPr>
            </w:pPr>
            <w:r>
              <w:rPr>
                <w:rFonts w:hint="eastAsia" w:ascii="宋体" w:hAnsi="宋体"/>
                <w:color w:val="000000"/>
                <w:lang w:eastAsia="zh-CN"/>
              </w:rPr>
              <w:t>关键</w:t>
            </w:r>
          </w:p>
        </w:tc>
      </w:tr>
    </w:tbl>
    <w:p>
      <w:pPr>
        <w:spacing w:after="158" w:afterLines="50"/>
        <w:rPr>
          <w:b/>
          <w:color w:val="000000"/>
          <w:lang w:eastAsia="zh-CN"/>
        </w:rPr>
      </w:pPr>
    </w:p>
    <w:p>
      <w:pPr>
        <w:pStyle w:val="31"/>
        <w:numPr>
          <w:ilvl w:val="0"/>
          <w:numId w:val="3"/>
        </w:numPr>
        <w:spacing w:after="158" w:afterLines="50"/>
        <w:ind w:left="426" w:hanging="426" w:hangingChars="202"/>
        <w:outlineLvl w:val="0"/>
        <w:rPr>
          <w:rFonts w:ascii="Times New Roman" w:hAnsi="Times New Roman"/>
          <w:b/>
          <w:color w:val="000000"/>
        </w:rPr>
      </w:pPr>
      <w:bookmarkStart w:id="44" w:name="_Toc522716123"/>
      <w:r>
        <w:rPr>
          <w:rFonts w:ascii="Times New Roman" w:hAnsi="Times New Roman"/>
          <w:b/>
          <w:color w:val="000000"/>
        </w:rPr>
        <w:t>安全要求</w:t>
      </w:r>
      <w:bookmarkEnd w:id="31"/>
      <w:bookmarkEnd w:id="44"/>
    </w:p>
    <w:p>
      <w:pPr>
        <w:pStyle w:val="35"/>
        <w:spacing w:before="0" w:line="360" w:lineRule="auto"/>
        <w:ind w:left="357"/>
        <w:jc w:val="left"/>
        <w:rPr>
          <w:i/>
          <w:color w:val="000000"/>
          <w:szCs w:val="21"/>
          <w:lang w:eastAsia="zh-CN"/>
        </w:rPr>
      </w:pPr>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color w:val="000000"/>
                <w:szCs w:val="21"/>
              </w:rPr>
            </w:pPr>
            <w:r>
              <w:rPr>
                <w:b/>
                <w:color w:val="000000"/>
                <w:szCs w:val="21"/>
              </w:rPr>
              <w:t>编号</w:t>
            </w:r>
          </w:p>
        </w:tc>
        <w:tc>
          <w:tcPr>
            <w:tcW w:w="7128" w:type="dxa"/>
            <w:shd w:val="clear" w:color="auto" w:fill="D9D9D9"/>
            <w:vAlign w:val="center"/>
          </w:tcPr>
          <w:p>
            <w:pPr>
              <w:jc w:val="center"/>
              <w:rPr>
                <w:b/>
                <w:color w:val="000000"/>
                <w:szCs w:val="21"/>
                <w:lang w:eastAsia="zh-CN"/>
              </w:rPr>
            </w:pPr>
            <w:r>
              <w:rPr>
                <w:b/>
                <w:color w:val="000000"/>
                <w:szCs w:val="21"/>
                <w:lang w:eastAsia="zh-CN"/>
              </w:rPr>
              <w:t>需求</w:t>
            </w:r>
          </w:p>
        </w:tc>
        <w:tc>
          <w:tcPr>
            <w:tcW w:w="2125" w:type="dxa"/>
            <w:shd w:val="clear" w:color="auto" w:fill="D9D9D9"/>
            <w:vAlign w:val="center"/>
          </w:tcPr>
          <w:p>
            <w:pPr>
              <w:jc w:val="center"/>
              <w:rPr>
                <w:b/>
                <w:color w:val="000000"/>
                <w:szCs w:val="21"/>
                <w:lang w:eastAsia="zh-CN"/>
              </w:rPr>
            </w:pPr>
            <w:r>
              <w:rPr>
                <w:b/>
                <w:color w:val="000000"/>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color w:val="000000"/>
                <w:szCs w:val="21"/>
              </w:rPr>
            </w:pPr>
          </w:p>
        </w:tc>
        <w:tc>
          <w:tcPr>
            <w:tcW w:w="9253" w:type="dxa"/>
            <w:gridSpan w:val="2"/>
            <w:shd w:val="clear" w:color="auto" w:fill="D9D9D9"/>
            <w:vAlign w:val="center"/>
          </w:tcPr>
          <w:p>
            <w:pPr>
              <w:jc w:val="both"/>
              <w:rPr>
                <w:color w:val="000000"/>
                <w:szCs w:val="21"/>
                <w:lang w:eastAsia="zh-CN"/>
              </w:rPr>
            </w:pPr>
            <w:r>
              <w:rPr>
                <w:color w:val="000000"/>
                <w:szCs w:val="21"/>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ind w:firstLine="0" w:firstLineChars="0"/>
              <w:rPr>
                <w:rFonts w:ascii="Times New Roman" w:hAnsi="Times New Roman"/>
                <w:color w:val="000000"/>
                <w:szCs w:val="21"/>
              </w:rPr>
            </w:pPr>
          </w:p>
        </w:tc>
        <w:tc>
          <w:tcPr>
            <w:tcW w:w="9253" w:type="dxa"/>
            <w:gridSpan w:val="2"/>
            <w:vAlign w:val="center"/>
          </w:tcPr>
          <w:p>
            <w:pPr>
              <w:jc w:val="both"/>
              <w:rPr>
                <w:color w:val="000000"/>
                <w:szCs w:val="21"/>
                <w:lang w:eastAsia="zh-CN"/>
              </w:rPr>
            </w:pPr>
            <w:r>
              <w:rPr>
                <w:color w:val="000000"/>
                <w:szCs w:val="21"/>
                <w:lang w:val="en-US"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color w:val="000000"/>
                <w:szCs w:val="21"/>
              </w:rPr>
            </w:pPr>
          </w:p>
        </w:tc>
        <w:tc>
          <w:tcPr>
            <w:tcW w:w="7128" w:type="dxa"/>
            <w:shd w:val="clear" w:color="auto" w:fill="D9D9D9"/>
            <w:vAlign w:val="center"/>
          </w:tcPr>
          <w:p>
            <w:pPr>
              <w:jc w:val="both"/>
              <w:rPr>
                <w:color w:val="000000"/>
                <w:szCs w:val="21"/>
                <w:lang w:eastAsia="zh-CN"/>
              </w:rPr>
            </w:pPr>
            <w:r>
              <w:rPr>
                <w:color w:val="000000"/>
                <w:szCs w:val="21"/>
                <w:lang w:eastAsia="zh-CN"/>
              </w:rPr>
              <w:t>电气保护</w:t>
            </w:r>
          </w:p>
        </w:tc>
        <w:tc>
          <w:tcPr>
            <w:tcW w:w="2125" w:type="dxa"/>
            <w:shd w:val="clear" w:color="auto" w:fill="D9D9D9"/>
            <w:vAlign w:val="center"/>
          </w:tcPr>
          <w:p>
            <w:pPr>
              <w:jc w:val="both"/>
              <w:rPr>
                <w:color w:val="00000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128" w:type="dxa"/>
            <w:vAlign w:val="center"/>
          </w:tcPr>
          <w:p>
            <w:pPr>
              <w:spacing w:line="276" w:lineRule="auto"/>
              <w:jc w:val="both"/>
              <w:rPr>
                <w:rFonts w:ascii="宋体" w:hAnsi="宋体"/>
                <w:color w:val="000000"/>
                <w:szCs w:val="21"/>
                <w:lang w:eastAsia="zh-CN"/>
              </w:rPr>
            </w:pPr>
            <w:r>
              <w:rPr>
                <w:rFonts w:hint="eastAsia" w:ascii="宋体" w:hAnsi="宋体"/>
                <w:color w:val="000000"/>
                <w:lang w:eastAsia="zh-CN"/>
              </w:rPr>
              <w:t>进口设备符合CE标准。</w:t>
            </w:r>
          </w:p>
        </w:tc>
        <w:tc>
          <w:tcPr>
            <w:tcW w:w="2125" w:type="dxa"/>
            <w:vAlign w:val="center"/>
          </w:tcPr>
          <w:p>
            <w:pPr>
              <w:jc w:val="center"/>
              <w:rPr>
                <w:color w:val="000000"/>
                <w:szCs w:val="21"/>
                <w:lang w:eastAsia="zh-CN"/>
              </w:rPr>
            </w:pPr>
            <w:r>
              <w:rPr>
                <w:rFonts w:hint="eastAsia"/>
                <w:iCs/>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128" w:type="dxa"/>
            <w:vAlign w:val="center"/>
          </w:tcPr>
          <w:p>
            <w:pPr>
              <w:spacing w:line="276" w:lineRule="auto"/>
              <w:jc w:val="both"/>
              <w:rPr>
                <w:rFonts w:ascii="宋体" w:hAnsi="宋体"/>
                <w:color w:val="000000"/>
                <w:lang w:eastAsia="zh-CN"/>
              </w:rPr>
            </w:pPr>
            <w:r>
              <w:rPr>
                <w:rFonts w:hint="eastAsia" w:ascii="宋体" w:hAnsi="宋体"/>
                <w:color w:val="000000"/>
                <w:lang w:eastAsia="zh-CN"/>
              </w:rPr>
              <w:t>电气安全高于GB4793.1的要求。</w:t>
            </w:r>
          </w:p>
        </w:tc>
        <w:tc>
          <w:tcPr>
            <w:tcW w:w="2125" w:type="dxa"/>
            <w:vAlign w:val="center"/>
          </w:tcPr>
          <w:p>
            <w:pPr>
              <w:jc w:val="center"/>
              <w:rPr>
                <w:rFonts w:ascii="宋体" w:hAnsi="宋体"/>
                <w:color w:val="000000"/>
                <w:lang w:eastAsia="zh-CN"/>
              </w:rPr>
            </w:pPr>
            <w:r>
              <w:rPr>
                <w:rFonts w:hint="eastAsia" w:ascii="宋体" w:hAnsi="宋体"/>
                <w:color w:val="000000"/>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128" w:type="dxa"/>
            <w:vAlign w:val="center"/>
          </w:tcPr>
          <w:p>
            <w:pPr>
              <w:spacing w:line="276" w:lineRule="auto"/>
              <w:jc w:val="both"/>
              <w:rPr>
                <w:rFonts w:ascii="宋体" w:hAnsi="宋体"/>
                <w:color w:val="000000"/>
                <w:lang w:eastAsia="zh-CN"/>
              </w:rPr>
            </w:pPr>
            <w:r>
              <w:rPr>
                <w:rFonts w:hint="eastAsia" w:ascii="宋体" w:hAnsi="宋体"/>
                <w:color w:val="000000"/>
                <w:lang w:eastAsia="zh-CN"/>
              </w:rPr>
              <w:t>电磁兼容性应高于GB/T18268—2000《测量、控制和实验室用的电设备电磁兼容性要求》。</w:t>
            </w:r>
          </w:p>
          <w:p>
            <w:pPr>
              <w:jc w:val="both"/>
              <w:rPr>
                <w:rFonts w:ascii="宋体" w:hAnsi="宋体"/>
                <w:color w:val="000000"/>
                <w:lang w:eastAsia="zh-CN"/>
              </w:rPr>
            </w:pPr>
          </w:p>
        </w:tc>
        <w:tc>
          <w:tcPr>
            <w:tcW w:w="2125" w:type="dxa"/>
            <w:vAlign w:val="center"/>
          </w:tcPr>
          <w:p>
            <w:pPr>
              <w:jc w:val="center"/>
              <w:rPr>
                <w:rFonts w:ascii="宋体" w:hAnsi="宋体"/>
                <w:color w:val="000000"/>
                <w:lang w:eastAsia="zh-CN"/>
              </w:rPr>
            </w:pPr>
            <w:r>
              <w:rPr>
                <w:rFonts w:hint="eastAsia" w:ascii="宋体" w:hAnsi="宋体"/>
                <w:color w:val="000000"/>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128" w:type="dxa"/>
            <w:vAlign w:val="center"/>
          </w:tcPr>
          <w:p>
            <w:pPr>
              <w:spacing w:line="276" w:lineRule="auto"/>
              <w:jc w:val="both"/>
              <w:rPr>
                <w:rFonts w:ascii="宋体" w:hAnsi="宋体"/>
                <w:color w:val="000000"/>
                <w:lang w:eastAsia="zh-CN"/>
              </w:rPr>
            </w:pPr>
            <w:r>
              <w:rPr>
                <w:rFonts w:ascii="宋体" w:hAnsi="宋体"/>
                <w:color w:val="000000"/>
                <w:lang w:eastAsia="zh-CN"/>
              </w:rPr>
              <w:t>设备配备急停按钮</w:t>
            </w:r>
            <w:r>
              <w:rPr>
                <w:rFonts w:hint="eastAsia" w:ascii="宋体" w:hAnsi="宋体"/>
                <w:color w:val="000000"/>
                <w:lang w:eastAsia="zh-CN"/>
              </w:rPr>
              <w:t>，急停按钮应安装在操作人员能够迅速按到的位置；设备急停后，必须立即停止机械部位的运转，并完全断电，避免对人体的潜在威胁。</w:t>
            </w:r>
          </w:p>
        </w:tc>
        <w:tc>
          <w:tcPr>
            <w:tcW w:w="2125" w:type="dxa"/>
            <w:vAlign w:val="center"/>
          </w:tcPr>
          <w:p>
            <w:pPr>
              <w:jc w:val="center"/>
              <w:rPr>
                <w:rFonts w:ascii="宋体" w:hAnsi="宋体"/>
                <w:color w:val="000000"/>
                <w:lang w:eastAsia="zh-CN"/>
              </w:rPr>
            </w:pPr>
            <w:r>
              <w:rPr>
                <w:rFonts w:hint="eastAsia" w:ascii="宋体" w:hAnsi="宋体"/>
                <w:color w:val="000000"/>
                <w:lang w:eastAsia="zh-CN"/>
              </w:rPr>
              <w:t>关键</w:t>
            </w:r>
          </w:p>
        </w:tc>
      </w:tr>
    </w:tbl>
    <w:p>
      <w:pPr>
        <w:rPr>
          <w:color w:val="000000"/>
          <w:szCs w:val="21"/>
          <w:lang w:eastAsia="zh-CN"/>
        </w:rPr>
      </w:pPr>
    </w:p>
    <w:p>
      <w:pPr>
        <w:pStyle w:val="31"/>
        <w:numPr>
          <w:ilvl w:val="0"/>
          <w:numId w:val="3"/>
        </w:numPr>
        <w:spacing w:after="158" w:afterLines="50"/>
        <w:ind w:left="426" w:hanging="426" w:hangingChars="202"/>
        <w:outlineLvl w:val="0"/>
        <w:rPr>
          <w:rFonts w:ascii="Times New Roman" w:hAnsi="Times New Roman"/>
          <w:b/>
          <w:color w:val="000000"/>
        </w:rPr>
      </w:pPr>
      <w:bookmarkStart w:id="45" w:name="_Toc522716124"/>
      <w:bookmarkStart w:id="46" w:name="_Toc522107743"/>
      <w:r>
        <w:rPr>
          <w:rFonts w:ascii="Times New Roman" w:hAnsi="Times New Roman"/>
          <w:b/>
          <w:color w:val="000000"/>
        </w:rPr>
        <w:t>文件要求</w:t>
      </w:r>
      <w:bookmarkEnd w:id="45"/>
      <w:bookmarkEnd w:id="46"/>
    </w:p>
    <w:p>
      <w:pPr>
        <w:pStyle w:val="35"/>
        <w:spacing w:before="0" w:line="360" w:lineRule="auto"/>
        <w:ind w:left="357"/>
        <w:jc w:val="left"/>
        <w:rPr>
          <w:i/>
          <w:color w:val="000000"/>
          <w:szCs w:val="21"/>
          <w:lang w:eastAsia="zh-CN"/>
        </w:rPr>
      </w:pPr>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color w:val="000000"/>
                <w:szCs w:val="21"/>
              </w:rPr>
            </w:pPr>
            <w:r>
              <w:rPr>
                <w:b/>
                <w:color w:val="000000"/>
                <w:szCs w:val="21"/>
              </w:rPr>
              <w:t>编号</w:t>
            </w:r>
          </w:p>
        </w:tc>
        <w:tc>
          <w:tcPr>
            <w:tcW w:w="7128" w:type="dxa"/>
            <w:shd w:val="clear" w:color="auto" w:fill="D9D9D9"/>
            <w:vAlign w:val="center"/>
          </w:tcPr>
          <w:p>
            <w:pPr>
              <w:jc w:val="center"/>
              <w:rPr>
                <w:b/>
                <w:color w:val="000000"/>
                <w:szCs w:val="21"/>
                <w:lang w:eastAsia="zh-CN"/>
              </w:rPr>
            </w:pPr>
            <w:r>
              <w:rPr>
                <w:b/>
                <w:color w:val="000000"/>
                <w:szCs w:val="21"/>
                <w:lang w:eastAsia="zh-CN"/>
              </w:rPr>
              <w:t>需求</w:t>
            </w:r>
          </w:p>
        </w:tc>
        <w:tc>
          <w:tcPr>
            <w:tcW w:w="2125" w:type="dxa"/>
            <w:shd w:val="clear" w:color="auto" w:fill="D9D9D9"/>
            <w:vAlign w:val="center"/>
          </w:tcPr>
          <w:p>
            <w:pPr>
              <w:jc w:val="center"/>
              <w:rPr>
                <w:b/>
                <w:color w:val="000000"/>
                <w:szCs w:val="21"/>
                <w:lang w:eastAsia="zh-CN"/>
              </w:rPr>
            </w:pPr>
            <w:r>
              <w:rPr>
                <w:b/>
                <w:color w:val="000000"/>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128" w:type="dxa"/>
            <w:vAlign w:val="center"/>
          </w:tcPr>
          <w:p>
            <w:pPr>
              <w:jc w:val="both"/>
              <w:rPr>
                <w:color w:val="000000"/>
                <w:szCs w:val="21"/>
                <w:lang w:eastAsia="zh-CN"/>
              </w:rPr>
            </w:pPr>
            <w:r>
              <w:rPr>
                <w:rFonts w:hint="eastAsia" w:ascii="宋体" w:hAnsi="宋体"/>
                <w:color w:val="000000"/>
                <w:szCs w:val="21"/>
                <w:lang w:eastAsia="zh-CN"/>
              </w:rPr>
              <w:t>投标文件、合同及订单</w:t>
            </w:r>
            <w:r>
              <w:rPr>
                <w:rFonts w:hint="eastAsia" w:ascii="宋体" w:hAnsi="宋体"/>
                <w:color w:val="000000"/>
                <w:lang w:eastAsia="zh-CN"/>
              </w:rPr>
              <w:t>。</w:t>
            </w:r>
          </w:p>
        </w:tc>
        <w:tc>
          <w:tcPr>
            <w:tcW w:w="2125" w:type="dxa"/>
            <w:vAlign w:val="center"/>
          </w:tcPr>
          <w:p>
            <w:pPr>
              <w:jc w:val="center"/>
              <w:rPr>
                <w:color w:val="000000"/>
                <w:szCs w:val="21"/>
                <w:lang w:eastAsia="zh-CN"/>
              </w:rPr>
            </w:pPr>
            <w:r>
              <w:rPr>
                <w:rFonts w:hint="eastAsia"/>
                <w:iCs/>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128" w:type="dxa"/>
            <w:vAlign w:val="center"/>
          </w:tcPr>
          <w:p>
            <w:pPr>
              <w:jc w:val="both"/>
              <w:rPr>
                <w:rFonts w:ascii="宋体" w:hAnsi="宋体"/>
                <w:color w:val="000000"/>
                <w:szCs w:val="21"/>
                <w:lang w:eastAsia="zh-CN"/>
              </w:rPr>
            </w:pPr>
            <w:r>
              <w:rPr>
                <w:rFonts w:hint="eastAsia" w:ascii="宋体" w:hAnsi="宋体"/>
                <w:color w:val="000000"/>
                <w:lang w:eastAsia="zh-CN"/>
              </w:rPr>
              <w:t>投标文件内必须包含关于本URS的详细技术响应列表。</w:t>
            </w:r>
          </w:p>
        </w:tc>
        <w:tc>
          <w:tcPr>
            <w:tcW w:w="2125" w:type="dxa"/>
            <w:vAlign w:val="center"/>
          </w:tcPr>
          <w:p>
            <w:pPr>
              <w:jc w:val="center"/>
              <w:rPr>
                <w:color w:val="000000"/>
                <w:szCs w:val="21"/>
                <w:lang w:eastAsia="zh-CN"/>
              </w:rPr>
            </w:pPr>
            <w:r>
              <w:rPr>
                <w:rFonts w:hint="eastAsia"/>
                <w:iCs/>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128" w:type="dxa"/>
            <w:vAlign w:val="center"/>
          </w:tcPr>
          <w:p>
            <w:pPr>
              <w:jc w:val="both"/>
              <w:rPr>
                <w:color w:val="000000"/>
                <w:szCs w:val="21"/>
                <w:lang w:eastAsia="zh-CN"/>
              </w:rPr>
            </w:pPr>
            <w:r>
              <w:rPr>
                <w:rFonts w:hint="eastAsia" w:ascii="宋体" w:hAnsi="宋体"/>
                <w:color w:val="000000"/>
                <w:szCs w:val="21"/>
                <w:lang w:eastAsia="zh-CN"/>
              </w:rPr>
              <w:t>卖方发运清单及相关检验报告</w:t>
            </w:r>
            <w:r>
              <w:rPr>
                <w:rFonts w:hint="eastAsia" w:ascii="宋体" w:hAnsi="宋体"/>
                <w:color w:val="000000"/>
                <w:lang w:eastAsia="zh-CN"/>
              </w:rPr>
              <w:t>。</w:t>
            </w:r>
          </w:p>
        </w:tc>
        <w:tc>
          <w:tcPr>
            <w:tcW w:w="2125" w:type="dxa"/>
            <w:vAlign w:val="center"/>
          </w:tcPr>
          <w:p>
            <w:pPr>
              <w:jc w:val="center"/>
              <w:rPr>
                <w:color w:val="000000"/>
                <w:szCs w:val="21"/>
                <w:lang w:eastAsia="zh-CN"/>
              </w:rPr>
            </w:pPr>
            <w:r>
              <w:rPr>
                <w:rFonts w:hint="eastAsia"/>
                <w:iCs/>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128" w:type="dxa"/>
            <w:vAlign w:val="center"/>
          </w:tcPr>
          <w:p>
            <w:pPr>
              <w:jc w:val="both"/>
              <w:rPr>
                <w:rFonts w:ascii="宋体" w:hAnsi="宋体" w:cs="宋体"/>
                <w:color w:val="000000"/>
                <w:szCs w:val="21"/>
                <w:lang w:eastAsia="zh-CN"/>
              </w:rPr>
            </w:pPr>
            <w:r>
              <w:rPr>
                <w:rFonts w:hint="eastAsia" w:ascii="宋体" w:hAnsi="宋体" w:cs="宋体"/>
                <w:color w:val="000000"/>
                <w:szCs w:val="21"/>
                <w:lang w:eastAsia="zh-CN"/>
              </w:rPr>
              <w:t>供应商需要提供符合</w:t>
            </w:r>
            <w:r>
              <w:rPr>
                <w:rFonts w:ascii="宋体" w:hAnsi="宋体" w:cs="宋体"/>
                <w:color w:val="000000"/>
                <w:szCs w:val="21"/>
                <w:lang w:eastAsia="zh-CN"/>
              </w:rPr>
              <w:t>GMP</w:t>
            </w:r>
            <w:r>
              <w:rPr>
                <w:rFonts w:hint="eastAsia" w:ascii="宋体" w:hAnsi="宋体" w:cs="宋体"/>
                <w:color w:val="000000"/>
                <w:szCs w:val="21"/>
                <w:lang w:eastAsia="zh-CN"/>
              </w:rPr>
              <w:t>要求的第三方校验报告</w:t>
            </w:r>
            <w:r>
              <w:rPr>
                <w:rFonts w:hint="eastAsia" w:ascii="宋体" w:hAnsi="宋体"/>
                <w:color w:val="000000"/>
                <w:lang w:eastAsia="zh-CN"/>
              </w:rPr>
              <w:t>。</w:t>
            </w:r>
          </w:p>
        </w:tc>
        <w:tc>
          <w:tcPr>
            <w:tcW w:w="2125" w:type="dxa"/>
            <w:vAlign w:val="center"/>
          </w:tcPr>
          <w:p>
            <w:pPr>
              <w:jc w:val="center"/>
              <w:rPr>
                <w:rFonts w:ascii="宋体" w:hAnsi="宋体" w:cs="宋体"/>
                <w:color w:val="000000"/>
                <w:szCs w:val="21"/>
                <w:lang w:eastAsia="zh-CN"/>
              </w:rPr>
            </w:pPr>
            <w:r>
              <w:rPr>
                <w:rFonts w:hint="eastAsia" w:ascii="宋体" w:hAnsi="宋体" w:cs="宋体"/>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128" w:type="dxa"/>
            <w:vAlign w:val="center"/>
          </w:tcPr>
          <w:p>
            <w:pPr>
              <w:jc w:val="both"/>
              <w:rPr>
                <w:rFonts w:ascii="宋体" w:hAnsi="宋体" w:cs="宋体"/>
                <w:color w:val="000000"/>
                <w:szCs w:val="21"/>
                <w:lang w:eastAsia="zh-CN"/>
              </w:rPr>
            </w:pPr>
            <w:r>
              <w:rPr>
                <w:rFonts w:hint="eastAsia" w:ascii="宋体" w:hAnsi="宋体" w:cs="宋体"/>
                <w:color w:val="000000"/>
                <w:szCs w:val="21"/>
                <w:lang w:eastAsia="zh-CN"/>
              </w:rPr>
              <w:t>系统软硬件设计说明、功能说明、配置清单及说明</w:t>
            </w:r>
            <w:r>
              <w:rPr>
                <w:rFonts w:hint="eastAsia" w:ascii="宋体" w:hAnsi="宋体"/>
                <w:color w:val="000000"/>
                <w:lang w:eastAsia="zh-CN"/>
              </w:rPr>
              <w:t>。</w:t>
            </w:r>
          </w:p>
        </w:tc>
        <w:tc>
          <w:tcPr>
            <w:tcW w:w="2125" w:type="dxa"/>
            <w:vAlign w:val="center"/>
          </w:tcPr>
          <w:p>
            <w:pPr>
              <w:jc w:val="center"/>
              <w:rPr>
                <w:rFonts w:ascii="宋体" w:hAnsi="宋体" w:cs="宋体"/>
                <w:color w:val="000000"/>
                <w:szCs w:val="21"/>
                <w:lang w:eastAsia="zh-CN"/>
              </w:rPr>
            </w:pPr>
            <w:r>
              <w:rPr>
                <w:rFonts w:hint="eastAsia" w:ascii="宋体" w:hAnsi="宋体" w:cs="宋体"/>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128" w:type="dxa"/>
            <w:vAlign w:val="center"/>
          </w:tcPr>
          <w:p>
            <w:pPr>
              <w:jc w:val="both"/>
              <w:rPr>
                <w:rFonts w:ascii="宋体" w:hAnsi="宋体" w:cs="宋体"/>
                <w:color w:val="000000"/>
                <w:szCs w:val="21"/>
                <w:lang w:eastAsia="zh-CN"/>
              </w:rPr>
            </w:pPr>
            <w:r>
              <w:rPr>
                <w:rFonts w:hint="eastAsia" w:ascii="宋体" w:hAnsi="宋体" w:cs="宋体"/>
                <w:color w:val="000000"/>
                <w:szCs w:val="21"/>
                <w:lang w:eastAsia="zh-CN"/>
              </w:rPr>
              <w:t>图纸：各种测试、调试、确认与验证所需P&amp;ID图、控制原理图、装配图、接线图、PLC电气控制图、各类安装图纸，并附电子版</w:t>
            </w:r>
          </w:p>
        </w:tc>
        <w:tc>
          <w:tcPr>
            <w:tcW w:w="2125" w:type="dxa"/>
            <w:vAlign w:val="center"/>
          </w:tcPr>
          <w:p>
            <w:pPr>
              <w:jc w:val="center"/>
              <w:rPr>
                <w:rFonts w:ascii="宋体" w:hAnsi="宋体" w:cs="宋体"/>
                <w:color w:val="000000"/>
                <w:szCs w:val="21"/>
                <w:lang w:eastAsia="zh-CN"/>
              </w:rPr>
            </w:pPr>
            <w:r>
              <w:rPr>
                <w:rFonts w:hint="eastAsia" w:ascii="宋体" w:hAnsi="宋体" w:cs="宋体"/>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128" w:type="dxa"/>
            <w:vAlign w:val="center"/>
          </w:tcPr>
          <w:p>
            <w:pPr>
              <w:jc w:val="both"/>
              <w:rPr>
                <w:rFonts w:ascii="宋体" w:hAnsi="宋体" w:cs="宋体"/>
                <w:color w:val="000000"/>
                <w:szCs w:val="21"/>
                <w:lang w:eastAsia="zh-CN"/>
              </w:rPr>
            </w:pPr>
            <w:r>
              <w:rPr>
                <w:rFonts w:hint="eastAsia" w:ascii="宋体" w:hAnsi="宋体" w:cs="宋体"/>
                <w:color w:val="000000"/>
                <w:szCs w:val="21"/>
                <w:lang w:eastAsia="zh-CN"/>
              </w:rPr>
              <w:t>清单：组件清单、材料清单、权限清单、报警清单、文件清单、图纸清单等相关清单文件</w:t>
            </w:r>
            <w:r>
              <w:rPr>
                <w:rFonts w:hint="eastAsia" w:ascii="宋体" w:hAnsi="宋体"/>
                <w:color w:val="000000"/>
                <w:szCs w:val="21"/>
                <w:lang w:eastAsia="zh-CN"/>
              </w:rPr>
              <w:t>。</w:t>
            </w:r>
          </w:p>
        </w:tc>
        <w:tc>
          <w:tcPr>
            <w:tcW w:w="2125" w:type="dxa"/>
            <w:vAlign w:val="center"/>
          </w:tcPr>
          <w:p>
            <w:pPr>
              <w:jc w:val="center"/>
              <w:rPr>
                <w:rFonts w:ascii="宋体" w:hAnsi="宋体" w:cs="宋体"/>
                <w:color w:val="000000"/>
                <w:szCs w:val="21"/>
                <w:lang w:eastAsia="zh-CN"/>
              </w:rPr>
            </w:pPr>
            <w:r>
              <w:rPr>
                <w:rFonts w:hint="eastAsia" w:ascii="宋体" w:hAnsi="宋体" w:cs="宋体"/>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128" w:type="dxa"/>
            <w:vAlign w:val="center"/>
          </w:tcPr>
          <w:p>
            <w:pPr>
              <w:jc w:val="both"/>
              <w:rPr>
                <w:rFonts w:ascii="宋体" w:hAnsi="宋体" w:cs="宋体"/>
                <w:color w:val="000000"/>
                <w:szCs w:val="21"/>
                <w:lang w:eastAsia="zh-CN"/>
              </w:rPr>
            </w:pPr>
            <w:r>
              <w:rPr>
                <w:rFonts w:hint="eastAsia" w:ascii="宋体" w:hAnsi="宋体" w:cs="宋体"/>
                <w:color w:val="000000"/>
                <w:szCs w:val="21"/>
                <w:lang w:eastAsia="zh-CN"/>
              </w:rPr>
              <w:t>配件清单、易损件清单、备件、消耗品清单：包括名称、编号、对应厂家名称、生产地、规格及必要说明</w:t>
            </w:r>
            <w:r>
              <w:rPr>
                <w:rFonts w:hint="eastAsia" w:ascii="宋体" w:hAnsi="宋体"/>
                <w:color w:val="000000"/>
                <w:szCs w:val="21"/>
                <w:lang w:eastAsia="zh-CN"/>
              </w:rPr>
              <w:t>。</w:t>
            </w:r>
          </w:p>
        </w:tc>
        <w:tc>
          <w:tcPr>
            <w:tcW w:w="2125" w:type="dxa"/>
            <w:vAlign w:val="center"/>
          </w:tcPr>
          <w:p>
            <w:pPr>
              <w:jc w:val="center"/>
              <w:rPr>
                <w:rFonts w:ascii="宋体" w:hAnsi="宋体"/>
                <w:color w:val="000000"/>
                <w:szCs w:val="21"/>
                <w:lang w:eastAsia="zh-CN"/>
              </w:rPr>
            </w:pPr>
            <w:r>
              <w:rPr>
                <w:rFonts w:hint="eastAsia" w:ascii="宋体" w:hAnsi="宋体"/>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128" w:type="dxa"/>
            <w:vAlign w:val="center"/>
          </w:tcPr>
          <w:p>
            <w:pPr>
              <w:jc w:val="both"/>
              <w:rPr>
                <w:rFonts w:ascii="宋体" w:hAnsi="宋体"/>
                <w:color w:val="000000"/>
                <w:szCs w:val="21"/>
                <w:lang w:eastAsia="zh-CN"/>
              </w:rPr>
            </w:pPr>
            <w:r>
              <w:rPr>
                <w:rFonts w:hint="eastAsia" w:ascii="宋体" w:hAnsi="宋体"/>
                <w:color w:val="000000"/>
                <w:szCs w:val="21"/>
                <w:lang w:eastAsia="zh-CN"/>
              </w:rPr>
              <w:t>设备厂家文件：出厂测试合格证、相关检测报告、各种标示、必要的材质</w:t>
            </w:r>
            <w:r>
              <w:rPr>
                <w:rFonts w:hint="eastAsia" w:ascii="宋体" w:hAnsi="宋体"/>
                <w:color w:val="000000"/>
                <w:szCs w:val="21"/>
                <w:lang w:val="en-US" w:eastAsia="zh-CN"/>
              </w:rPr>
              <w:t>说明</w:t>
            </w:r>
            <w:r>
              <w:rPr>
                <w:rFonts w:hint="eastAsia" w:ascii="宋体" w:hAnsi="宋体"/>
                <w:color w:val="000000"/>
                <w:szCs w:val="21"/>
                <w:lang w:eastAsia="zh-CN"/>
              </w:rPr>
              <w:t>。</w:t>
            </w:r>
          </w:p>
        </w:tc>
        <w:tc>
          <w:tcPr>
            <w:tcW w:w="2125" w:type="dxa"/>
            <w:vAlign w:val="center"/>
          </w:tcPr>
          <w:p>
            <w:pPr>
              <w:jc w:val="center"/>
              <w:rPr>
                <w:rFonts w:ascii="宋体" w:hAnsi="宋体"/>
                <w:color w:val="000000"/>
                <w:szCs w:val="21"/>
                <w:lang w:eastAsia="zh-CN"/>
              </w:rPr>
            </w:pPr>
            <w:r>
              <w:rPr>
                <w:rFonts w:hint="eastAsia" w:ascii="宋体" w:hAnsi="宋体"/>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128" w:type="dxa"/>
            <w:vAlign w:val="center"/>
          </w:tcPr>
          <w:p>
            <w:pPr>
              <w:jc w:val="both"/>
              <w:rPr>
                <w:rFonts w:ascii="宋体" w:hAnsi="宋体"/>
                <w:color w:val="000000"/>
                <w:szCs w:val="21"/>
                <w:lang w:eastAsia="zh-CN"/>
              </w:rPr>
            </w:pPr>
            <w:r>
              <w:rPr>
                <w:rFonts w:hint="eastAsia" w:ascii="宋体" w:hAnsi="宋体"/>
                <w:color w:val="000000"/>
                <w:szCs w:val="21"/>
                <w:lang w:eastAsia="zh-CN"/>
              </w:rPr>
              <w:t>工厂验收测试（</w:t>
            </w:r>
            <w:r>
              <w:rPr>
                <w:rFonts w:ascii="宋体" w:hAnsi="宋体"/>
                <w:color w:val="000000"/>
                <w:szCs w:val="21"/>
                <w:lang w:eastAsia="zh-CN"/>
              </w:rPr>
              <w:t>FAT</w:t>
            </w:r>
            <w:r>
              <w:rPr>
                <w:rFonts w:hint="eastAsia" w:ascii="宋体" w:hAnsi="宋体"/>
                <w:color w:val="000000"/>
                <w:szCs w:val="21"/>
                <w:lang w:eastAsia="zh-CN"/>
              </w:rPr>
              <w:t>）和现场验收测试（</w:t>
            </w:r>
            <w:r>
              <w:rPr>
                <w:rFonts w:ascii="宋体" w:hAnsi="宋体"/>
                <w:color w:val="000000"/>
                <w:szCs w:val="21"/>
                <w:lang w:eastAsia="zh-CN"/>
              </w:rPr>
              <w:t>SAT</w:t>
            </w:r>
            <w:r>
              <w:rPr>
                <w:rFonts w:hint="eastAsia" w:ascii="宋体" w:hAnsi="宋体"/>
                <w:color w:val="000000"/>
                <w:szCs w:val="21"/>
                <w:lang w:eastAsia="zh-CN"/>
              </w:rPr>
              <w:t>）报告</w:t>
            </w:r>
            <w:r>
              <w:rPr>
                <w:rFonts w:hint="eastAsia" w:ascii="宋体" w:hAnsi="宋体" w:cs="宋体"/>
                <w:color w:val="000000"/>
                <w:szCs w:val="21"/>
                <w:lang w:eastAsia="zh-CN"/>
              </w:rPr>
              <w:t>（要求有中文版）</w:t>
            </w:r>
            <w:r>
              <w:rPr>
                <w:rFonts w:hint="eastAsia" w:ascii="宋体" w:hAnsi="宋体"/>
                <w:color w:val="000000"/>
                <w:szCs w:val="21"/>
                <w:lang w:eastAsia="zh-CN"/>
              </w:rPr>
              <w:t>。</w:t>
            </w:r>
          </w:p>
        </w:tc>
        <w:tc>
          <w:tcPr>
            <w:tcW w:w="2125" w:type="dxa"/>
            <w:vAlign w:val="center"/>
          </w:tcPr>
          <w:p>
            <w:pPr>
              <w:jc w:val="center"/>
              <w:rPr>
                <w:rFonts w:ascii="宋体" w:hAnsi="宋体"/>
                <w:color w:val="000000"/>
                <w:szCs w:val="21"/>
                <w:lang w:eastAsia="zh-CN"/>
              </w:rPr>
            </w:pPr>
            <w:r>
              <w:rPr>
                <w:rFonts w:hint="eastAsia" w:ascii="宋体" w:hAnsi="宋体"/>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128" w:type="dxa"/>
            <w:vAlign w:val="center"/>
          </w:tcPr>
          <w:p>
            <w:pPr>
              <w:jc w:val="both"/>
              <w:rPr>
                <w:rFonts w:ascii="宋体" w:hAnsi="宋体"/>
                <w:color w:val="000000"/>
                <w:szCs w:val="21"/>
                <w:lang w:eastAsia="zh-CN"/>
              </w:rPr>
            </w:pPr>
            <w:r>
              <w:rPr>
                <w:rFonts w:hint="eastAsia" w:ascii="宋体" w:hAnsi="宋体"/>
                <w:color w:val="000000"/>
                <w:szCs w:val="21"/>
                <w:lang w:eastAsia="zh-CN"/>
              </w:rPr>
              <w:t>使用操作说明书及维护保养说明（即运行及维护手册）</w:t>
            </w:r>
            <w:r>
              <w:rPr>
                <w:rFonts w:hint="eastAsia" w:ascii="宋体" w:hAnsi="宋体" w:cs="宋体"/>
                <w:color w:val="000000"/>
                <w:szCs w:val="21"/>
                <w:lang w:eastAsia="zh-CN"/>
              </w:rPr>
              <w:t>（要求有中文版）</w:t>
            </w:r>
            <w:r>
              <w:rPr>
                <w:rFonts w:hint="eastAsia" w:ascii="宋体" w:hAnsi="宋体"/>
                <w:color w:val="000000"/>
                <w:szCs w:val="21"/>
                <w:lang w:eastAsia="zh-CN"/>
              </w:rPr>
              <w:t>。</w:t>
            </w:r>
          </w:p>
        </w:tc>
        <w:tc>
          <w:tcPr>
            <w:tcW w:w="2125" w:type="dxa"/>
            <w:vAlign w:val="center"/>
          </w:tcPr>
          <w:p>
            <w:pPr>
              <w:jc w:val="center"/>
              <w:rPr>
                <w:rFonts w:ascii="宋体" w:hAnsi="宋体"/>
                <w:color w:val="000000"/>
                <w:szCs w:val="21"/>
                <w:lang w:eastAsia="zh-CN"/>
              </w:rPr>
            </w:pPr>
            <w:r>
              <w:rPr>
                <w:rFonts w:hint="eastAsia" w:ascii="宋体" w:hAnsi="宋体"/>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128" w:type="dxa"/>
            <w:vAlign w:val="center"/>
          </w:tcPr>
          <w:p>
            <w:pPr>
              <w:jc w:val="both"/>
              <w:rPr>
                <w:rFonts w:ascii="宋体" w:hAnsi="宋体"/>
                <w:color w:val="000000"/>
                <w:szCs w:val="21"/>
                <w:lang w:eastAsia="zh-CN"/>
              </w:rPr>
            </w:pPr>
            <w:r>
              <w:rPr>
                <w:rFonts w:hint="eastAsia" w:ascii="宋体" w:hAnsi="宋体"/>
                <w:color w:val="000000"/>
                <w:szCs w:val="21"/>
                <w:lang w:eastAsia="zh-CN"/>
              </w:rPr>
              <w:t>提供设备及其零部件使用寿命清单及说明。</w:t>
            </w:r>
          </w:p>
        </w:tc>
        <w:tc>
          <w:tcPr>
            <w:tcW w:w="2125" w:type="dxa"/>
            <w:vAlign w:val="center"/>
          </w:tcPr>
          <w:p>
            <w:pPr>
              <w:jc w:val="center"/>
              <w:rPr>
                <w:rFonts w:ascii="宋体" w:hAnsi="宋体"/>
                <w:color w:val="000000"/>
                <w:szCs w:val="21"/>
                <w:lang w:eastAsia="zh-CN"/>
              </w:rPr>
            </w:pPr>
            <w:r>
              <w:rPr>
                <w:rFonts w:hint="eastAsia" w:ascii="宋体" w:hAnsi="宋体"/>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128" w:type="dxa"/>
            <w:vAlign w:val="center"/>
          </w:tcPr>
          <w:p>
            <w:pPr>
              <w:jc w:val="both"/>
              <w:rPr>
                <w:rFonts w:ascii="宋体" w:hAnsi="宋体"/>
                <w:color w:val="000000"/>
                <w:szCs w:val="21"/>
                <w:lang w:eastAsia="zh-CN"/>
              </w:rPr>
            </w:pPr>
            <w:r>
              <w:rPr>
                <w:rFonts w:hint="eastAsia" w:ascii="宋体" w:hAnsi="宋体"/>
                <w:color w:val="000000"/>
                <w:szCs w:val="21"/>
                <w:lang w:eastAsia="zh-CN"/>
              </w:rPr>
              <w:t>提供验证文件，包括：</w:t>
            </w:r>
          </w:p>
          <w:p>
            <w:pPr>
              <w:jc w:val="both"/>
              <w:rPr>
                <w:rFonts w:ascii="宋体" w:hAnsi="宋体"/>
                <w:color w:val="000000"/>
                <w:szCs w:val="21"/>
                <w:lang w:eastAsia="zh-CN"/>
              </w:rPr>
            </w:pPr>
            <w:r>
              <w:rPr>
                <w:rFonts w:hint="eastAsia" w:ascii="宋体" w:hAnsi="宋体"/>
                <w:color w:val="000000"/>
                <w:szCs w:val="21"/>
                <w:lang w:eastAsia="zh-CN"/>
              </w:rPr>
              <w:t>（</w:t>
            </w:r>
            <w:r>
              <w:rPr>
                <w:rFonts w:ascii="宋体" w:hAnsi="宋体"/>
                <w:color w:val="000000"/>
                <w:szCs w:val="21"/>
                <w:lang w:eastAsia="zh-CN"/>
              </w:rPr>
              <w:t>1</w:t>
            </w:r>
            <w:r>
              <w:rPr>
                <w:rFonts w:hint="eastAsia" w:ascii="宋体" w:hAnsi="宋体"/>
                <w:color w:val="000000"/>
                <w:szCs w:val="21"/>
                <w:lang w:eastAsia="zh-CN"/>
              </w:rPr>
              <w:t>）验证计划；</w:t>
            </w:r>
          </w:p>
          <w:p>
            <w:pPr>
              <w:jc w:val="both"/>
              <w:rPr>
                <w:rFonts w:ascii="宋体" w:hAnsi="宋体"/>
                <w:color w:val="000000"/>
                <w:szCs w:val="21"/>
                <w:lang w:eastAsia="zh-CN"/>
              </w:rPr>
            </w:pPr>
            <w:r>
              <w:rPr>
                <w:rFonts w:hint="eastAsia" w:ascii="宋体" w:hAnsi="宋体"/>
                <w:color w:val="000000"/>
                <w:szCs w:val="21"/>
                <w:lang w:eastAsia="zh-CN"/>
              </w:rPr>
              <w:t>（</w:t>
            </w:r>
            <w:r>
              <w:rPr>
                <w:rFonts w:ascii="宋体" w:hAnsi="宋体"/>
                <w:color w:val="000000"/>
                <w:szCs w:val="21"/>
                <w:lang w:eastAsia="zh-CN"/>
              </w:rPr>
              <w:t>2</w:t>
            </w:r>
            <w:r>
              <w:rPr>
                <w:rFonts w:hint="eastAsia" w:ascii="宋体" w:hAnsi="宋体"/>
                <w:color w:val="000000"/>
                <w:szCs w:val="21"/>
                <w:lang w:eastAsia="zh-CN"/>
              </w:rPr>
              <w:t>）满足</w:t>
            </w:r>
            <w:r>
              <w:rPr>
                <w:rFonts w:ascii="宋体" w:hAnsi="宋体"/>
                <w:color w:val="000000"/>
                <w:szCs w:val="21"/>
                <w:lang w:eastAsia="zh-CN"/>
              </w:rPr>
              <w:t>GAMP5</w:t>
            </w:r>
            <w:r>
              <w:rPr>
                <w:rFonts w:hint="eastAsia" w:ascii="宋体" w:hAnsi="宋体"/>
                <w:color w:val="000000"/>
                <w:szCs w:val="21"/>
                <w:lang w:eastAsia="zh-CN"/>
              </w:rPr>
              <w:t>等相关法规的评估文件</w:t>
            </w:r>
            <w:r>
              <w:rPr>
                <w:rFonts w:hint="eastAsia" w:ascii="宋体" w:hAnsi="宋体"/>
                <w:color w:val="000000"/>
                <w:szCs w:val="24"/>
                <w:lang w:eastAsia="zh-CN"/>
              </w:rPr>
              <w:t>（至少包括计算机化系统评估、风险评估等）</w:t>
            </w:r>
            <w:r>
              <w:rPr>
                <w:rFonts w:hint="eastAsia" w:ascii="宋体" w:hAnsi="宋体"/>
                <w:color w:val="000000"/>
                <w:szCs w:val="21"/>
                <w:lang w:eastAsia="zh-CN"/>
              </w:rPr>
              <w:t>；</w:t>
            </w:r>
          </w:p>
          <w:p>
            <w:pPr>
              <w:jc w:val="both"/>
              <w:rPr>
                <w:rFonts w:ascii="宋体" w:hAnsi="宋体"/>
                <w:color w:val="000000"/>
                <w:szCs w:val="21"/>
                <w:lang w:eastAsia="zh-CN"/>
              </w:rPr>
            </w:pPr>
            <w:r>
              <w:rPr>
                <w:rFonts w:hint="eastAsia" w:ascii="宋体" w:hAnsi="宋体"/>
                <w:color w:val="000000"/>
                <w:szCs w:val="21"/>
                <w:lang w:eastAsia="zh-CN"/>
              </w:rPr>
              <w:t>（</w:t>
            </w:r>
            <w:r>
              <w:rPr>
                <w:rFonts w:ascii="宋体" w:hAnsi="宋体"/>
                <w:color w:val="000000"/>
                <w:szCs w:val="21"/>
                <w:lang w:eastAsia="zh-CN"/>
              </w:rPr>
              <w:t>3</w:t>
            </w:r>
            <w:r>
              <w:rPr>
                <w:rFonts w:hint="eastAsia" w:ascii="宋体" w:hAnsi="宋体"/>
                <w:color w:val="000000"/>
                <w:szCs w:val="21"/>
                <w:lang w:eastAsia="zh-CN"/>
              </w:rPr>
              <w:t>）设计确认及文件（</w:t>
            </w:r>
            <w:r>
              <w:rPr>
                <w:rFonts w:ascii="宋体" w:hAnsi="宋体"/>
                <w:color w:val="000000"/>
                <w:szCs w:val="21"/>
                <w:lang w:eastAsia="zh-CN"/>
              </w:rPr>
              <w:t>DQ</w:t>
            </w:r>
            <w:r>
              <w:rPr>
                <w:rFonts w:hint="eastAsia" w:ascii="宋体" w:hAnsi="宋体"/>
                <w:color w:val="000000"/>
                <w:szCs w:val="21"/>
                <w:lang w:eastAsia="zh-CN"/>
              </w:rPr>
              <w:t>），设备供应商应在设备制造前提供DQ文件给用户审核；</w:t>
            </w:r>
          </w:p>
          <w:p>
            <w:pPr>
              <w:jc w:val="both"/>
              <w:rPr>
                <w:rFonts w:ascii="宋体" w:hAnsi="宋体"/>
                <w:color w:val="000000"/>
                <w:szCs w:val="21"/>
                <w:lang w:eastAsia="zh-CN"/>
              </w:rPr>
            </w:pPr>
            <w:r>
              <w:rPr>
                <w:rFonts w:hint="eastAsia" w:ascii="宋体" w:hAnsi="宋体"/>
                <w:color w:val="000000"/>
                <w:szCs w:val="21"/>
                <w:lang w:eastAsia="zh-CN"/>
              </w:rPr>
              <w:t>（</w:t>
            </w:r>
            <w:r>
              <w:rPr>
                <w:rFonts w:ascii="宋体" w:hAnsi="宋体"/>
                <w:color w:val="000000"/>
                <w:szCs w:val="21"/>
                <w:lang w:eastAsia="zh-CN"/>
              </w:rPr>
              <w:t>4</w:t>
            </w:r>
            <w:r>
              <w:rPr>
                <w:rFonts w:hint="eastAsia" w:ascii="宋体" w:hAnsi="宋体"/>
                <w:color w:val="000000"/>
                <w:szCs w:val="21"/>
                <w:lang w:eastAsia="zh-CN"/>
              </w:rPr>
              <w:t>）安装确认及文件（</w:t>
            </w:r>
            <w:r>
              <w:rPr>
                <w:rFonts w:ascii="宋体" w:hAnsi="宋体"/>
                <w:color w:val="000000"/>
                <w:szCs w:val="21"/>
                <w:lang w:eastAsia="zh-CN"/>
              </w:rPr>
              <w:t>IQ</w:t>
            </w:r>
            <w:r>
              <w:rPr>
                <w:rFonts w:hint="eastAsia" w:ascii="宋体" w:hAnsi="宋体"/>
                <w:color w:val="000000"/>
                <w:szCs w:val="21"/>
                <w:lang w:eastAsia="zh-CN"/>
              </w:rPr>
              <w:t>）；</w:t>
            </w:r>
          </w:p>
          <w:p>
            <w:pPr>
              <w:jc w:val="both"/>
              <w:rPr>
                <w:rFonts w:ascii="宋体" w:hAnsi="宋体"/>
                <w:color w:val="000000"/>
                <w:szCs w:val="21"/>
                <w:lang w:eastAsia="zh-CN"/>
              </w:rPr>
            </w:pPr>
            <w:r>
              <w:rPr>
                <w:rFonts w:hint="eastAsia" w:ascii="宋体" w:hAnsi="宋体"/>
                <w:color w:val="000000"/>
                <w:szCs w:val="21"/>
                <w:lang w:eastAsia="zh-CN"/>
              </w:rPr>
              <w:t>（</w:t>
            </w:r>
            <w:r>
              <w:rPr>
                <w:rFonts w:ascii="宋体" w:hAnsi="宋体"/>
                <w:color w:val="000000"/>
                <w:szCs w:val="21"/>
                <w:lang w:eastAsia="zh-CN"/>
              </w:rPr>
              <w:t>5</w:t>
            </w:r>
            <w:r>
              <w:rPr>
                <w:rFonts w:hint="eastAsia" w:ascii="宋体" w:hAnsi="宋体"/>
                <w:color w:val="000000"/>
                <w:szCs w:val="21"/>
                <w:lang w:eastAsia="zh-CN"/>
              </w:rPr>
              <w:t>）运行确认及文件（</w:t>
            </w:r>
            <w:r>
              <w:rPr>
                <w:rFonts w:ascii="宋体" w:hAnsi="宋体"/>
                <w:color w:val="000000"/>
                <w:szCs w:val="21"/>
                <w:lang w:eastAsia="zh-CN"/>
              </w:rPr>
              <w:t>OQ</w:t>
            </w:r>
            <w:r>
              <w:rPr>
                <w:rFonts w:hint="eastAsia" w:ascii="宋体" w:hAnsi="宋体"/>
                <w:color w:val="000000"/>
                <w:szCs w:val="21"/>
                <w:lang w:eastAsia="zh-CN"/>
              </w:rPr>
              <w:t>）；</w:t>
            </w:r>
          </w:p>
          <w:p>
            <w:pPr>
              <w:jc w:val="both"/>
              <w:rPr>
                <w:rFonts w:ascii="宋体" w:hAnsi="宋体"/>
                <w:color w:val="000000"/>
                <w:szCs w:val="21"/>
                <w:lang w:eastAsia="zh-CN"/>
              </w:rPr>
            </w:pPr>
            <w:r>
              <w:rPr>
                <w:rFonts w:hint="eastAsia" w:ascii="宋体" w:hAnsi="宋体"/>
                <w:color w:val="000000"/>
                <w:szCs w:val="21"/>
                <w:lang w:eastAsia="zh-CN"/>
              </w:rPr>
              <w:t>（6）设备生产商负责制定设备验证计划、评估文件、</w:t>
            </w:r>
            <w:r>
              <w:rPr>
                <w:rFonts w:ascii="宋体" w:hAnsi="宋体"/>
                <w:color w:val="000000"/>
                <w:szCs w:val="21"/>
                <w:lang w:eastAsia="zh-CN"/>
              </w:rPr>
              <w:t>DQ/IQ/OQ</w:t>
            </w:r>
            <w:r>
              <w:rPr>
                <w:rFonts w:hint="eastAsia" w:ascii="宋体" w:hAnsi="宋体"/>
                <w:color w:val="000000"/>
                <w:szCs w:val="21"/>
                <w:lang w:eastAsia="zh-CN"/>
              </w:rPr>
              <w:t>验证文件（</w:t>
            </w:r>
            <w:r>
              <w:rPr>
                <w:rFonts w:hint="eastAsia" w:ascii="宋体" w:hAnsi="宋体"/>
                <w:color w:val="000000"/>
                <w:szCs w:val="21"/>
                <w:lang w:val="en-US" w:eastAsia="zh-CN"/>
              </w:rPr>
              <w:t>提供中文版</w:t>
            </w:r>
            <w:r>
              <w:rPr>
                <w:rFonts w:hint="eastAsia" w:ascii="宋体" w:hAnsi="宋体"/>
                <w:color w:val="000000"/>
                <w:szCs w:val="21"/>
                <w:lang w:eastAsia="zh-CN"/>
              </w:rPr>
              <w:t>）、并负责验证工作的实施，该验证文件作为设备必备文件。</w:t>
            </w:r>
          </w:p>
        </w:tc>
        <w:tc>
          <w:tcPr>
            <w:tcW w:w="2125" w:type="dxa"/>
            <w:vAlign w:val="center"/>
          </w:tcPr>
          <w:p>
            <w:pPr>
              <w:jc w:val="center"/>
              <w:rPr>
                <w:rFonts w:ascii="宋体" w:hAnsi="宋体"/>
                <w:color w:val="000000"/>
                <w:szCs w:val="21"/>
                <w:lang w:eastAsia="zh-CN"/>
              </w:rPr>
            </w:pPr>
            <w:r>
              <w:rPr>
                <w:rFonts w:hint="eastAsia" w:ascii="宋体" w:hAnsi="宋体"/>
                <w:color w:val="000000"/>
                <w:szCs w:val="21"/>
                <w:lang w:eastAsia="zh-CN"/>
              </w:rPr>
              <w:t xml:space="preserve"> 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128" w:type="dxa"/>
            <w:vAlign w:val="center"/>
          </w:tcPr>
          <w:p>
            <w:pPr>
              <w:jc w:val="both"/>
              <w:rPr>
                <w:rFonts w:ascii="宋体" w:hAnsi="宋体"/>
                <w:color w:val="000000"/>
                <w:szCs w:val="21"/>
                <w:lang w:eastAsia="zh-CN"/>
              </w:rPr>
            </w:pPr>
            <w:r>
              <w:rPr>
                <w:rFonts w:hint="eastAsia" w:ascii="宋体" w:hAnsi="宋体"/>
                <w:color w:val="000000"/>
                <w:szCs w:val="21"/>
                <w:lang w:eastAsia="zh-CN"/>
              </w:rPr>
              <w:t>提供追溯矩阵（</w:t>
            </w:r>
            <w:r>
              <w:rPr>
                <w:rFonts w:ascii="宋体" w:hAnsi="宋体"/>
                <w:color w:val="000000"/>
                <w:szCs w:val="21"/>
                <w:lang w:eastAsia="zh-CN"/>
              </w:rPr>
              <w:t>RTM</w:t>
            </w:r>
            <w:r>
              <w:rPr>
                <w:rFonts w:hint="eastAsia" w:ascii="宋体" w:hAnsi="宋体"/>
                <w:color w:val="000000"/>
                <w:szCs w:val="21"/>
                <w:lang w:eastAsia="zh-CN"/>
              </w:rPr>
              <w:t>）验证总结报告（</w:t>
            </w:r>
            <w:r>
              <w:rPr>
                <w:rFonts w:ascii="宋体" w:hAnsi="宋体"/>
                <w:color w:val="000000"/>
                <w:szCs w:val="21"/>
                <w:lang w:eastAsia="zh-CN"/>
              </w:rPr>
              <w:t>VSR</w:t>
            </w:r>
            <w:r>
              <w:rPr>
                <w:rFonts w:hint="eastAsia" w:ascii="宋体" w:hAnsi="宋体"/>
                <w:color w:val="000000"/>
                <w:szCs w:val="21"/>
                <w:lang w:eastAsia="zh-CN"/>
              </w:rPr>
              <w:t>）</w:t>
            </w:r>
          </w:p>
        </w:tc>
        <w:tc>
          <w:tcPr>
            <w:tcW w:w="2125" w:type="dxa"/>
            <w:vAlign w:val="center"/>
          </w:tcPr>
          <w:p>
            <w:pPr>
              <w:jc w:val="center"/>
              <w:rPr>
                <w:iCs/>
                <w:color w:val="000000"/>
                <w:szCs w:val="21"/>
                <w:lang w:eastAsia="zh-CN"/>
              </w:rPr>
            </w:pPr>
            <w:r>
              <w:rPr>
                <w:rFonts w:hint="eastAsia"/>
                <w:iCs/>
                <w:color w:val="000000"/>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128" w:type="dxa"/>
            <w:vAlign w:val="center"/>
          </w:tcPr>
          <w:p>
            <w:pPr>
              <w:jc w:val="both"/>
              <w:rPr>
                <w:rFonts w:ascii="宋体" w:hAnsi="宋体"/>
                <w:color w:val="000000"/>
                <w:szCs w:val="21"/>
                <w:lang w:eastAsia="zh-CN"/>
              </w:rPr>
            </w:pPr>
            <w:r>
              <w:rPr>
                <w:rFonts w:hint="eastAsia" w:ascii="宋体" w:hAnsi="宋体"/>
                <w:color w:val="000000"/>
                <w:szCs w:val="21"/>
                <w:lang w:eastAsia="zh-CN"/>
              </w:rPr>
              <w:t>工程交付文件：满足GEP要求，上述条款规定的文件需提供电子版，并在设备开箱验收时将最终批准的电子版全套资料交工程技术部存档。</w:t>
            </w:r>
          </w:p>
        </w:tc>
        <w:tc>
          <w:tcPr>
            <w:tcW w:w="2125" w:type="dxa"/>
            <w:vAlign w:val="center"/>
          </w:tcPr>
          <w:p>
            <w:pPr>
              <w:jc w:val="center"/>
              <w:rPr>
                <w:rFonts w:ascii="宋体" w:hAnsi="宋体"/>
                <w:color w:val="000000"/>
                <w:szCs w:val="21"/>
                <w:lang w:eastAsia="zh-CN"/>
              </w:rPr>
            </w:pPr>
            <w:r>
              <w:rPr>
                <w:rFonts w:hint="eastAsia" w:ascii="宋体" w:hAnsi="宋体"/>
                <w:color w:val="000000"/>
                <w:szCs w:val="21"/>
                <w:lang w:eastAsia="zh-CN"/>
              </w:rPr>
              <w:t>关键</w:t>
            </w:r>
          </w:p>
        </w:tc>
      </w:tr>
    </w:tbl>
    <w:p>
      <w:pPr>
        <w:rPr>
          <w:color w:val="000000"/>
          <w:szCs w:val="21"/>
          <w:lang w:eastAsia="zh-CN"/>
        </w:rPr>
      </w:pPr>
    </w:p>
    <w:p>
      <w:pPr>
        <w:pStyle w:val="31"/>
        <w:numPr>
          <w:ilvl w:val="0"/>
          <w:numId w:val="3"/>
        </w:numPr>
        <w:spacing w:after="158" w:afterLines="50"/>
        <w:ind w:left="426" w:hanging="426" w:hangingChars="202"/>
        <w:outlineLvl w:val="0"/>
        <w:rPr>
          <w:rFonts w:ascii="Times New Roman" w:hAnsi="Times New Roman"/>
          <w:b/>
          <w:color w:val="000000"/>
        </w:rPr>
      </w:pPr>
      <w:bookmarkStart w:id="47" w:name="_Toc522716125"/>
      <w:r>
        <w:rPr>
          <w:rFonts w:ascii="Times New Roman" w:hAnsi="Times New Roman"/>
          <w:b/>
          <w:color w:val="000000"/>
          <w:szCs w:val="21"/>
        </w:rPr>
        <w:t>服务要求</w:t>
      </w:r>
      <w:bookmarkEnd w:id="47"/>
    </w:p>
    <w:p>
      <w:pPr>
        <w:pStyle w:val="35"/>
        <w:spacing w:before="0" w:line="360" w:lineRule="auto"/>
        <w:ind w:left="357"/>
        <w:jc w:val="left"/>
        <w:rPr>
          <w:i/>
          <w:color w:val="000000"/>
          <w:szCs w:val="21"/>
          <w:lang w:eastAsia="zh-CN"/>
        </w:rPr>
      </w:pPr>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color w:val="000000"/>
                <w:szCs w:val="21"/>
              </w:rPr>
            </w:pPr>
            <w:r>
              <w:rPr>
                <w:b/>
                <w:color w:val="000000"/>
                <w:szCs w:val="21"/>
              </w:rPr>
              <w:t>编号</w:t>
            </w:r>
          </w:p>
        </w:tc>
        <w:tc>
          <w:tcPr>
            <w:tcW w:w="7128" w:type="dxa"/>
            <w:shd w:val="clear" w:color="auto" w:fill="D9D9D9"/>
            <w:vAlign w:val="center"/>
          </w:tcPr>
          <w:p>
            <w:pPr>
              <w:jc w:val="center"/>
              <w:rPr>
                <w:b/>
                <w:color w:val="000000"/>
                <w:szCs w:val="21"/>
                <w:lang w:eastAsia="zh-CN"/>
              </w:rPr>
            </w:pPr>
            <w:r>
              <w:rPr>
                <w:b/>
                <w:color w:val="000000"/>
                <w:szCs w:val="21"/>
                <w:lang w:eastAsia="zh-CN"/>
              </w:rPr>
              <w:t>需求</w:t>
            </w:r>
          </w:p>
        </w:tc>
        <w:tc>
          <w:tcPr>
            <w:tcW w:w="2125" w:type="dxa"/>
            <w:shd w:val="clear" w:color="auto" w:fill="D9D9D9"/>
            <w:vAlign w:val="center"/>
          </w:tcPr>
          <w:p>
            <w:pPr>
              <w:jc w:val="center"/>
              <w:rPr>
                <w:b/>
                <w:color w:val="000000"/>
                <w:szCs w:val="21"/>
                <w:lang w:eastAsia="zh-CN"/>
              </w:rPr>
            </w:pPr>
            <w:r>
              <w:rPr>
                <w:b/>
                <w:color w:val="000000"/>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1"/>
              <w:numPr>
                <w:ilvl w:val="0"/>
                <w:numId w:val="12"/>
              </w:numPr>
              <w:ind w:firstLineChars="0"/>
              <w:rPr>
                <w:rFonts w:ascii="Times New Roman" w:hAnsi="Times New Roman"/>
                <w:color w:val="000000"/>
                <w:szCs w:val="21"/>
              </w:rPr>
            </w:pPr>
          </w:p>
        </w:tc>
        <w:tc>
          <w:tcPr>
            <w:tcW w:w="9253" w:type="dxa"/>
            <w:gridSpan w:val="2"/>
            <w:shd w:val="clear" w:color="auto" w:fill="D9D9D9"/>
            <w:vAlign w:val="center"/>
          </w:tcPr>
          <w:p>
            <w:pPr>
              <w:jc w:val="both"/>
              <w:rPr>
                <w:color w:val="000000"/>
                <w:szCs w:val="21"/>
                <w:lang w:eastAsia="zh-CN"/>
              </w:rPr>
            </w:pPr>
            <w:r>
              <w:rPr>
                <w:color w:val="000000"/>
                <w:szCs w:val="21"/>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128" w:type="dxa"/>
            <w:vAlign w:val="center"/>
          </w:tcPr>
          <w:p>
            <w:pPr>
              <w:jc w:val="both"/>
              <w:rPr>
                <w:rFonts w:ascii="宋体" w:hAnsi="宋体"/>
                <w:color w:val="000000"/>
                <w:szCs w:val="21"/>
                <w:lang w:eastAsia="zh-CN"/>
              </w:rPr>
            </w:pPr>
            <w:r>
              <w:rPr>
                <w:rFonts w:ascii="宋体" w:hAnsi="宋体"/>
                <w:color w:val="000000"/>
                <w:szCs w:val="21"/>
                <w:lang w:eastAsia="zh-CN"/>
              </w:rPr>
              <w:t>设备供应商应免费对设备使用方人员进行全面培训，包括对生产操作人员及设备维护、维修人员，并填写培训记录。</w:t>
            </w:r>
          </w:p>
        </w:tc>
        <w:tc>
          <w:tcPr>
            <w:tcW w:w="2125" w:type="dxa"/>
            <w:vAlign w:val="center"/>
          </w:tcPr>
          <w:p>
            <w:pPr>
              <w:jc w:val="center"/>
              <w:rPr>
                <w:rFonts w:ascii="宋体" w:hAnsi="宋体"/>
                <w:color w:val="000000"/>
                <w:szCs w:val="21"/>
                <w:lang w:eastAsia="zh-CN"/>
              </w:rPr>
            </w:pPr>
            <w:r>
              <w:rPr>
                <w:rFonts w:hint="eastAsia" w:ascii="宋体" w:hAnsi="宋体"/>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128" w:type="dxa"/>
            <w:vAlign w:val="center"/>
          </w:tcPr>
          <w:p>
            <w:pPr>
              <w:spacing w:line="276" w:lineRule="auto"/>
              <w:jc w:val="both"/>
              <w:rPr>
                <w:color w:val="000000"/>
                <w:szCs w:val="21"/>
                <w:lang w:eastAsia="zh-CN"/>
              </w:rPr>
            </w:pPr>
            <w:r>
              <w:rPr>
                <w:color w:val="000000"/>
                <w:lang w:eastAsia="zh-CN"/>
              </w:rPr>
              <w:t>生产操作人员培训包括设备结构原理、性能、操作、清洗消毒、故障排除等基本知识。合格标准为用户参加培训人员能够独立正确操作设备，会排除常见故障。</w:t>
            </w:r>
          </w:p>
        </w:tc>
        <w:tc>
          <w:tcPr>
            <w:tcW w:w="2125" w:type="dxa"/>
            <w:vAlign w:val="center"/>
          </w:tcPr>
          <w:p>
            <w:pPr>
              <w:jc w:val="center"/>
              <w:rPr>
                <w:color w:val="000000"/>
                <w:szCs w:val="21"/>
                <w:lang w:eastAsia="zh-CN"/>
              </w:rPr>
            </w:pPr>
            <w:r>
              <w:rPr>
                <w:rFonts w:hint="eastAsia"/>
                <w:iCs/>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128" w:type="dxa"/>
            <w:vAlign w:val="center"/>
          </w:tcPr>
          <w:p>
            <w:pPr>
              <w:jc w:val="both"/>
              <w:rPr>
                <w:color w:val="000000"/>
                <w:lang w:eastAsia="zh-CN"/>
              </w:rPr>
            </w:pPr>
            <w:r>
              <w:rPr>
                <w:rFonts w:ascii="宋体" w:hAnsi="宋体"/>
                <w:color w:val="000000"/>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jc w:val="center"/>
              <w:rPr>
                <w:color w:val="000000"/>
                <w:szCs w:val="21"/>
                <w:lang w:eastAsia="zh-CN"/>
              </w:rPr>
            </w:pPr>
            <w:r>
              <w:rPr>
                <w:rFonts w:hint="eastAsia"/>
                <w:iCs/>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2"/>
              </w:numPr>
              <w:ind w:firstLineChars="0"/>
              <w:rPr>
                <w:rFonts w:ascii="Times New Roman" w:hAnsi="Times New Roman"/>
                <w:color w:val="000000"/>
                <w:szCs w:val="21"/>
              </w:rPr>
            </w:pPr>
          </w:p>
        </w:tc>
        <w:tc>
          <w:tcPr>
            <w:tcW w:w="9253" w:type="dxa"/>
            <w:gridSpan w:val="2"/>
            <w:shd w:val="clear" w:color="auto" w:fill="D9D9D9"/>
            <w:vAlign w:val="center"/>
          </w:tcPr>
          <w:p>
            <w:pPr>
              <w:jc w:val="both"/>
              <w:rPr>
                <w:color w:val="000000"/>
                <w:szCs w:val="21"/>
                <w:lang w:eastAsia="zh-CN"/>
              </w:rPr>
            </w:pPr>
            <w:r>
              <w:rPr>
                <w:color w:val="000000"/>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128" w:type="dxa"/>
            <w:vAlign w:val="center"/>
          </w:tcPr>
          <w:p>
            <w:pPr>
              <w:spacing w:line="276" w:lineRule="auto"/>
              <w:jc w:val="both"/>
              <w:rPr>
                <w:color w:val="000000"/>
                <w:lang w:eastAsia="zh-CN"/>
              </w:rPr>
            </w:pPr>
            <w:r>
              <w:rPr>
                <w:color w:val="000000"/>
                <w:lang w:eastAsia="zh-CN"/>
              </w:rPr>
              <w:t>设备运输在运输途中需做好防护措施，不得有任何损伤。</w:t>
            </w:r>
          </w:p>
        </w:tc>
        <w:tc>
          <w:tcPr>
            <w:tcW w:w="2125" w:type="dxa"/>
            <w:vAlign w:val="center"/>
          </w:tcPr>
          <w:p>
            <w:pPr>
              <w:jc w:val="center"/>
              <w:rPr>
                <w:color w:val="000000"/>
                <w:lang w:eastAsia="zh-CN"/>
              </w:rPr>
            </w:pPr>
            <w:r>
              <w:rPr>
                <w:rFonts w:hint="eastAsia"/>
                <w:color w:val="000000"/>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128" w:type="dxa"/>
            <w:vAlign w:val="center"/>
          </w:tcPr>
          <w:p>
            <w:pPr>
              <w:spacing w:line="276" w:lineRule="auto"/>
              <w:jc w:val="both"/>
              <w:rPr>
                <w:color w:val="000000"/>
                <w:lang w:eastAsia="zh-CN"/>
              </w:rPr>
            </w:pPr>
            <w:r>
              <w:rPr>
                <w:rFonts w:hint="eastAsia"/>
                <w:color w:val="000000"/>
                <w:lang w:eastAsia="zh-CN"/>
              </w:rPr>
              <w:t>设备供应商收到中标通知书后45天内设备到货。</w:t>
            </w:r>
          </w:p>
        </w:tc>
        <w:tc>
          <w:tcPr>
            <w:tcW w:w="2125" w:type="dxa"/>
            <w:vAlign w:val="center"/>
          </w:tcPr>
          <w:p>
            <w:pPr>
              <w:jc w:val="center"/>
              <w:rPr>
                <w:color w:val="000000"/>
                <w:lang w:eastAsia="zh-CN"/>
              </w:rPr>
            </w:pPr>
            <w:r>
              <w:rPr>
                <w:rFonts w:hint="eastAsia"/>
                <w:color w:val="000000"/>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128" w:type="dxa"/>
            <w:vAlign w:val="center"/>
          </w:tcPr>
          <w:p>
            <w:pPr>
              <w:spacing w:line="276" w:lineRule="auto"/>
              <w:jc w:val="both"/>
              <w:rPr>
                <w:color w:val="000000"/>
                <w:lang w:eastAsia="zh-CN"/>
              </w:rPr>
            </w:pPr>
            <w:r>
              <w:rPr>
                <w:rFonts w:hint="eastAsia"/>
                <w:color w:val="000000"/>
                <w:lang w:eastAsia="zh-CN"/>
              </w:rPr>
              <w:t>设备吊装费用由乙方支付</w:t>
            </w:r>
            <w:r>
              <w:rPr>
                <w:color w:val="000000"/>
                <w:lang w:eastAsia="zh-CN"/>
              </w:rPr>
              <w:t>。</w:t>
            </w:r>
          </w:p>
        </w:tc>
        <w:tc>
          <w:tcPr>
            <w:tcW w:w="2125" w:type="dxa"/>
            <w:vAlign w:val="center"/>
          </w:tcPr>
          <w:p>
            <w:pPr>
              <w:jc w:val="center"/>
              <w:rPr>
                <w:color w:val="000000"/>
                <w:lang w:eastAsia="zh-CN"/>
              </w:rPr>
            </w:pPr>
            <w:r>
              <w:rPr>
                <w:rFonts w:hint="eastAsia"/>
                <w:color w:val="000000"/>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2"/>
              </w:numPr>
              <w:ind w:firstLineChars="0"/>
              <w:rPr>
                <w:rFonts w:ascii="Times New Roman" w:hAnsi="Times New Roman"/>
                <w:color w:val="000000"/>
                <w:szCs w:val="21"/>
              </w:rPr>
            </w:pPr>
          </w:p>
        </w:tc>
        <w:tc>
          <w:tcPr>
            <w:tcW w:w="9253" w:type="dxa"/>
            <w:gridSpan w:val="2"/>
            <w:shd w:val="clear" w:color="auto" w:fill="D9D9D9"/>
            <w:vAlign w:val="center"/>
          </w:tcPr>
          <w:p>
            <w:pPr>
              <w:jc w:val="both"/>
              <w:rPr>
                <w:color w:val="000000"/>
                <w:szCs w:val="21"/>
                <w:lang w:eastAsia="zh-CN"/>
              </w:rPr>
            </w:pPr>
            <w:r>
              <w:rPr>
                <w:color w:val="000000"/>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128" w:type="dxa"/>
            <w:vAlign w:val="center"/>
          </w:tcPr>
          <w:p>
            <w:pPr>
              <w:spacing w:line="276" w:lineRule="auto"/>
              <w:jc w:val="both"/>
              <w:rPr>
                <w:i/>
                <w:color w:val="000000"/>
                <w:szCs w:val="21"/>
                <w:lang w:eastAsia="zh-CN"/>
              </w:rPr>
            </w:pPr>
            <w:r>
              <w:rPr>
                <w:rFonts w:hint="eastAsia" w:ascii="宋体" w:hAnsi="宋体"/>
                <w:color w:val="000000"/>
                <w:szCs w:val="21"/>
                <w:lang w:val="en-US" w:eastAsia="zh-CN"/>
              </w:rPr>
              <w:t>供应商需要完成以下验证项目，并提供中文版验证文件，包括满足</w:t>
            </w:r>
            <w:r>
              <w:rPr>
                <w:rFonts w:ascii="宋体" w:hAnsi="宋体"/>
                <w:color w:val="000000"/>
                <w:szCs w:val="21"/>
                <w:lang w:val="en-US" w:eastAsia="zh-CN"/>
              </w:rPr>
              <w:t>GAMP5</w:t>
            </w:r>
            <w:r>
              <w:rPr>
                <w:rFonts w:hint="eastAsia" w:ascii="宋体" w:hAnsi="宋体"/>
                <w:color w:val="000000"/>
                <w:szCs w:val="21"/>
                <w:lang w:val="en-US" w:eastAsia="zh-CN"/>
              </w:rPr>
              <w:t>要求的计算机化系统评估文件；设计确认（</w:t>
            </w:r>
            <w:r>
              <w:rPr>
                <w:rFonts w:ascii="宋体" w:hAnsi="宋体"/>
                <w:color w:val="000000"/>
                <w:szCs w:val="21"/>
                <w:lang w:val="en-US" w:eastAsia="zh-CN"/>
              </w:rPr>
              <w:t>DQ</w:t>
            </w:r>
            <w:r>
              <w:rPr>
                <w:rFonts w:hint="eastAsia" w:ascii="宋体" w:hAnsi="宋体"/>
                <w:color w:val="000000"/>
                <w:szCs w:val="21"/>
                <w:lang w:val="en-US" w:eastAsia="zh-CN"/>
              </w:rPr>
              <w:t>）；工厂验收测试（</w:t>
            </w:r>
            <w:r>
              <w:rPr>
                <w:rFonts w:ascii="宋体" w:hAnsi="宋体"/>
                <w:color w:val="000000"/>
                <w:szCs w:val="21"/>
                <w:lang w:val="en-US" w:eastAsia="zh-CN"/>
              </w:rPr>
              <w:t>FAT</w:t>
            </w:r>
            <w:r>
              <w:rPr>
                <w:rFonts w:hint="eastAsia" w:ascii="宋体" w:hAnsi="宋体"/>
                <w:color w:val="000000"/>
                <w:szCs w:val="21"/>
                <w:lang w:val="en-US" w:eastAsia="zh-CN"/>
              </w:rPr>
              <w:t>）；现场验收测试（</w:t>
            </w:r>
            <w:r>
              <w:rPr>
                <w:rFonts w:ascii="宋体" w:hAnsi="宋体"/>
                <w:color w:val="000000"/>
                <w:szCs w:val="21"/>
                <w:lang w:val="en-US" w:eastAsia="zh-CN"/>
              </w:rPr>
              <w:t>SAT</w:t>
            </w:r>
            <w:r>
              <w:rPr>
                <w:rFonts w:hint="eastAsia" w:ascii="宋体" w:hAnsi="宋体"/>
                <w:color w:val="000000"/>
                <w:szCs w:val="21"/>
                <w:lang w:val="en-US" w:eastAsia="zh-CN"/>
              </w:rPr>
              <w:t>）；安装确认（</w:t>
            </w:r>
            <w:r>
              <w:rPr>
                <w:rFonts w:ascii="宋体" w:hAnsi="宋体"/>
                <w:color w:val="000000"/>
                <w:szCs w:val="21"/>
                <w:lang w:val="en-US" w:eastAsia="zh-CN"/>
              </w:rPr>
              <w:t>IQ</w:t>
            </w:r>
            <w:r>
              <w:rPr>
                <w:rFonts w:hint="eastAsia" w:ascii="宋体" w:hAnsi="宋体"/>
                <w:color w:val="000000"/>
                <w:szCs w:val="21"/>
                <w:lang w:val="en-US" w:eastAsia="zh-CN"/>
              </w:rPr>
              <w:t>）；运行确认（</w:t>
            </w:r>
            <w:r>
              <w:rPr>
                <w:rFonts w:ascii="宋体" w:hAnsi="宋体"/>
                <w:color w:val="000000"/>
                <w:szCs w:val="21"/>
                <w:lang w:val="en-US" w:eastAsia="zh-CN"/>
              </w:rPr>
              <w:t>OQ</w:t>
            </w:r>
            <w:r>
              <w:rPr>
                <w:rFonts w:hint="eastAsia" w:ascii="宋体" w:hAnsi="宋体"/>
                <w:color w:val="000000"/>
                <w:szCs w:val="21"/>
                <w:lang w:val="en-US" w:eastAsia="zh-CN"/>
              </w:rPr>
              <w:t>）；等全套计算机化系统验证。</w:t>
            </w:r>
          </w:p>
        </w:tc>
        <w:tc>
          <w:tcPr>
            <w:tcW w:w="2125" w:type="dxa"/>
            <w:vAlign w:val="center"/>
          </w:tcPr>
          <w:p>
            <w:pPr>
              <w:jc w:val="center"/>
              <w:rPr>
                <w:color w:val="000000"/>
                <w:szCs w:val="21"/>
                <w:lang w:eastAsia="zh-CN"/>
              </w:rPr>
            </w:pPr>
            <w:r>
              <w:rPr>
                <w:rFonts w:hint="eastAsia"/>
                <w:iCs/>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128" w:type="dxa"/>
            <w:vAlign w:val="center"/>
          </w:tcPr>
          <w:p>
            <w:pPr>
              <w:spacing w:line="276" w:lineRule="auto"/>
              <w:jc w:val="both"/>
              <w:rPr>
                <w:rFonts w:ascii="宋体" w:hAnsi="宋体"/>
                <w:color w:val="000000"/>
                <w:szCs w:val="21"/>
                <w:lang w:val="en-US" w:eastAsia="zh-CN"/>
              </w:rPr>
            </w:pPr>
            <w:r>
              <w:rPr>
                <w:rFonts w:hint="eastAsia" w:ascii="宋体" w:hAnsi="宋体"/>
                <w:color w:val="000000"/>
                <w:szCs w:val="21"/>
                <w:lang w:val="en-US" w:eastAsia="zh-CN"/>
              </w:rPr>
              <w:t>追溯矩阵</w:t>
            </w:r>
            <w:r>
              <w:rPr>
                <w:rFonts w:hint="eastAsia" w:ascii="宋体" w:hAnsi="宋体"/>
                <w:color w:val="000000"/>
                <w:szCs w:val="21"/>
                <w:lang w:eastAsia="zh-CN"/>
              </w:rPr>
              <w:t>（</w:t>
            </w:r>
            <w:r>
              <w:rPr>
                <w:rFonts w:ascii="宋体" w:hAnsi="宋体"/>
                <w:color w:val="000000"/>
                <w:szCs w:val="21"/>
                <w:lang w:eastAsia="zh-CN"/>
              </w:rPr>
              <w:t>RTM</w:t>
            </w:r>
            <w:r>
              <w:rPr>
                <w:rFonts w:hint="eastAsia" w:ascii="宋体" w:hAnsi="宋体"/>
                <w:color w:val="000000"/>
                <w:szCs w:val="21"/>
                <w:lang w:eastAsia="zh-CN"/>
              </w:rPr>
              <w:t>）</w:t>
            </w:r>
            <w:r>
              <w:rPr>
                <w:rFonts w:hint="eastAsia" w:ascii="宋体" w:hAnsi="宋体"/>
                <w:color w:val="000000"/>
                <w:szCs w:val="21"/>
                <w:lang w:val="en-US" w:eastAsia="zh-CN"/>
              </w:rPr>
              <w:t>；验证总结报告（VSR）</w:t>
            </w:r>
          </w:p>
        </w:tc>
        <w:tc>
          <w:tcPr>
            <w:tcW w:w="2125" w:type="dxa"/>
            <w:vAlign w:val="center"/>
          </w:tcPr>
          <w:p>
            <w:pPr>
              <w:jc w:val="center"/>
              <w:rPr>
                <w:iCs/>
                <w:color w:val="000000"/>
                <w:szCs w:val="21"/>
                <w:lang w:eastAsia="zh-CN"/>
              </w:rPr>
            </w:pPr>
            <w:r>
              <w:rPr>
                <w:rFonts w:hint="eastAsia"/>
                <w:iCs/>
                <w:color w:val="000000"/>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128" w:type="dxa"/>
            <w:vAlign w:val="center"/>
          </w:tcPr>
          <w:p>
            <w:pPr>
              <w:spacing w:line="276" w:lineRule="auto"/>
              <w:jc w:val="both"/>
              <w:rPr>
                <w:rFonts w:ascii="宋体" w:hAnsi="宋体"/>
                <w:color w:val="000000"/>
                <w:szCs w:val="21"/>
                <w:lang w:val="en-US" w:eastAsia="zh-CN"/>
              </w:rPr>
            </w:pPr>
            <w:r>
              <w:rPr>
                <w:rFonts w:hint="eastAsia" w:ascii="宋体" w:hAnsi="宋体"/>
                <w:color w:val="000000"/>
                <w:szCs w:val="21"/>
                <w:lang w:val="en-US" w:eastAsia="zh-CN"/>
              </w:rPr>
              <w:t>供应商必须派出具备该类系统验证经验，且熟悉验证相关文件编写及验证工作实施的验证工程师开展验证工作，供应商协助完成</w:t>
            </w:r>
            <w:r>
              <w:rPr>
                <w:rFonts w:ascii="宋体" w:hAnsi="宋体"/>
                <w:color w:val="000000"/>
                <w:szCs w:val="21"/>
                <w:lang w:val="en-US" w:eastAsia="zh-CN"/>
              </w:rPr>
              <w:t>PQ</w:t>
            </w:r>
            <w:r>
              <w:rPr>
                <w:rFonts w:hint="eastAsia" w:ascii="宋体" w:hAnsi="宋体"/>
                <w:color w:val="000000"/>
                <w:szCs w:val="21"/>
                <w:lang w:val="en-US" w:eastAsia="zh-CN"/>
              </w:rPr>
              <w:t>。</w:t>
            </w:r>
          </w:p>
        </w:tc>
        <w:tc>
          <w:tcPr>
            <w:tcW w:w="2125" w:type="dxa"/>
            <w:vAlign w:val="center"/>
          </w:tcPr>
          <w:p>
            <w:pPr>
              <w:jc w:val="center"/>
              <w:rPr>
                <w:iCs/>
                <w:color w:val="000000"/>
                <w:szCs w:val="21"/>
                <w:lang w:eastAsia="zh-CN"/>
              </w:rPr>
            </w:pPr>
            <w:r>
              <w:rPr>
                <w:rFonts w:hint="eastAsia" w:ascii="宋体" w:hAnsi="宋体"/>
                <w:color w:val="000000"/>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128" w:type="dxa"/>
            <w:vAlign w:val="center"/>
          </w:tcPr>
          <w:p>
            <w:pPr>
              <w:spacing w:line="276" w:lineRule="auto"/>
              <w:jc w:val="both"/>
              <w:rPr>
                <w:color w:val="000000"/>
                <w:szCs w:val="21"/>
                <w:lang w:eastAsia="zh-CN"/>
              </w:rPr>
            </w:pPr>
            <w:r>
              <w:rPr>
                <w:rFonts w:hint="eastAsia" w:ascii="宋体" w:hAnsi="宋体"/>
                <w:color w:val="000000"/>
                <w:szCs w:val="21"/>
                <w:lang w:val="en-US" w:eastAsia="zh-CN"/>
              </w:rPr>
              <w:t>设备验证内容中应包含该计算机系统验证，并符合</w:t>
            </w:r>
            <w:r>
              <w:rPr>
                <w:rFonts w:ascii="宋体" w:hAnsi="宋体"/>
                <w:color w:val="000000"/>
                <w:szCs w:val="21"/>
                <w:lang w:val="en-US" w:eastAsia="zh-CN"/>
              </w:rPr>
              <w:t>GMP</w:t>
            </w:r>
            <w:r>
              <w:rPr>
                <w:rFonts w:hint="eastAsia" w:ascii="宋体" w:hAnsi="宋体"/>
                <w:color w:val="000000"/>
                <w:szCs w:val="21"/>
                <w:lang w:val="en-US" w:eastAsia="zh-CN"/>
              </w:rPr>
              <w:t>及</w:t>
            </w:r>
            <w:r>
              <w:rPr>
                <w:rFonts w:ascii="宋体" w:hAnsi="宋体"/>
                <w:color w:val="000000"/>
                <w:szCs w:val="21"/>
                <w:lang w:val="en-US" w:eastAsia="zh-CN"/>
              </w:rPr>
              <w:t>GAMP5</w:t>
            </w:r>
            <w:r>
              <w:rPr>
                <w:rFonts w:hint="eastAsia" w:ascii="宋体" w:hAnsi="宋体"/>
                <w:color w:val="000000"/>
                <w:szCs w:val="21"/>
                <w:lang w:val="en-US" w:eastAsia="zh-CN"/>
              </w:rPr>
              <w:t>验证相关要求。</w:t>
            </w:r>
          </w:p>
        </w:tc>
        <w:tc>
          <w:tcPr>
            <w:tcW w:w="2125" w:type="dxa"/>
            <w:vAlign w:val="center"/>
          </w:tcPr>
          <w:p>
            <w:pPr>
              <w:jc w:val="center"/>
              <w:rPr>
                <w:color w:val="000000"/>
                <w:szCs w:val="21"/>
                <w:lang w:eastAsia="zh-CN"/>
              </w:rPr>
            </w:pPr>
            <w:r>
              <w:rPr>
                <w:rFonts w:hint="eastAsia"/>
                <w:iCs/>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128" w:type="dxa"/>
            <w:vAlign w:val="center"/>
          </w:tcPr>
          <w:p>
            <w:pPr>
              <w:spacing w:line="276" w:lineRule="auto"/>
              <w:jc w:val="both"/>
              <w:rPr>
                <w:rFonts w:ascii="宋体" w:hAnsi="宋体"/>
                <w:color w:val="000000"/>
                <w:szCs w:val="21"/>
                <w:lang w:val="en-US" w:eastAsia="zh-CN"/>
              </w:rPr>
            </w:pPr>
            <w:r>
              <w:rPr>
                <w:rFonts w:hint="eastAsia" w:ascii="宋体" w:hAnsi="宋体"/>
                <w:color w:val="000000"/>
                <w:szCs w:val="21"/>
                <w:lang w:val="en-US" w:eastAsia="zh-CN"/>
              </w:rPr>
              <w:t>验证工作应按时保质完成，供应商需提供验证工作计划表。</w:t>
            </w:r>
          </w:p>
        </w:tc>
        <w:tc>
          <w:tcPr>
            <w:tcW w:w="2125" w:type="dxa"/>
            <w:vAlign w:val="center"/>
          </w:tcPr>
          <w:p>
            <w:pPr>
              <w:jc w:val="center"/>
              <w:rPr>
                <w:iCs/>
                <w:color w:val="000000"/>
                <w:szCs w:val="21"/>
                <w:lang w:eastAsia="zh-CN"/>
              </w:rPr>
            </w:pPr>
            <w:r>
              <w:rPr>
                <w:rFonts w:hint="eastAsia"/>
                <w:iCs/>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128" w:type="dxa"/>
            <w:vAlign w:val="center"/>
          </w:tcPr>
          <w:p>
            <w:pPr>
              <w:spacing w:line="276" w:lineRule="auto"/>
              <w:jc w:val="both"/>
              <w:rPr>
                <w:rFonts w:ascii="宋体" w:hAnsi="宋体"/>
                <w:color w:val="000000"/>
                <w:szCs w:val="21"/>
                <w:lang w:val="en-US" w:eastAsia="zh-CN"/>
              </w:rPr>
            </w:pPr>
            <w:r>
              <w:rPr>
                <w:rFonts w:hint="eastAsia" w:ascii="宋体" w:hAnsi="宋体"/>
                <w:color w:val="000000"/>
                <w:szCs w:val="21"/>
                <w:lang w:val="en-US" w:eastAsia="zh-CN"/>
              </w:rPr>
              <w:t>验证工作完成后，验证文件应经本公司相关部门审核，并经质量保证部批准。</w:t>
            </w:r>
          </w:p>
        </w:tc>
        <w:tc>
          <w:tcPr>
            <w:tcW w:w="2125" w:type="dxa"/>
            <w:vAlign w:val="center"/>
          </w:tcPr>
          <w:p>
            <w:pPr>
              <w:jc w:val="center"/>
              <w:rPr>
                <w:iCs/>
                <w:color w:val="000000"/>
                <w:szCs w:val="21"/>
                <w:lang w:eastAsia="zh-CN"/>
              </w:rPr>
            </w:pPr>
            <w:r>
              <w:rPr>
                <w:rFonts w:hint="eastAsia"/>
                <w:iCs/>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128" w:type="dxa"/>
            <w:vAlign w:val="center"/>
          </w:tcPr>
          <w:p>
            <w:pPr>
              <w:spacing w:line="276" w:lineRule="auto"/>
              <w:jc w:val="both"/>
              <w:rPr>
                <w:rFonts w:ascii="宋体" w:hAnsi="宋体"/>
                <w:color w:val="000000"/>
                <w:szCs w:val="21"/>
                <w:lang w:val="en-US" w:eastAsia="zh-CN"/>
              </w:rPr>
            </w:pPr>
            <w:r>
              <w:rPr>
                <w:rFonts w:hint="eastAsia" w:ascii="宋体" w:hAnsi="宋体"/>
                <w:color w:val="000000"/>
                <w:szCs w:val="21"/>
                <w:lang w:val="en-US" w:eastAsia="zh-CN"/>
              </w:rPr>
              <w:t>验收前，验证工作已成功完成，验证最终报告已经本公司相关部门审核，并经质量保证部批准。</w:t>
            </w:r>
          </w:p>
        </w:tc>
        <w:tc>
          <w:tcPr>
            <w:tcW w:w="2125" w:type="dxa"/>
            <w:vAlign w:val="center"/>
          </w:tcPr>
          <w:p>
            <w:pPr>
              <w:jc w:val="center"/>
              <w:rPr>
                <w:iCs/>
                <w:color w:val="000000"/>
                <w:szCs w:val="21"/>
                <w:lang w:eastAsia="zh-CN"/>
              </w:rPr>
            </w:pPr>
            <w:r>
              <w:rPr>
                <w:rFonts w:hint="eastAsia"/>
                <w:iCs/>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2"/>
              </w:numPr>
              <w:ind w:firstLineChars="0"/>
              <w:rPr>
                <w:rFonts w:ascii="Times New Roman" w:hAnsi="Times New Roman"/>
                <w:color w:val="000000"/>
                <w:szCs w:val="21"/>
              </w:rPr>
            </w:pPr>
          </w:p>
        </w:tc>
        <w:tc>
          <w:tcPr>
            <w:tcW w:w="9253" w:type="dxa"/>
            <w:gridSpan w:val="2"/>
            <w:shd w:val="clear" w:color="auto" w:fill="D9D9D9"/>
            <w:vAlign w:val="center"/>
          </w:tcPr>
          <w:p>
            <w:pPr>
              <w:jc w:val="both"/>
              <w:rPr>
                <w:color w:val="000000"/>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128" w:type="dxa"/>
            <w:vAlign w:val="center"/>
          </w:tcPr>
          <w:p>
            <w:pPr>
              <w:spacing w:line="276" w:lineRule="auto"/>
              <w:jc w:val="both"/>
              <w:rPr>
                <w:rFonts w:ascii="宋体" w:hAnsi="宋体"/>
                <w:color w:val="000000"/>
                <w:szCs w:val="21"/>
                <w:lang w:eastAsia="zh-CN"/>
              </w:rPr>
            </w:pPr>
            <w:r>
              <w:rPr>
                <w:rFonts w:hint="eastAsia" w:ascii="宋体" w:hAnsi="宋体"/>
                <w:color w:val="000000"/>
                <w:szCs w:val="21"/>
                <w:lang w:eastAsia="zh-CN"/>
              </w:rPr>
              <w:t>设备质保期为一年，一年内免费保修，一年后应提供良好的售后服务</w:t>
            </w:r>
          </w:p>
        </w:tc>
        <w:tc>
          <w:tcPr>
            <w:tcW w:w="2125" w:type="dxa"/>
            <w:vAlign w:val="center"/>
          </w:tcPr>
          <w:p>
            <w:pPr>
              <w:jc w:val="center"/>
              <w:rPr>
                <w:rFonts w:ascii="宋体" w:hAnsi="宋体"/>
                <w:color w:val="000000"/>
                <w:szCs w:val="21"/>
                <w:lang w:eastAsia="zh-CN"/>
              </w:rPr>
            </w:pPr>
            <w:r>
              <w:rPr>
                <w:rFonts w:hint="eastAsia" w:ascii="宋体" w:hAnsi="宋体"/>
                <w:iCs/>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128" w:type="dxa"/>
            <w:vAlign w:val="center"/>
          </w:tcPr>
          <w:p>
            <w:pPr>
              <w:spacing w:line="276" w:lineRule="auto"/>
              <w:jc w:val="both"/>
              <w:rPr>
                <w:rFonts w:ascii="宋体" w:hAnsi="宋体"/>
                <w:color w:val="000000"/>
                <w:szCs w:val="21"/>
                <w:lang w:eastAsia="zh-CN"/>
              </w:rPr>
            </w:pPr>
            <w:r>
              <w:rPr>
                <w:rFonts w:hint="eastAsia" w:ascii="宋体" w:hAnsi="宋体"/>
                <w:color w:val="000000"/>
                <w:szCs w:val="21"/>
                <w:lang w:eastAsia="zh-CN"/>
              </w:rPr>
              <w:t>售后服务必须响应及时，要求设备出现须厂家维修的故障后，应在</w:t>
            </w:r>
            <w:r>
              <w:rPr>
                <w:rFonts w:ascii="宋体" w:hAnsi="宋体"/>
                <w:color w:val="000000"/>
                <w:szCs w:val="21"/>
                <w:lang w:eastAsia="zh-CN"/>
              </w:rPr>
              <w:t>4</w:t>
            </w:r>
            <w:r>
              <w:rPr>
                <w:rFonts w:hint="eastAsia" w:ascii="宋体" w:hAnsi="宋体"/>
                <w:color w:val="000000"/>
                <w:szCs w:val="21"/>
                <w:lang w:eastAsia="zh-CN"/>
              </w:rPr>
              <w:t>小时内明确答复，当电话沟通无法解决时，须</w:t>
            </w:r>
            <w:r>
              <w:rPr>
                <w:rFonts w:ascii="宋体" w:hAnsi="宋体"/>
                <w:color w:val="000000"/>
                <w:szCs w:val="21"/>
                <w:lang w:eastAsia="zh-CN"/>
              </w:rPr>
              <w:t>24</w:t>
            </w:r>
            <w:r>
              <w:rPr>
                <w:rFonts w:hint="eastAsia" w:ascii="宋体" w:hAnsi="宋体"/>
                <w:color w:val="000000"/>
                <w:szCs w:val="21"/>
                <w:lang w:eastAsia="zh-CN"/>
              </w:rPr>
              <w:t>小时内派人至现场解决。</w:t>
            </w:r>
          </w:p>
        </w:tc>
        <w:tc>
          <w:tcPr>
            <w:tcW w:w="2125" w:type="dxa"/>
            <w:vAlign w:val="center"/>
          </w:tcPr>
          <w:p>
            <w:pPr>
              <w:jc w:val="center"/>
              <w:rPr>
                <w:rFonts w:ascii="宋体" w:hAnsi="宋体"/>
                <w:color w:val="000000"/>
                <w:szCs w:val="21"/>
                <w:lang w:eastAsia="zh-CN"/>
              </w:rPr>
            </w:pPr>
            <w:r>
              <w:rPr>
                <w:rFonts w:hint="eastAsia" w:ascii="宋体" w:hAnsi="宋体"/>
                <w:iCs/>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128" w:type="dxa"/>
            <w:vAlign w:val="center"/>
          </w:tcPr>
          <w:p>
            <w:pPr>
              <w:spacing w:line="276" w:lineRule="auto"/>
              <w:jc w:val="both"/>
              <w:rPr>
                <w:rFonts w:ascii="宋体" w:hAnsi="宋体"/>
                <w:color w:val="000000"/>
                <w:szCs w:val="21"/>
                <w:lang w:eastAsia="zh-CN"/>
              </w:rPr>
            </w:pPr>
            <w:r>
              <w:rPr>
                <w:rFonts w:hint="eastAsia" w:ascii="宋体" w:hAnsi="宋体" w:cs="Arial"/>
                <w:szCs w:val="21"/>
                <w:lang w:eastAsia="zh-CN"/>
              </w:rPr>
              <w:t>设备验证完成后厂家工程师需陪产，后期陪产工作在和我公司协商。</w:t>
            </w:r>
          </w:p>
        </w:tc>
        <w:tc>
          <w:tcPr>
            <w:tcW w:w="2125" w:type="dxa"/>
            <w:vAlign w:val="center"/>
          </w:tcPr>
          <w:p>
            <w:pPr>
              <w:jc w:val="center"/>
              <w:rPr>
                <w:rFonts w:ascii="宋体" w:hAnsi="宋体"/>
                <w:iCs/>
                <w:color w:val="000000"/>
                <w:szCs w:val="21"/>
                <w:lang w:eastAsia="zh-CN"/>
              </w:rPr>
            </w:pPr>
            <w:r>
              <w:rPr>
                <w:rFonts w:hint="eastAsia" w:ascii="宋体" w:hAnsi="宋体"/>
                <w:iCs/>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128" w:type="dxa"/>
            <w:vAlign w:val="center"/>
          </w:tcPr>
          <w:p>
            <w:pPr>
              <w:spacing w:line="276" w:lineRule="auto"/>
              <w:jc w:val="both"/>
              <w:rPr>
                <w:rFonts w:ascii="宋体" w:hAnsi="宋体"/>
                <w:color w:val="000000"/>
                <w:szCs w:val="21"/>
                <w:lang w:eastAsia="zh-CN"/>
              </w:rPr>
            </w:pPr>
            <w:r>
              <w:rPr>
                <w:rFonts w:hint="eastAsia" w:ascii="宋体" w:hAnsi="宋体"/>
                <w:color w:val="000000"/>
                <w:szCs w:val="21"/>
                <w:lang w:eastAsia="zh-CN"/>
              </w:rPr>
              <w:t>易损件需配备一套备用</w:t>
            </w:r>
          </w:p>
        </w:tc>
        <w:tc>
          <w:tcPr>
            <w:tcW w:w="2125" w:type="dxa"/>
            <w:vAlign w:val="center"/>
          </w:tcPr>
          <w:p>
            <w:pPr>
              <w:jc w:val="center"/>
              <w:rPr>
                <w:rFonts w:ascii="宋体" w:hAnsi="宋体"/>
                <w:color w:val="000000"/>
                <w:szCs w:val="21"/>
                <w:lang w:eastAsia="zh-CN"/>
              </w:rPr>
            </w:pPr>
            <w:r>
              <w:rPr>
                <w:rFonts w:hint="eastAsia" w:ascii="宋体" w:hAnsi="宋体"/>
                <w:iCs/>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2"/>
              </w:numPr>
              <w:ind w:firstLineChars="0"/>
              <w:rPr>
                <w:rFonts w:ascii="Times New Roman" w:hAnsi="Times New Roman"/>
                <w:color w:val="000000"/>
                <w:szCs w:val="21"/>
              </w:rPr>
            </w:pPr>
          </w:p>
        </w:tc>
        <w:tc>
          <w:tcPr>
            <w:tcW w:w="9253" w:type="dxa"/>
            <w:gridSpan w:val="2"/>
            <w:shd w:val="clear" w:color="auto" w:fill="D9D9D9"/>
            <w:vAlign w:val="center"/>
          </w:tcPr>
          <w:p>
            <w:pPr>
              <w:jc w:val="both"/>
              <w:rPr>
                <w:color w:val="000000"/>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128" w:type="dxa"/>
            <w:vAlign w:val="center"/>
          </w:tcPr>
          <w:p>
            <w:pPr>
              <w:spacing w:line="276" w:lineRule="auto"/>
              <w:jc w:val="both"/>
              <w:rPr>
                <w:color w:val="000000"/>
                <w:szCs w:val="21"/>
                <w:lang w:eastAsia="zh-CN"/>
              </w:rPr>
            </w:pPr>
            <w:r>
              <w:rPr>
                <w:rFonts w:hint="eastAsia" w:ascii="宋体" w:hAnsi="宋体"/>
                <w:color w:val="000000"/>
                <w:szCs w:val="21"/>
                <w:lang w:eastAsia="zh-CN"/>
              </w:rPr>
              <w:t>货物到达买方使用现场后，由买卖双方共同验收，卖方工程师免费为买方提供调试。</w:t>
            </w:r>
          </w:p>
        </w:tc>
        <w:tc>
          <w:tcPr>
            <w:tcW w:w="2125" w:type="dxa"/>
            <w:vAlign w:val="center"/>
          </w:tcPr>
          <w:p>
            <w:pPr>
              <w:jc w:val="center"/>
              <w:rPr>
                <w:color w:val="000000"/>
                <w:szCs w:val="21"/>
                <w:lang w:eastAsia="zh-CN"/>
              </w:rPr>
            </w:pPr>
            <w:r>
              <w:rPr>
                <w:rFonts w:hint="eastAsia"/>
                <w:iCs/>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128" w:type="dxa"/>
            <w:vAlign w:val="center"/>
          </w:tcPr>
          <w:p>
            <w:pPr>
              <w:spacing w:line="276" w:lineRule="auto"/>
              <w:jc w:val="both"/>
              <w:rPr>
                <w:color w:val="000000"/>
                <w:szCs w:val="21"/>
                <w:lang w:eastAsia="zh-CN"/>
              </w:rPr>
            </w:pPr>
            <w:r>
              <w:rPr>
                <w:rFonts w:hint="eastAsia" w:ascii="宋体" w:hAnsi="宋体"/>
                <w:color w:val="000000"/>
                <w:szCs w:val="21"/>
                <w:lang w:eastAsia="zh-CN"/>
              </w:rPr>
              <w:t>供应商进厂施工需遵守安全和施工规定。</w:t>
            </w:r>
          </w:p>
        </w:tc>
        <w:tc>
          <w:tcPr>
            <w:tcW w:w="2125" w:type="dxa"/>
            <w:vAlign w:val="center"/>
          </w:tcPr>
          <w:p>
            <w:pPr>
              <w:jc w:val="center"/>
              <w:rPr>
                <w:color w:val="000000"/>
                <w:szCs w:val="21"/>
                <w:lang w:eastAsia="zh-CN"/>
              </w:rPr>
            </w:pPr>
            <w:r>
              <w:rPr>
                <w:rFonts w:hint="eastAsia"/>
                <w:iCs/>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128" w:type="dxa"/>
            <w:vAlign w:val="center"/>
          </w:tcPr>
          <w:p>
            <w:pPr>
              <w:spacing w:line="276" w:lineRule="auto"/>
              <w:jc w:val="both"/>
              <w:rPr>
                <w:rFonts w:ascii="宋体" w:hAnsi="宋体"/>
                <w:color w:val="000000"/>
                <w:szCs w:val="21"/>
                <w:lang w:eastAsia="zh-CN"/>
              </w:rPr>
            </w:pPr>
            <w:r>
              <w:rPr>
                <w:rFonts w:hint="eastAsia" w:ascii="宋体" w:hAnsi="宋体"/>
                <w:color w:val="000000"/>
                <w:szCs w:val="21"/>
                <w:lang w:eastAsia="zh-CN"/>
              </w:rPr>
              <w:t>设备经相关部门验收合格后，确认设备验收合格后，买卖双方签订验收报告。</w:t>
            </w:r>
          </w:p>
        </w:tc>
        <w:tc>
          <w:tcPr>
            <w:tcW w:w="2125" w:type="dxa"/>
            <w:vAlign w:val="center"/>
          </w:tcPr>
          <w:p>
            <w:pPr>
              <w:jc w:val="center"/>
              <w:rPr>
                <w:color w:val="000000"/>
                <w:szCs w:val="21"/>
                <w:lang w:eastAsia="zh-CN"/>
              </w:rPr>
            </w:pPr>
            <w:r>
              <w:rPr>
                <w:rFonts w:hint="eastAsia"/>
                <w:iCs/>
                <w:color w:val="000000"/>
                <w:szCs w:val="21"/>
                <w:lang w:eastAsia="zh-CN"/>
              </w:rPr>
              <w:t>关键</w:t>
            </w:r>
          </w:p>
        </w:tc>
      </w:tr>
    </w:tbl>
    <w:p>
      <w:pPr>
        <w:rPr>
          <w:color w:val="000000"/>
        </w:rPr>
      </w:pPr>
    </w:p>
    <w:p>
      <w:pPr>
        <w:pStyle w:val="31"/>
        <w:numPr>
          <w:ilvl w:val="0"/>
          <w:numId w:val="3"/>
        </w:numPr>
        <w:spacing w:after="158" w:afterLines="50"/>
        <w:ind w:left="426" w:hanging="426" w:hangingChars="202"/>
        <w:outlineLvl w:val="0"/>
        <w:rPr>
          <w:rFonts w:ascii="Times New Roman" w:hAnsi="Times New Roman"/>
          <w:b/>
          <w:color w:val="000000"/>
        </w:rPr>
      </w:pPr>
      <w:bookmarkStart w:id="48" w:name="_Toc522107746"/>
      <w:bookmarkStart w:id="49" w:name="_Toc522716126"/>
      <w:r>
        <w:rPr>
          <w:rFonts w:ascii="Times New Roman" w:hAnsi="Times New Roman"/>
          <w:b/>
          <w:color w:val="000000"/>
        </w:rPr>
        <w:t>附件</w:t>
      </w:r>
      <w:bookmarkEnd w:id="48"/>
      <w:bookmarkEnd w:id="49"/>
    </w:p>
    <w:bookmarkEnd w:id="32"/>
    <w:bookmarkEnd w:id="33"/>
    <w:bookmarkEnd w:id="34"/>
    <w:bookmarkEnd w:id="35"/>
    <w:bookmarkEnd w:id="36"/>
    <w:bookmarkEnd w:id="37"/>
    <w:bookmarkEnd w:id="38"/>
    <w:bookmarkEnd w:id="39"/>
    <w:bookmarkEnd w:id="40"/>
    <w:bookmarkEnd w:id="41"/>
    <w:bookmarkEnd w:id="42"/>
    <w:bookmarkEnd w:id="43"/>
    <w:p>
      <w:pPr>
        <w:pStyle w:val="35"/>
        <w:spacing w:before="0" w:line="360" w:lineRule="auto"/>
        <w:ind w:left="357"/>
        <w:jc w:val="left"/>
        <w:rPr>
          <w:color w:val="000000"/>
          <w:sz w:val="21"/>
          <w:szCs w:val="21"/>
          <w:lang w:eastAsia="zh-CN"/>
        </w:rPr>
      </w:pPr>
      <w:r>
        <w:rPr>
          <w:rFonts w:hint="eastAsia"/>
          <w:color w:val="000000"/>
          <w:sz w:val="21"/>
          <w:szCs w:val="21"/>
          <w:lang w:eastAsia="zh-CN"/>
        </w:rPr>
        <w:t>附件一</w:t>
      </w:r>
    </w:p>
    <w:p>
      <w:pPr>
        <w:pStyle w:val="35"/>
        <w:spacing w:before="0" w:line="360" w:lineRule="auto"/>
        <w:ind w:left="357"/>
        <w:jc w:val="left"/>
        <w:rPr>
          <w:color w:val="000000"/>
          <w:sz w:val="21"/>
          <w:szCs w:val="21"/>
          <w:lang w:eastAsia="zh-CN"/>
        </w:rPr>
      </w:pPr>
    </w:p>
    <w:p>
      <w:pPr>
        <w:pStyle w:val="35"/>
        <w:spacing w:before="0" w:line="360" w:lineRule="auto"/>
        <w:ind w:left="357"/>
        <w:jc w:val="left"/>
        <w:rPr>
          <w:color w:val="4472C4"/>
          <w:sz w:val="21"/>
          <w:szCs w:val="21"/>
          <w:lang w:eastAsia="zh-CN"/>
        </w:rPr>
      </w:pPr>
    </w:p>
    <w:tbl>
      <w:tblPr>
        <w:tblStyle w:val="24"/>
        <w:tblW w:w="6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70"/>
        <w:gridCol w:w="2910"/>
        <w:gridCol w:w="2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0" w:hRule="atLeast"/>
          <w:tblHeader/>
          <w:jc w:val="center"/>
        </w:trPr>
        <w:tc>
          <w:tcPr>
            <w:tcW w:w="870" w:type="dxa"/>
            <w:tcBorders>
              <w:top w:val="single" w:color="auto" w:sz="4" w:space="0"/>
              <w:left w:val="single" w:color="auto" w:sz="4" w:space="0"/>
              <w:bottom w:val="single" w:color="auto" w:sz="4" w:space="0"/>
              <w:right w:val="single" w:color="auto" w:sz="4" w:space="0"/>
            </w:tcBorders>
            <w:shd w:val="clear" w:color="auto" w:fill="D9D9D9"/>
            <w:vAlign w:val="center"/>
          </w:tcPr>
          <w:p>
            <w:pPr>
              <w:spacing w:before="63" w:beforeLines="20" w:after="63" w:afterLines="20" w:line="0" w:lineRule="atLeast"/>
              <w:jc w:val="center"/>
              <w:rPr>
                <w:b/>
              </w:rPr>
            </w:pPr>
            <w:r>
              <w:rPr>
                <w:rFonts w:hint="eastAsia"/>
                <w:b/>
              </w:rPr>
              <w:t>序号</w:t>
            </w:r>
          </w:p>
        </w:tc>
        <w:tc>
          <w:tcPr>
            <w:tcW w:w="2910" w:type="dxa"/>
            <w:tcBorders>
              <w:top w:val="single" w:color="auto" w:sz="4" w:space="0"/>
              <w:left w:val="single" w:color="auto" w:sz="4" w:space="0"/>
              <w:bottom w:val="single" w:color="auto" w:sz="4" w:space="0"/>
              <w:right w:val="single" w:color="auto" w:sz="4" w:space="0"/>
            </w:tcBorders>
            <w:shd w:val="clear" w:color="auto" w:fill="D9D9D9"/>
            <w:vAlign w:val="center"/>
          </w:tcPr>
          <w:p>
            <w:pPr>
              <w:spacing w:before="63" w:beforeLines="20" w:after="63" w:afterLines="20" w:line="0" w:lineRule="atLeast"/>
              <w:jc w:val="center"/>
              <w:rPr>
                <w:b/>
              </w:rPr>
            </w:pPr>
            <w:r>
              <w:rPr>
                <w:rFonts w:hint="eastAsia"/>
                <w:b/>
              </w:rPr>
              <w:t>部件</w:t>
            </w:r>
          </w:p>
        </w:tc>
        <w:tc>
          <w:tcPr>
            <w:tcW w:w="2910" w:type="dxa"/>
            <w:tcBorders>
              <w:top w:val="single" w:color="auto" w:sz="4" w:space="0"/>
              <w:left w:val="single" w:color="auto" w:sz="4" w:space="0"/>
              <w:bottom w:val="single" w:color="auto" w:sz="4" w:space="0"/>
              <w:right w:val="single" w:color="auto" w:sz="4" w:space="0"/>
            </w:tcBorders>
            <w:shd w:val="clear" w:color="auto" w:fill="D9D9D9"/>
            <w:vAlign w:val="center"/>
          </w:tcPr>
          <w:p>
            <w:pPr>
              <w:spacing w:before="63" w:beforeLines="20" w:after="63" w:afterLines="20" w:line="0" w:lineRule="atLeast"/>
              <w:jc w:val="center"/>
              <w:rPr>
                <w:b/>
              </w:rPr>
            </w:pPr>
            <w:r>
              <w:rPr>
                <w:rFonts w:hint="eastAsia"/>
                <w:b/>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0"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pStyle w:val="31"/>
              <w:numPr>
                <w:ilvl w:val="0"/>
                <w:numId w:val="13"/>
              </w:numPr>
              <w:spacing w:before="63" w:beforeLines="20" w:after="63" w:afterLines="20" w:line="0" w:lineRule="atLeast"/>
              <w:ind w:left="846" w:firstLineChars="0"/>
              <w:jc w:val="center"/>
            </w:pPr>
          </w:p>
        </w:tc>
        <w:tc>
          <w:tcPr>
            <w:tcW w:w="2910" w:type="dxa"/>
            <w:tcBorders>
              <w:top w:val="single" w:color="auto" w:sz="4" w:space="0"/>
              <w:left w:val="single" w:color="auto" w:sz="4" w:space="0"/>
              <w:bottom w:val="single" w:color="auto" w:sz="4" w:space="0"/>
              <w:right w:val="single" w:color="auto" w:sz="4" w:space="0"/>
            </w:tcBorders>
            <w:vAlign w:val="center"/>
          </w:tcPr>
          <w:p>
            <w:pPr>
              <w:spacing w:before="63" w:beforeLines="20" w:after="63" w:afterLines="20" w:line="0" w:lineRule="atLeast"/>
            </w:pPr>
            <w:r>
              <w:rPr>
                <w:rFonts w:hint="eastAsia"/>
              </w:rPr>
              <w:t>电磁阀</w:t>
            </w:r>
          </w:p>
        </w:tc>
        <w:tc>
          <w:tcPr>
            <w:tcW w:w="2910" w:type="dxa"/>
            <w:tcBorders>
              <w:top w:val="single" w:color="auto" w:sz="4" w:space="0"/>
              <w:left w:val="single" w:color="auto" w:sz="4" w:space="0"/>
              <w:bottom w:val="single" w:color="auto" w:sz="4" w:space="0"/>
              <w:right w:val="single" w:color="auto" w:sz="4" w:space="0"/>
            </w:tcBorders>
            <w:vAlign w:val="center"/>
          </w:tcPr>
          <w:p>
            <w:pPr>
              <w:spacing w:before="63" w:beforeLines="20" w:after="63" w:afterLines="20" w:line="0" w:lineRule="atLeast"/>
              <w:rPr>
                <w:lang w:eastAsia="zh-CN"/>
              </w:rPr>
            </w:pPr>
            <w:r>
              <w:rPr>
                <w:rFonts w:hint="eastAsia" w:eastAsia="宋体"/>
                <w:sz w:val="19"/>
                <w:szCs w:val="19"/>
                <w:lang w:val="en-US" w:eastAsia="zh-CN"/>
              </w:rPr>
              <w:t>SMC</w:t>
            </w:r>
            <w:r>
              <w:rPr>
                <w:rFonts w:hint="eastAsia"/>
                <w:lang w:eastAsia="zh-CN"/>
              </w:rPr>
              <w:t>或相同等级品牌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0"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pStyle w:val="31"/>
              <w:numPr>
                <w:ilvl w:val="0"/>
                <w:numId w:val="13"/>
              </w:numPr>
              <w:spacing w:before="63" w:beforeLines="20" w:after="63" w:afterLines="20" w:line="0" w:lineRule="atLeast"/>
              <w:ind w:left="846" w:firstLineChars="0"/>
              <w:jc w:val="center"/>
            </w:pPr>
          </w:p>
        </w:tc>
        <w:tc>
          <w:tcPr>
            <w:tcW w:w="2910" w:type="dxa"/>
            <w:tcBorders>
              <w:top w:val="single" w:color="auto" w:sz="4" w:space="0"/>
              <w:left w:val="single" w:color="auto" w:sz="4" w:space="0"/>
              <w:bottom w:val="single" w:color="auto" w:sz="4" w:space="0"/>
              <w:right w:val="single" w:color="auto" w:sz="4" w:space="0"/>
            </w:tcBorders>
            <w:vAlign w:val="center"/>
          </w:tcPr>
          <w:p>
            <w:pPr>
              <w:spacing w:before="63" w:beforeLines="20" w:after="63" w:afterLines="20" w:line="0" w:lineRule="atLeast"/>
            </w:pPr>
            <w:r>
              <w:rPr>
                <w:rFonts w:hint="eastAsia"/>
              </w:rPr>
              <w:t>PLC</w:t>
            </w:r>
          </w:p>
        </w:tc>
        <w:tc>
          <w:tcPr>
            <w:tcW w:w="2910" w:type="dxa"/>
            <w:tcBorders>
              <w:top w:val="single" w:color="auto" w:sz="4" w:space="0"/>
              <w:left w:val="single" w:color="auto" w:sz="4" w:space="0"/>
              <w:bottom w:val="single" w:color="auto" w:sz="4" w:space="0"/>
              <w:right w:val="single" w:color="auto" w:sz="4" w:space="0"/>
            </w:tcBorders>
            <w:vAlign w:val="center"/>
          </w:tcPr>
          <w:p>
            <w:pPr>
              <w:spacing w:before="63" w:beforeLines="20" w:after="63" w:afterLines="20" w:line="0" w:lineRule="atLeast"/>
            </w:pPr>
            <w:r>
              <w:rPr>
                <w:rFonts w:eastAsia="宋体"/>
                <w:sz w:val="19"/>
                <w:szCs w:val="19"/>
                <w:lang w:val="en-US"/>
              </w:rPr>
              <w:t>Panasonic</w:t>
            </w:r>
            <w:r>
              <w:rPr>
                <w:rFonts w:hint="eastAsia"/>
                <w:lang w:eastAsia="zh-CN"/>
              </w:rPr>
              <w:t>或相同等级品牌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0"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pStyle w:val="31"/>
              <w:numPr>
                <w:ilvl w:val="0"/>
                <w:numId w:val="13"/>
              </w:numPr>
              <w:spacing w:before="63" w:beforeLines="20" w:after="63" w:afterLines="20" w:line="0" w:lineRule="atLeast"/>
              <w:ind w:left="846" w:firstLineChars="0"/>
              <w:jc w:val="center"/>
            </w:pPr>
          </w:p>
        </w:tc>
        <w:tc>
          <w:tcPr>
            <w:tcW w:w="2910" w:type="dxa"/>
            <w:tcBorders>
              <w:top w:val="single" w:color="auto" w:sz="4" w:space="0"/>
              <w:left w:val="single" w:color="auto" w:sz="4" w:space="0"/>
              <w:bottom w:val="single" w:color="auto" w:sz="4" w:space="0"/>
              <w:right w:val="single" w:color="auto" w:sz="4" w:space="0"/>
            </w:tcBorders>
            <w:vAlign w:val="center"/>
          </w:tcPr>
          <w:p>
            <w:pPr>
              <w:spacing w:before="63" w:beforeLines="20" w:after="63" w:afterLines="20" w:line="0" w:lineRule="atLeast"/>
            </w:pPr>
            <w:r>
              <w:rPr>
                <w:rFonts w:hint="eastAsia"/>
              </w:rPr>
              <w:t>伺服电机</w:t>
            </w:r>
          </w:p>
        </w:tc>
        <w:tc>
          <w:tcPr>
            <w:tcW w:w="2910" w:type="dxa"/>
            <w:tcBorders>
              <w:top w:val="single" w:color="auto" w:sz="4" w:space="0"/>
              <w:left w:val="single" w:color="auto" w:sz="4" w:space="0"/>
              <w:bottom w:val="single" w:color="auto" w:sz="4" w:space="0"/>
              <w:right w:val="single" w:color="auto" w:sz="4" w:space="0"/>
            </w:tcBorders>
            <w:vAlign w:val="center"/>
          </w:tcPr>
          <w:p>
            <w:pPr>
              <w:spacing w:before="63" w:beforeLines="20" w:after="63" w:afterLines="20" w:line="0" w:lineRule="atLeast"/>
              <w:rPr>
                <w:lang w:val="en-US"/>
              </w:rPr>
            </w:pPr>
            <w:r>
              <w:rPr>
                <w:rFonts w:eastAsia="宋体"/>
                <w:sz w:val="19"/>
                <w:szCs w:val="19"/>
                <w:lang w:val="en-US"/>
              </w:rPr>
              <w:t>Panasonic</w:t>
            </w:r>
            <w:r>
              <w:rPr>
                <w:rFonts w:hint="eastAsia"/>
                <w:lang w:eastAsia="zh-CN"/>
              </w:rPr>
              <w:t>或相同等级品牌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0"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pStyle w:val="31"/>
              <w:numPr>
                <w:ilvl w:val="0"/>
                <w:numId w:val="13"/>
              </w:numPr>
              <w:spacing w:before="63" w:beforeLines="20" w:after="63" w:afterLines="20" w:line="0" w:lineRule="atLeast"/>
              <w:ind w:left="846" w:firstLineChars="0"/>
              <w:jc w:val="center"/>
            </w:pPr>
          </w:p>
        </w:tc>
        <w:tc>
          <w:tcPr>
            <w:tcW w:w="2910" w:type="dxa"/>
            <w:tcBorders>
              <w:top w:val="single" w:color="auto" w:sz="4" w:space="0"/>
              <w:left w:val="single" w:color="auto" w:sz="4" w:space="0"/>
              <w:bottom w:val="single" w:color="auto" w:sz="4" w:space="0"/>
              <w:right w:val="single" w:color="auto" w:sz="4" w:space="0"/>
            </w:tcBorders>
            <w:vAlign w:val="center"/>
          </w:tcPr>
          <w:p>
            <w:pPr>
              <w:spacing w:before="63" w:beforeLines="20" w:after="63" w:afterLines="20" w:line="0" w:lineRule="atLeast"/>
            </w:pPr>
            <w:r>
              <w:rPr>
                <w:rFonts w:hint="eastAsia"/>
              </w:rPr>
              <w:t>伺服驱动器</w:t>
            </w:r>
          </w:p>
        </w:tc>
        <w:tc>
          <w:tcPr>
            <w:tcW w:w="2910" w:type="dxa"/>
            <w:tcBorders>
              <w:top w:val="single" w:color="auto" w:sz="4" w:space="0"/>
              <w:left w:val="single" w:color="auto" w:sz="4" w:space="0"/>
              <w:bottom w:val="single" w:color="auto" w:sz="4" w:space="0"/>
              <w:right w:val="single" w:color="auto" w:sz="4" w:space="0"/>
            </w:tcBorders>
            <w:vAlign w:val="center"/>
          </w:tcPr>
          <w:p>
            <w:pPr>
              <w:spacing w:before="63" w:beforeLines="20" w:after="63" w:afterLines="20" w:line="0" w:lineRule="atLeast"/>
              <w:rPr>
                <w:lang w:val="en-US"/>
              </w:rPr>
            </w:pPr>
            <w:r>
              <w:rPr>
                <w:rFonts w:eastAsia="宋体"/>
                <w:sz w:val="19"/>
                <w:szCs w:val="19"/>
                <w:lang w:val="en-US"/>
              </w:rPr>
              <w:t>Panasonic</w:t>
            </w:r>
            <w:r>
              <w:rPr>
                <w:rFonts w:hint="eastAsia"/>
                <w:lang w:eastAsia="zh-CN"/>
              </w:rPr>
              <w:t>或相同等级品牌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0"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pStyle w:val="31"/>
              <w:numPr>
                <w:ilvl w:val="0"/>
                <w:numId w:val="13"/>
              </w:numPr>
              <w:spacing w:before="63" w:beforeLines="20" w:after="63" w:afterLines="20" w:line="0" w:lineRule="atLeast"/>
              <w:ind w:left="846" w:firstLineChars="0"/>
              <w:jc w:val="center"/>
            </w:pPr>
          </w:p>
        </w:tc>
        <w:tc>
          <w:tcPr>
            <w:tcW w:w="2910" w:type="dxa"/>
            <w:tcBorders>
              <w:top w:val="single" w:color="auto" w:sz="4" w:space="0"/>
              <w:left w:val="single" w:color="auto" w:sz="4" w:space="0"/>
              <w:bottom w:val="single" w:color="auto" w:sz="4" w:space="0"/>
              <w:right w:val="single" w:color="auto" w:sz="4" w:space="0"/>
            </w:tcBorders>
            <w:vAlign w:val="center"/>
          </w:tcPr>
          <w:p>
            <w:pPr>
              <w:spacing w:before="63" w:beforeLines="20" w:after="63" w:afterLines="20" w:line="0" w:lineRule="atLeast"/>
              <w:rPr>
                <w:lang w:val="en-US"/>
              </w:rPr>
            </w:pPr>
            <w:r>
              <w:rPr>
                <w:rFonts w:hint="eastAsia"/>
                <w:lang w:val="en-US"/>
              </w:rPr>
              <w:t>变频器</w:t>
            </w:r>
          </w:p>
        </w:tc>
        <w:tc>
          <w:tcPr>
            <w:tcW w:w="2910" w:type="dxa"/>
            <w:tcBorders>
              <w:top w:val="single" w:color="auto" w:sz="4" w:space="0"/>
              <w:left w:val="single" w:color="auto" w:sz="4" w:space="0"/>
              <w:bottom w:val="single" w:color="auto" w:sz="4" w:space="0"/>
              <w:right w:val="single" w:color="auto" w:sz="4" w:space="0"/>
            </w:tcBorders>
            <w:vAlign w:val="center"/>
          </w:tcPr>
          <w:p>
            <w:pPr>
              <w:spacing w:before="63" w:beforeLines="20" w:after="63" w:afterLines="20" w:line="0" w:lineRule="atLeast"/>
              <w:rPr>
                <w:lang w:val="en-US"/>
              </w:rPr>
            </w:pPr>
            <w:r>
              <w:rPr>
                <w:rFonts w:eastAsia="宋体"/>
                <w:sz w:val="19"/>
                <w:szCs w:val="19"/>
                <w:lang w:val="en-US"/>
              </w:rPr>
              <w:t>Panasonic</w:t>
            </w:r>
            <w:r>
              <w:rPr>
                <w:rFonts w:hint="eastAsia"/>
                <w:lang w:eastAsia="zh-CN"/>
              </w:rPr>
              <w:t>或相同等级品牌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0"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pStyle w:val="31"/>
              <w:numPr>
                <w:ilvl w:val="0"/>
                <w:numId w:val="13"/>
              </w:numPr>
              <w:spacing w:before="63" w:beforeLines="20" w:after="63" w:afterLines="20" w:line="0" w:lineRule="atLeast"/>
              <w:ind w:left="846" w:firstLineChars="0"/>
              <w:jc w:val="center"/>
            </w:pPr>
          </w:p>
        </w:tc>
        <w:tc>
          <w:tcPr>
            <w:tcW w:w="2910" w:type="dxa"/>
            <w:tcBorders>
              <w:top w:val="single" w:color="auto" w:sz="4" w:space="0"/>
              <w:left w:val="single" w:color="auto" w:sz="4" w:space="0"/>
              <w:bottom w:val="single" w:color="auto" w:sz="4" w:space="0"/>
              <w:right w:val="single" w:color="auto" w:sz="4" w:space="0"/>
            </w:tcBorders>
            <w:vAlign w:val="center"/>
          </w:tcPr>
          <w:p>
            <w:pPr>
              <w:spacing w:before="63" w:beforeLines="20" w:after="63" w:afterLines="20" w:line="0" w:lineRule="atLeast"/>
            </w:pPr>
            <w:r>
              <w:rPr>
                <w:rFonts w:hint="eastAsia"/>
              </w:rPr>
              <w:t>主驱动电机</w:t>
            </w:r>
          </w:p>
        </w:tc>
        <w:tc>
          <w:tcPr>
            <w:tcW w:w="2910" w:type="dxa"/>
            <w:tcBorders>
              <w:top w:val="single" w:color="auto" w:sz="4" w:space="0"/>
              <w:left w:val="single" w:color="auto" w:sz="4" w:space="0"/>
              <w:bottom w:val="single" w:color="auto" w:sz="4" w:space="0"/>
              <w:right w:val="single" w:color="auto" w:sz="4" w:space="0"/>
            </w:tcBorders>
            <w:vAlign w:val="center"/>
          </w:tcPr>
          <w:p>
            <w:pPr>
              <w:spacing w:before="63" w:beforeLines="20" w:after="63" w:afterLines="20" w:line="0" w:lineRule="atLeast"/>
            </w:pPr>
            <w:r>
              <w:rPr>
                <w:rFonts w:eastAsia="宋体"/>
                <w:sz w:val="19"/>
                <w:szCs w:val="19"/>
                <w:lang w:val="en-US"/>
              </w:rPr>
              <w:t>SEW</w:t>
            </w:r>
            <w:r>
              <w:rPr>
                <w:rFonts w:hint="eastAsia"/>
                <w:lang w:eastAsia="zh-CN"/>
              </w:rPr>
              <w:t>或相同等级品牌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0"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pStyle w:val="31"/>
              <w:numPr>
                <w:ilvl w:val="0"/>
                <w:numId w:val="13"/>
              </w:numPr>
              <w:spacing w:before="63" w:beforeLines="20" w:after="63" w:afterLines="20" w:line="0" w:lineRule="atLeast"/>
              <w:ind w:left="846" w:firstLineChars="0"/>
              <w:jc w:val="center"/>
            </w:pPr>
          </w:p>
        </w:tc>
        <w:tc>
          <w:tcPr>
            <w:tcW w:w="2910" w:type="dxa"/>
            <w:tcBorders>
              <w:top w:val="single" w:color="auto" w:sz="4" w:space="0"/>
              <w:left w:val="single" w:color="auto" w:sz="4" w:space="0"/>
              <w:bottom w:val="single" w:color="auto" w:sz="4" w:space="0"/>
              <w:right w:val="single" w:color="auto" w:sz="4" w:space="0"/>
            </w:tcBorders>
            <w:vAlign w:val="center"/>
          </w:tcPr>
          <w:p>
            <w:pPr>
              <w:spacing w:before="63" w:beforeLines="20" w:after="63" w:afterLines="20" w:line="0" w:lineRule="atLeast"/>
            </w:pPr>
            <w:r>
              <w:rPr>
                <w:rFonts w:hint="eastAsia"/>
              </w:rPr>
              <w:t>安全继电器</w:t>
            </w:r>
          </w:p>
        </w:tc>
        <w:tc>
          <w:tcPr>
            <w:tcW w:w="2910" w:type="dxa"/>
            <w:tcBorders>
              <w:top w:val="single" w:color="auto" w:sz="4" w:space="0"/>
              <w:left w:val="single" w:color="auto" w:sz="4" w:space="0"/>
              <w:bottom w:val="single" w:color="auto" w:sz="4" w:space="0"/>
              <w:right w:val="single" w:color="auto" w:sz="4" w:space="0"/>
            </w:tcBorders>
            <w:vAlign w:val="center"/>
          </w:tcPr>
          <w:p>
            <w:pPr>
              <w:spacing w:before="63" w:beforeLines="20" w:after="63" w:afterLines="20" w:line="0" w:lineRule="atLeast"/>
            </w:pPr>
            <w:r>
              <w:rPr>
                <w:rFonts w:hint="eastAsia" w:eastAsia="宋体"/>
                <w:sz w:val="19"/>
                <w:szCs w:val="19"/>
                <w:lang w:val="en-US"/>
              </w:rPr>
              <w:t>OMORON</w:t>
            </w:r>
            <w:r>
              <w:rPr>
                <w:rFonts w:hint="eastAsia"/>
              </w:rPr>
              <w:t>或相同等级品牌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0"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pStyle w:val="31"/>
              <w:numPr>
                <w:ilvl w:val="0"/>
                <w:numId w:val="13"/>
              </w:numPr>
              <w:spacing w:before="63" w:beforeLines="20" w:after="63" w:afterLines="20" w:line="0" w:lineRule="atLeast"/>
              <w:ind w:left="846" w:firstLineChars="0"/>
              <w:jc w:val="center"/>
            </w:pPr>
          </w:p>
        </w:tc>
        <w:tc>
          <w:tcPr>
            <w:tcW w:w="2910" w:type="dxa"/>
            <w:tcBorders>
              <w:top w:val="single" w:color="auto" w:sz="4" w:space="0"/>
              <w:left w:val="single" w:color="auto" w:sz="4" w:space="0"/>
              <w:bottom w:val="single" w:color="auto" w:sz="4" w:space="0"/>
              <w:right w:val="single" w:color="auto" w:sz="4" w:space="0"/>
            </w:tcBorders>
            <w:vAlign w:val="top"/>
          </w:tcPr>
          <w:p>
            <w:pPr>
              <w:spacing w:before="63" w:beforeLines="20" w:after="63" w:afterLines="20" w:line="0" w:lineRule="atLeast"/>
            </w:pPr>
            <w:r>
              <w:rPr>
                <w:rFonts w:hint="eastAsia"/>
              </w:rPr>
              <w:t>光纤探头</w:t>
            </w:r>
          </w:p>
        </w:tc>
        <w:tc>
          <w:tcPr>
            <w:tcW w:w="2910" w:type="dxa"/>
            <w:tcBorders>
              <w:top w:val="single" w:color="auto" w:sz="4" w:space="0"/>
              <w:left w:val="single" w:color="auto" w:sz="4" w:space="0"/>
              <w:bottom w:val="single" w:color="auto" w:sz="4" w:space="0"/>
              <w:right w:val="single" w:color="auto" w:sz="4" w:space="0"/>
            </w:tcBorders>
            <w:vAlign w:val="top"/>
          </w:tcPr>
          <w:p>
            <w:pPr>
              <w:spacing w:before="63" w:beforeLines="20" w:after="63" w:afterLines="20" w:line="0" w:lineRule="atLeast"/>
            </w:pPr>
            <w:r>
              <w:rPr>
                <w:rFonts w:eastAsia="宋体"/>
                <w:sz w:val="19"/>
                <w:szCs w:val="19"/>
                <w:lang w:val="en-US"/>
              </w:rPr>
              <w:t>Sick</w:t>
            </w:r>
            <w:r>
              <w:rPr>
                <w:rFonts w:hint="eastAsia"/>
                <w:lang w:eastAsia="zh-CN"/>
              </w:rPr>
              <w:t>或相同等级品牌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0"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pStyle w:val="31"/>
              <w:numPr>
                <w:ilvl w:val="0"/>
                <w:numId w:val="13"/>
              </w:numPr>
              <w:spacing w:before="63" w:beforeLines="20" w:after="63" w:afterLines="20" w:line="0" w:lineRule="atLeast"/>
              <w:ind w:left="846" w:firstLineChars="0"/>
              <w:jc w:val="center"/>
            </w:pPr>
          </w:p>
        </w:tc>
        <w:tc>
          <w:tcPr>
            <w:tcW w:w="2910" w:type="dxa"/>
            <w:tcBorders>
              <w:top w:val="single" w:color="auto" w:sz="4" w:space="0"/>
              <w:left w:val="single" w:color="auto" w:sz="4" w:space="0"/>
              <w:bottom w:val="single" w:color="auto" w:sz="4" w:space="0"/>
              <w:right w:val="single" w:color="auto" w:sz="4" w:space="0"/>
            </w:tcBorders>
            <w:vAlign w:val="center"/>
          </w:tcPr>
          <w:p>
            <w:pPr>
              <w:spacing w:before="63" w:beforeLines="20" w:after="63" w:afterLines="20" w:line="0" w:lineRule="atLeast"/>
            </w:pPr>
            <w:r>
              <w:rPr>
                <w:rFonts w:hint="eastAsia"/>
              </w:rPr>
              <w:t>开关电源</w:t>
            </w:r>
          </w:p>
        </w:tc>
        <w:tc>
          <w:tcPr>
            <w:tcW w:w="2910" w:type="dxa"/>
            <w:tcBorders>
              <w:top w:val="single" w:color="auto" w:sz="4" w:space="0"/>
              <w:left w:val="single" w:color="auto" w:sz="4" w:space="0"/>
              <w:bottom w:val="single" w:color="auto" w:sz="4" w:space="0"/>
              <w:right w:val="single" w:color="auto" w:sz="4" w:space="0"/>
            </w:tcBorders>
            <w:vAlign w:val="center"/>
          </w:tcPr>
          <w:p>
            <w:pPr>
              <w:spacing w:before="63" w:beforeLines="20" w:after="63" w:afterLines="20" w:line="0" w:lineRule="atLeast"/>
            </w:pPr>
            <w:r>
              <w:rPr>
                <w:rFonts w:eastAsia="宋体"/>
                <w:sz w:val="19"/>
                <w:szCs w:val="19"/>
                <w:lang w:val="en-US"/>
              </w:rPr>
              <w:t>Schneider</w:t>
            </w:r>
            <w:r>
              <w:rPr>
                <w:rFonts w:hint="eastAsia"/>
                <w:lang w:eastAsia="zh-CN"/>
              </w:rPr>
              <w:t>或相同等级品牌</w:t>
            </w:r>
          </w:p>
        </w:tc>
      </w:tr>
    </w:tbl>
    <w:p>
      <w:pPr>
        <w:pStyle w:val="35"/>
        <w:spacing w:before="0" w:line="360" w:lineRule="auto"/>
        <w:jc w:val="left"/>
        <w:rPr>
          <w:color w:val="4472C4"/>
          <w:sz w:val="21"/>
          <w:szCs w:val="21"/>
          <w:lang w:eastAsia="zh-CN"/>
        </w:rPr>
      </w:pPr>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382943692">
    <w:nsid w:val="16D341CC"/>
    <w:multiLevelType w:val="multilevel"/>
    <w:tmpl w:val="16D341CC"/>
    <w:lvl w:ilvl="0" w:tentative="1">
      <w:start w:val="1"/>
      <w:numFmt w:val="decimal"/>
      <w:lvlText w:val="URS %1"/>
      <w:lvlJc w:val="left"/>
      <w:pPr>
        <w:ind w:left="846"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262446982">
    <w:nsid w:val="C274FD86"/>
    <w:multiLevelType w:val="singleLevel"/>
    <w:tmpl w:val="C274FD86"/>
    <w:lvl w:ilvl="0" w:tentative="1">
      <w:start w:val="1"/>
      <w:numFmt w:val="decimal"/>
      <w:lvlText w:val="(%1)"/>
      <w:lvlJc w:val="left"/>
      <w:pPr>
        <w:ind w:left="425" w:hanging="425"/>
      </w:pPr>
      <w:rPr>
        <w:rFonts w:hint="default"/>
      </w:rPr>
    </w:lvl>
  </w:abstractNum>
  <w:abstractNum w:abstractNumId="549459576">
    <w:nsid w:val="20C01678"/>
    <w:multiLevelType w:val="multilevel"/>
    <w:tmpl w:val="20C01678"/>
    <w:lvl w:ilvl="0" w:tentative="1">
      <w:start w:val="1"/>
      <w:numFmt w:val="decimal"/>
      <w:suff w:val="nothing"/>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3"/>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3262446982"/>
  </w:num>
  <w:num w:numId="11">
    <w:abstractNumId w:val="196115971"/>
  </w:num>
  <w:num w:numId="12">
    <w:abstractNumId w:val="1419404300"/>
  </w:num>
  <w:num w:numId="13">
    <w:abstractNumId w:val="54945957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720"/>
  <w:drawingGridHorizontalSpacing w:val="120"/>
  <w:drawingGridVerticalSpacing w:val="158"/>
  <w:displayHorizontalDrawingGridEvery w:val="0"/>
  <w:displayVerticalDrawingGridEvery w:val="0"/>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1C6B"/>
    <w:rsid w:val="000169DD"/>
    <w:rsid w:val="00020FEA"/>
    <w:rsid w:val="00021707"/>
    <w:rsid w:val="00022818"/>
    <w:rsid w:val="000233DE"/>
    <w:rsid w:val="00023B07"/>
    <w:rsid w:val="00023CAD"/>
    <w:rsid w:val="0002457E"/>
    <w:rsid w:val="000275E7"/>
    <w:rsid w:val="000303D0"/>
    <w:rsid w:val="00031243"/>
    <w:rsid w:val="00031900"/>
    <w:rsid w:val="00033AF9"/>
    <w:rsid w:val="000355F3"/>
    <w:rsid w:val="00037987"/>
    <w:rsid w:val="00037F15"/>
    <w:rsid w:val="00037F55"/>
    <w:rsid w:val="000404F1"/>
    <w:rsid w:val="00041104"/>
    <w:rsid w:val="00041A2A"/>
    <w:rsid w:val="00041D89"/>
    <w:rsid w:val="00044DFD"/>
    <w:rsid w:val="00045C39"/>
    <w:rsid w:val="000467C2"/>
    <w:rsid w:val="00046B5E"/>
    <w:rsid w:val="00047038"/>
    <w:rsid w:val="00047BA8"/>
    <w:rsid w:val="00047CAF"/>
    <w:rsid w:val="00053A4C"/>
    <w:rsid w:val="00054BB1"/>
    <w:rsid w:val="00054C54"/>
    <w:rsid w:val="00055ED6"/>
    <w:rsid w:val="00056478"/>
    <w:rsid w:val="00056825"/>
    <w:rsid w:val="00056AE2"/>
    <w:rsid w:val="00056E9E"/>
    <w:rsid w:val="00057046"/>
    <w:rsid w:val="000576C2"/>
    <w:rsid w:val="000634A1"/>
    <w:rsid w:val="00063572"/>
    <w:rsid w:val="00063B90"/>
    <w:rsid w:val="00064A43"/>
    <w:rsid w:val="000662D2"/>
    <w:rsid w:val="00071C11"/>
    <w:rsid w:val="00071DD4"/>
    <w:rsid w:val="00072340"/>
    <w:rsid w:val="00072945"/>
    <w:rsid w:val="00073B81"/>
    <w:rsid w:val="0007673E"/>
    <w:rsid w:val="00077AE1"/>
    <w:rsid w:val="0008011A"/>
    <w:rsid w:val="000818AC"/>
    <w:rsid w:val="00082C13"/>
    <w:rsid w:val="00083D58"/>
    <w:rsid w:val="000844A8"/>
    <w:rsid w:val="00084F90"/>
    <w:rsid w:val="00086CA0"/>
    <w:rsid w:val="00087002"/>
    <w:rsid w:val="00087A5B"/>
    <w:rsid w:val="00091A59"/>
    <w:rsid w:val="00092C03"/>
    <w:rsid w:val="000956EF"/>
    <w:rsid w:val="00096510"/>
    <w:rsid w:val="00097A7D"/>
    <w:rsid w:val="00097CA2"/>
    <w:rsid w:val="000A1D9E"/>
    <w:rsid w:val="000A2664"/>
    <w:rsid w:val="000A2851"/>
    <w:rsid w:val="000A2C3C"/>
    <w:rsid w:val="000A41DA"/>
    <w:rsid w:val="000A55CC"/>
    <w:rsid w:val="000A5CEE"/>
    <w:rsid w:val="000A6423"/>
    <w:rsid w:val="000A6661"/>
    <w:rsid w:val="000A6A09"/>
    <w:rsid w:val="000A762B"/>
    <w:rsid w:val="000B02ED"/>
    <w:rsid w:val="000B02FD"/>
    <w:rsid w:val="000B068C"/>
    <w:rsid w:val="000B1B46"/>
    <w:rsid w:val="000B2797"/>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3406"/>
    <w:rsid w:val="000E41B5"/>
    <w:rsid w:val="000E51FF"/>
    <w:rsid w:val="000E5684"/>
    <w:rsid w:val="000E5B57"/>
    <w:rsid w:val="000F0D08"/>
    <w:rsid w:val="000F2CD3"/>
    <w:rsid w:val="000F36B9"/>
    <w:rsid w:val="000F3A00"/>
    <w:rsid w:val="000F4037"/>
    <w:rsid w:val="000F4E03"/>
    <w:rsid w:val="000F606A"/>
    <w:rsid w:val="000F60BB"/>
    <w:rsid w:val="000F706D"/>
    <w:rsid w:val="00100F65"/>
    <w:rsid w:val="0010110F"/>
    <w:rsid w:val="00102DC9"/>
    <w:rsid w:val="001031DF"/>
    <w:rsid w:val="00103565"/>
    <w:rsid w:val="00103F05"/>
    <w:rsid w:val="00104160"/>
    <w:rsid w:val="0010503D"/>
    <w:rsid w:val="00105242"/>
    <w:rsid w:val="001055DD"/>
    <w:rsid w:val="00106571"/>
    <w:rsid w:val="00106B5D"/>
    <w:rsid w:val="00110CF0"/>
    <w:rsid w:val="001120B7"/>
    <w:rsid w:val="0011231F"/>
    <w:rsid w:val="00112670"/>
    <w:rsid w:val="00112DD4"/>
    <w:rsid w:val="00112F30"/>
    <w:rsid w:val="00113FFF"/>
    <w:rsid w:val="00114353"/>
    <w:rsid w:val="001144F0"/>
    <w:rsid w:val="00115728"/>
    <w:rsid w:val="001163FC"/>
    <w:rsid w:val="00116F39"/>
    <w:rsid w:val="00117A01"/>
    <w:rsid w:val="00121439"/>
    <w:rsid w:val="00121B6E"/>
    <w:rsid w:val="00122051"/>
    <w:rsid w:val="00124244"/>
    <w:rsid w:val="00124915"/>
    <w:rsid w:val="00124E69"/>
    <w:rsid w:val="00125CC1"/>
    <w:rsid w:val="001273B0"/>
    <w:rsid w:val="00127758"/>
    <w:rsid w:val="00127CB8"/>
    <w:rsid w:val="001313C3"/>
    <w:rsid w:val="00132F4C"/>
    <w:rsid w:val="00134C68"/>
    <w:rsid w:val="00135CF4"/>
    <w:rsid w:val="00135FD6"/>
    <w:rsid w:val="001374CF"/>
    <w:rsid w:val="00141395"/>
    <w:rsid w:val="001417F1"/>
    <w:rsid w:val="00143952"/>
    <w:rsid w:val="001442AB"/>
    <w:rsid w:val="0014477D"/>
    <w:rsid w:val="00144D00"/>
    <w:rsid w:val="00145034"/>
    <w:rsid w:val="0014560D"/>
    <w:rsid w:val="00145DC7"/>
    <w:rsid w:val="00145F74"/>
    <w:rsid w:val="00146568"/>
    <w:rsid w:val="00150BCC"/>
    <w:rsid w:val="00151F17"/>
    <w:rsid w:val="001541A9"/>
    <w:rsid w:val="001549D1"/>
    <w:rsid w:val="00154CD3"/>
    <w:rsid w:val="00155295"/>
    <w:rsid w:val="001560AD"/>
    <w:rsid w:val="0015633E"/>
    <w:rsid w:val="0015752C"/>
    <w:rsid w:val="0016077F"/>
    <w:rsid w:val="00160CEA"/>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1D36"/>
    <w:rsid w:val="00182A27"/>
    <w:rsid w:val="001838D1"/>
    <w:rsid w:val="00184DDD"/>
    <w:rsid w:val="00184FFD"/>
    <w:rsid w:val="00185449"/>
    <w:rsid w:val="00186314"/>
    <w:rsid w:val="00187B04"/>
    <w:rsid w:val="00190000"/>
    <w:rsid w:val="001929C2"/>
    <w:rsid w:val="00192B8F"/>
    <w:rsid w:val="00192DE4"/>
    <w:rsid w:val="00193D66"/>
    <w:rsid w:val="00194BB7"/>
    <w:rsid w:val="001A1DE7"/>
    <w:rsid w:val="001A3BB0"/>
    <w:rsid w:val="001A4947"/>
    <w:rsid w:val="001A64C0"/>
    <w:rsid w:val="001A685F"/>
    <w:rsid w:val="001A7EB6"/>
    <w:rsid w:val="001A7FE4"/>
    <w:rsid w:val="001B0278"/>
    <w:rsid w:val="001B28C8"/>
    <w:rsid w:val="001B4654"/>
    <w:rsid w:val="001B6432"/>
    <w:rsid w:val="001C017B"/>
    <w:rsid w:val="001C239E"/>
    <w:rsid w:val="001C2D7E"/>
    <w:rsid w:val="001D1FA0"/>
    <w:rsid w:val="001D32D4"/>
    <w:rsid w:val="001D3645"/>
    <w:rsid w:val="001D3C96"/>
    <w:rsid w:val="001D4383"/>
    <w:rsid w:val="001D4742"/>
    <w:rsid w:val="001D474B"/>
    <w:rsid w:val="001D48B0"/>
    <w:rsid w:val="001D5549"/>
    <w:rsid w:val="001E0376"/>
    <w:rsid w:val="001E13E0"/>
    <w:rsid w:val="001E2B2B"/>
    <w:rsid w:val="001E353E"/>
    <w:rsid w:val="001E3CBE"/>
    <w:rsid w:val="001E4ED9"/>
    <w:rsid w:val="001E5657"/>
    <w:rsid w:val="001E5F94"/>
    <w:rsid w:val="001E744F"/>
    <w:rsid w:val="001F0557"/>
    <w:rsid w:val="001F065A"/>
    <w:rsid w:val="001F1FE7"/>
    <w:rsid w:val="001F25DD"/>
    <w:rsid w:val="001F3552"/>
    <w:rsid w:val="001F473D"/>
    <w:rsid w:val="001F4BFD"/>
    <w:rsid w:val="001F7405"/>
    <w:rsid w:val="001F7E95"/>
    <w:rsid w:val="00201487"/>
    <w:rsid w:val="00202219"/>
    <w:rsid w:val="00203D68"/>
    <w:rsid w:val="0020539A"/>
    <w:rsid w:val="00205E00"/>
    <w:rsid w:val="00206107"/>
    <w:rsid w:val="002070B2"/>
    <w:rsid w:val="0020756B"/>
    <w:rsid w:val="002077E5"/>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27E58"/>
    <w:rsid w:val="002320D9"/>
    <w:rsid w:val="0023357E"/>
    <w:rsid w:val="00234C07"/>
    <w:rsid w:val="002355FF"/>
    <w:rsid w:val="002367A6"/>
    <w:rsid w:val="00236BE9"/>
    <w:rsid w:val="00237E6C"/>
    <w:rsid w:val="00240A09"/>
    <w:rsid w:val="00240B1E"/>
    <w:rsid w:val="00241437"/>
    <w:rsid w:val="0024325F"/>
    <w:rsid w:val="00245088"/>
    <w:rsid w:val="00253242"/>
    <w:rsid w:val="0025467F"/>
    <w:rsid w:val="002547BF"/>
    <w:rsid w:val="002548CA"/>
    <w:rsid w:val="0025531B"/>
    <w:rsid w:val="0025604C"/>
    <w:rsid w:val="002560F9"/>
    <w:rsid w:val="00257517"/>
    <w:rsid w:val="00257FA9"/>
    <w:rsid w:val="00261CD0"/>
    <w:rsid w:val="00261F30"/>
    <w:rsid w:val="002637FB"/>
    <w:rsid w:val="00263CB5"/>
    <w:rsid w:val="0026571F"/>
    <w:rsid w:val="002669B0"/>
    <w:rsid w:val="0027137F"/>
    <w:rsid w:val="002723D2"/>
    <w:rsid w:val="002732E5"/>
    <w:rsid w:val="002745D9"/>
    <w:rsid w:val="00274823"/>
    <w:rsid w:val="0027577D"/>
    <w:rsid w:val="00275F43"/>
    <w:rsid w:val="002810E3"/>
    <w:rsid w:val="0028298A"/>
    <w:rsid w:val="00282EAA"/>
    <w:rsid w:val="0028384D"/>
    <w:rsid w:val="0028525D"/>
    <w:rsid w:val="00285DCC"/>
    <w:rsid w:val="002860DB"/>
    <w:rsid w:val="00286CE5"/>
    <w:rsid w:val="00287EC5"/>
    <w:rsid w:val="0029023F"/>
    <w:rsid w:val="002913B7"/>
    <w:rsid w:val="00291541"/>
    <w:rsid w:val="00291879"/>
    <w:rsid w:val="00291C5E"/>
    <w:rsid w:val="00292353"/>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C55B9"/>
    <w:rsid w:val="002C796E"/>
    <w:rsid w:val="002D0253"/>
    <w:rsid w:val="002D03CD"/>
    <w:rsid w:val="002D2477"/>
    <w:rsid w:val="002D2AAB"/>
    <w:rsid w:val="002D691F"/>
    <w:rsid w:val="002D6A50"/>
    <w:rsid w:val="002D6D1C"/>
    <w:rsid w:val="002E077F"/>
    <w:rsid w:val="002E1D21"/>
    <w:rsid w:val="002E3B36"/>
    <w:rsid w:val="002E59BF"/>
    <w:rsid w:val="002E63F6"/>
    <w:rsid w:val="002E69A1"/>
    <w:rsid w:val="002F1C5E"/>
    <w:rsid w:val="002F1D63"/>
    <w:rsid w:val="002F340E"/>
    <w:rsid w:val="002F35E4"/>
    <w:rsid w:val="002F4392"/>
    <w:rsid w:val="002F4641"/>
    <w:rsid w:val="002F4B22"/>
    <w:rsid w:val="002F709F"/>
    <w:rsid w:val="00301214"/>
    <w:rsid w:val="00302176"/>
    <w:rsid w:val="00302AF8"/>
    <w:rsid w:val="00303A64"/>
    <w:rsid w:val="00304F42"/>
    <w:rsid w:val="00304F96"/>
    <w:rsid w:val="00305477"/>
    <w:rsid w:val="00306131"/>
    <w:rsid w:val="00311B2C"/>
    <w:rsid w:val="00311B57"/>
    <w:rsid w:val="00311EE4"/>
    <w:rsid w:val="0031318B"/>
    <w:rsid w:val="003137B7"/>
    <w:rsid w:val="00314406"/>
    <w:rsid w:val="003148D1"/>
    <w:rsid w:val="00314CFF"/>
    <w:rsid w:val="00315038"/>
    <w:rsid w:val="00315C3E"/>
    <w:rsid w:val="00316A21"/>
    <w:rsid w:val="00316EEF"/>
    <w:rsid w:val="003172B7"/>
    <w:rsid w:val="00320B94"/>
    <w:rsid w:val="00321298"/>
    <w:rsid w:val="00321D97"/>
    <w:rsid w:val="00323423"/>
    <w:rsid w:val="003240E5"/>
    <w:rsid w:val="00324B23"/>
    <w:rsid w:val="003257E0"/>
    <w:rsid w:val="00325FFA"/>
    <w:rsid w:val="00330D16"/>
    <w:rsid w:val="00330FFF"/>
    <w:rsid w:val="00333C91"/>
    <w:rsid w:val="0033695C"/>
    <w:rsid w:val="00336E75"/>
    <w:rsid w:val="00341B2F"/>
    <w:rsid w:val="00342915"/>
    <w:rsid w:val="00343026"/>
    <w:rsid w:val="00344B04"/>
    <w:rsid w:val="00345847"/>
    <w:rsid w:val="00347576"/>
    <w:rsid w:val="00347772"/>
    <w:rsid w:val="00347A51"/>
    <w:rsid w:val="00347B19"/>
    <w:rsid w:val="003521CD"/>
    <w:rsid w:val="003531FA"/>
    <w:rsid w:val="0035416F"/>
    <w:rsid w:val="003549FE"/>
    <w:rsid w:val="00355AAC"/>
    <w:rsid w:val="00355D7D"/>
    <w:rsid w:val="003647CA"/>
    <w:rsid w:val="00365927"/>
    <w:rsid w:val="00370514"/>
    <w:rsid w:val="0037056A"/>
    <w:rsid w:val="003726DF"/>
    <w:rsid w:val="0037345A"/>
    <w:rsid w:val="00373FFA"/>
    <w:rsid w:val="0037455F"/>
    <w:rsid w:val="00376C31"/>
    <w:rsid w:val="00376D4D"/>
    <w:rsid w:val="00380EB7"/>
    <w:rsid w:val="003810F5"/>
    <w:rsid w:val="00381C39"/>
    <w:rsid w:val="00381CF6"/>
    <w:rsid w:val="0038326A"/>
    <w:rsid w:val="0038367F"/>
    <w:rsid w:val="00385002"/>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B7A75"/>
    <w:rsid w:val="003C02C6"/>
    <w:rsid w:val="003C03D7"/>
    <w:rsid w:val="003C0712"/>
    <w:rsid w:val="003C552D"/>
    <w:rsid w:val="003C558E"/>
    <w:rsid w:val="003C6ECF"/>
    <w:rsid w:val="003C73BC"/>
    <w:rsid w:val="003D2243"/>
    <w:rsid w:val="003D3C09"/>
    <w:rsid w:val="003D464A"/>
    <w:rsid w:val="003D4EFF"/>
    <w:rsid w:val="003D5F4A"/>
    <w:rsid w:val="003D662C"/>
    <w:rsid w:val="003D77E5"/>
    <w:rsid w:val="003D7980"/>
    <w:rsid w:val="003E49F8"/>
    <w:rsid w:val="003E5109"/>
    <w:rsid w:val="003E5507"/>
    <w:rsid w:val="003E60EE"/>
    <w:rsid w:val="003E6B48"/>
    <w:rsid w:val="003E748F"/>
    <w:rsid w:val="003F3F47"/>
    <w:rsid w:val="003F6E0C"/>
    <w:rsid w:val="004003A8"/>
    <w:rsid w:val="0040240E"/>
    <w:rsid w:val="00402756"/>
    <w:rsid w:val="00404175"/>
    <w:rsid w:val="00405B3A"/>
    <w:rsid w:val="004074DC"/>
    <w:rsid w:val="004111CC"/>
    <w:rsid w:val="004122A3"/>
    <w:rsid w:val="00413DEC"/>
    <w:rsid w:val="004153CC"/>
    <w:rsid w:val="00416E8B"/>
    <w:rsid w:val="00420273"/>
    <w:rsid w:val="00420AA0"/>
    <w:rsid w:val="0042116C"/>
    <w:rsid w:val="00422D19"/>
    <w:rsid w:val="00422DFE"/>
    <w:rsid w:val="00422E13"/>
    <w:rsid w:val="00424D83"/>
    <w:rsid w:val="00424E29"/>
    <w:rsid w:val="004274B4"/>
    <w:rsid w:val="00427D22"/>
    <w:rsid w:val="00427E2D"/>
    <w:rsid w:val="00432568"/>
    <w:rsid w:val="004362D4"/>
    <w:rsid w:val="00436C7C"/>
    <w:rsid w:val="00437440"/>
    <w:rsid w:val="00440378"/>
    <w:rsid w:val="00442B53"/>
    <w:rsid w:val="00443256"/>
    <w:rsid w:val="00444B57"/>
    <w:rsid w:val="00444D2D"/>
    <w:rsid w:val="004510B1"/>
    <w:rsid w:val="00451C5D"/>
    <w:rsid w:val="00451D74"/>
    <w:rsid w:val="00452E73"/>
    <w:rsid w:val="00453375"/>
    <w:rsid w:val="004565EF"/>
    <w:rsid w:val="00457FF9"/>
    <w:rsid w:val="004601ED"/>
    <w:rsid w:val="00460711"/>
    <w:rsid w:val="0046108B"/>
    <w:rsid w:val="00462B1B"/>
    <w:rsid w:val="00467AE6"/>
    <w:rsid w:val="00467EC9"/>
    <w:rsid w:val="00477791"/>
    <w:rsid w:val="00480286"/>
    <w:rsid w:val="00480C3B"/>
    <w:rsid w:val="00480FE3"/>
    <w:rsid w:val="004815CC"/>
    <w:rsid w:val="00481C94"/>
    <w:rsid w:val="00482BCD"/>
    <w:rsid w:val="00482D58"/>
    <w:rsid w:val="00484A8D"/>
    <w:rsid w:val="00486A4E"/>
    <w:rsid w:val="00486B09"/>
    <w:rsid w:val="00490CB5"/>
    <w:rsid w:val="0049139F"/>
    <w:rsid w:val="00494F07"/>
    <w:rsid w:val="00496116"/>
    <w:rsid w:val="004965A0"/>
    <w:rsid w:val="00497335"/>
    <w:rsid w:val="004A05A7"/>
    <w:rsid w:val="004A2E6B"/>
    <w:rsid w:val="004A3F98"/>
    <w:rsid w:val="004A5532"/>
    <w:rsid w:val="004A5958"/>
    <w:rsid w:val="004A76DF"/>
    <w:rsid w:val="004B0A75"/>
    <w:rsid w:val="004B2190"/>
    <w:rsid w:val="004B69B2"/>
    <w:rsid w:val="004B7507"/>
    <w:rsid w:val="004B7DC4"/>
    <w:rsid w:val="004B7F85"/>
    <w:rsid w:val="004C099B"/>
    <w:rsid w:val="004C42AE"/>
    <w:rsid w:val="004C43C0"/>
    <w:rsid w:val="004C49B0"/>
    <w:rsid w:val="004C4F53"/>
    <w:rsid w:val="004C4F7F"/>
    <w:rsid w:val="004C592E"/>
    <w:rsid w:val="004D050F"/>
    <w:rsid w:val="004D0E3A"/>
    <w:rsid w:val="004D1A73"/>
    <w:rsid w:val="004D48C2"/>
    <w:rsid w:val="004D537A"/>
    <w:rsid w:val="004D67B1"/>
    <w:rsid w:val="004D7128"/>
    <w:rsid w:val="004D751D"/>
    <w:rsid w:val="004E05C2"/>
    <w:rsid w:val="004E0B02"/>
    <w:rsid w:val="004E0B71"/>
    <w:rsid w:val="004E0C0D"/>
    <w:rsid w:val="004E0DCE"/>
    <w:rsid w:val="004E1378"/>
    <w:rsid w:val="004E13DC"/>
    <w:rsid w:val="004E255F"/>
    <w:rsid w:val="004E4C2D"/>
    <w:rsid w:val="004E547A"/>
    <w:rsid w:val="004E561F"/>
    <w:rsid w:val="004E5CFB"/>
    <w:rsid w:val="004F0539"/>
    <w:rsid w:val="004F0885"/>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02A"/>
    <w:rsid w:val="00517A5D"/>
    <w:rsid w:val="00517E1E"/>
    <w:rsid w:val="005217E8"/>
    <w:rsid w:val="005220FE"/>
    <w:rsid w:val="00523A6E"/>
    <w:rsid w:val="005247DE"/>
    <w:rsid w:val="00530B8F"/>
    <w:rsid w:val="00531434"/>
    <w:rsid w:val="00531754"/>
    <w:rsid w:val="00534708"/>
    <w:rsid w:val="00534840"/>
    <w:rsid w:val="00534973"/>
    <w:rsid w:val="00534D08"/>
    <w:rsid w:val="00536973"/>
    <w:rsid w:val="00536C6B"/>
    <w:rsid w:val="00544652"/>
    <w:rsid w:val="0054625B"/>
    <w:rsid w:val="00551539"/>
    <w:rsid w:val="00552EFE"/>
    <w:rsid w:val="00554ABB"/>
    <w:rsid w:val="0055552D"/>
    <w:rsid w:val="00555668"/>
    <w:rsid w:val="0055679E"/>
    <w:rsid w:val="0056090D"/>
    <w:rsid w:val="0056189B"/>
    <w:rsid w:val="00561E9C"/>
    <w:rsid w:val="00565C7A"/>
    <w:rsid w:val="00567E14"/>
    <w:rsid w:val="005705A7"/>
    <w:rsid w:val="00570FEA"/>
    <w:rsid w:val="0057277E"/>
    <w:rsid w:val="005727C5"/>
    <w:rsid w:val="00572F0E"/>
    <w:rsid w:val="00574742"/>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01C3"/>
    <w:rsid w:val="005A1155"/>
    <w:rsid w:val="005A132A"/>
    <w:rsid w:val="005A1A3F"/>
    <w:rsid w:val="005A337C"/>
    <w:rsid w:val="005A34B0"/>
    <w:rsid w:val="005A35AE"/>
    <w:rsid w:val="005A3ECF"/>
    <w:rsid w:val="005A6821"/>
    <w:rsid w:val="005B2393"/>
    <w:rsid w:val="005B7490"/>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D5AC1"/>
    <w:rsid w:val="005D660E"/>
    <w:rsid w:val="005E0E90"/>
    <w:rsid w:val="005E19BE"/>
    <w:rsid w:val="005E2725"/>
    <w:rsid w:val="005E4F3A"/>
    <w:rsid w:val="005E65FA"/>
    <w:rsid w:val="005F19CE"/>
    <w:rsid w:val="005F28F4"/>
    <w:rsid w:val="005F43BB"/>
    <w:rsid w:val="005F4C81"/>
    <w:rsid w:val="005F503E"/>
    <w:rsid w:val="005F6CB3"/>
    <w:rsid w:val="005F7612"/>
    <w:rsid w:val="005F7663"/>
    <w:rsid w:val="005F7D63"/>
    <w:rsid w:val="00607170"/>
    <w:rsid w:val="00607408"/>
    <w:rsid w:val="00610AEE"/>
    <w:rsid w:val="006141AB"/>
    <w:rsid w:val="00616BAC"/>
    <w:rsid w:val="00620598"/>
    <w:rsid w:val="0062081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46B48"/>
    <w:rsid w:val="006500A5"/>
    <w:rsid w:val="006506CF"/>
    <w:rsid w:val="00650A76"/>
    <w:rsid w:val="00650CD0"/>
    <w:rsid w:val="00650DA4"/>
    <w:rsid w:val="00651DA5"/>
    <w:rsid w:val="00652D22"/>
    <w:rsid w:val="00656797"/>
    <w:rsid w:val="006571EC"/>
    <w:rsid w:val="0066086B"/>
    <w:rsid w:val="00660A8C"/>
    <w:rsid w:val="006622A3"/>
    <w:rsid w:val="006632B2"/>
    <w:rsid w:val="00664084"/>
    <w:rsid w:val="0066445E"/>
    <w:rsid w:val="00667045"/>
    <w:rsid w:val="00670A00"/>
    <w:rsid w:val="00670C23"/>
    <w:rsid w:val="006719FA"/>
    <w:rsid w:val="00672B86"/>
    <w:rsid w:val="00673031"/>
    <w:rsid w:val="00673EB3"/>
    <w:rsid w:val="00680BE8"/>
    <w:rsid w:val="00686409"/>
    <w:rsid w:val="00686D19"/>
    <w:rsid w:val="0068777F"/>
    <w:rsid w:val="00693018"/>
    <w:rsid w:val="0069588C"/>
    <w:rsid w:val="006A0059"/>
    <w:rsid w:val="006A7425"/>
    <w:rsid w:val="006B0425"/>
    <w:rsid w:val="006B058A"/>
    <w:rsid w:val="006B1299"/>
    <w:rsid w:val="006B26D9"/>
    <w:rsid w:val="006B310C"/>
    <w:rsid w:val="006B664C"/>
    <w:rsid w:val="006C1125"/>
    <w:rsid w:val="006C1C83"/>
    <w:rsid w:val="006C3E78"/>
    <w:rsid w:val="006C54E6"/>
    <w:rsid w:val="006C5762"/>
    <w:rsid w:val="006C690D"/>
    <w:rsid w:val="006D0A74"/>
    <w:rsid w:val="006D149F"/>
    <w:rsid w:val="006D3396"/>
    <w:rsid w:val="006D5AFF"/>
    <w:rsid w:val="006E050C"/>
    <w:rsid w:val="006E152B"/>
    <w:rsid w:val="006E36D1"/>
    <w:rsid w:val="006E4002"/>
    <w:rsid w:val="006E4DB6"/>
    <w:rsid w:val="006E622E"/>
    <w:rsid w:val="006E7938"/>
    <w:rsid w:val="006E79FB"/>
    <w:rsid w:val="006F1F51"/>
    <w:rsid w:val="006F229A"/>
    <w:rsid w:val="006F3BB9"/>
    <w:rsid w:val="006F4AA6"/>
    <w:rsid w:val="006F598E"/>
    <w:rsid w:val="006F689B"/>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17B57"/>
    <w:rsid w:val="00720A17"/>
    <w:rsid w:val="00720D4B"/>
    <w:rsid w:val="00723A0F"/>
    <w:rsid w:val="00726CB6"/>
    <w:rsid w:val="00727255"/>
    <w:rsid w:val="0072779B"/>
    <w:rsid w:val="00727CCF"/>
    <w:rsid w:val="0073446D"/>
    <w:rsid w:val="007349FF"/>
    <w:rsid w:val="00734B45"/>
    <w:rsid w:val="00736FFB"/>
    <w:rsid w:val="00740080"/>
    <w:rsid w:val="00740913"/>
    <w:rsid w:val="00741A30"/>
    <w:rsid w:val="0074460C"/>
    <w:rsid w:val="007504DC"/>
    <w:rsid w:val="0075142F"/>
    <w:rsid w:val="00751965"/>
    <w:rsid w:val="007524EF"/>
    <w:rsid w:val="00752689"/>
    <w:rsid w:val="00756D1D"/>
    <w:rsid w:val="00757A3E"/>
    <w:rsid w:val="00760886"/>
    <w:rsid w:val="007615CA"/>
    <w:rsid w:val="00761ADD"/>
    <w:rsid w:val="00762B3A"/>
    <w:rsid w:val="00764A0C"/>
    <w:rsid w:val="00765449"/>
    <w:rsid w:val="00765D6E"/>
    <w:rsid w:val="00765D7E"/>
    <w:rsid w:val="007674B6"/>
    <w:rsid w:val="00770E90"/>
    <w:rsid w:val="00771324"/>
    <w:rsid w:val="0077166F"/>
    <w:rsid w:val="00772C42"/>
    <w:rsid w:val="0077302F"/>
    <w:rsid w:val="00773661"/>
    <w:rsid w:val="00774A61"/>
    <w:rsid w:val="00774E08"/>
    <w:rsid w:val="00774E72"/>
    <w:rsid w:val="0077746F"/>
    <w:rsid w:val="007775FE"/>
    <w:rsid w:val="00780A5F"/>
    <w:rsid w:val="007819DD"/>
    <w:rsid w:val="00784913"/>
    <w:rsid w:val="00785B90"/>
    <w:rsid w:val="0078639C"/>
    <w:rsid w:val="007913D3"/>
    <w:rsid w:val="00791798"/>
    <w:rsid w:val="0079790C"/>
    <w:rsid w:val="00797AD7"/>
    <w:rsid w:val="007A102A"/>
    <w:rsid w:val="007A15E6"/>
    <w:rsid w:val="007A194B"/>
    <w:rsid w:val="007A2C01"/>
    <w:rsid w:val="007A4BCD"/>
    <w:rsid w:val="007A5714"/>
    <w:rsid w:val="007A5EFA"/>
    <w:rsid w:val="007A6821"/>
    <w:rsid w:val="007A75EF"/>
    <w:rsid w:val="007B03B6"/>
    <w:rsid w:val="007B1257"/>
    <w:rsid w:val="007B33CC"/>
    <w:rsid w:val="007B4133"/>
    <w:rsid w:val="007B49F4"/>
    <w:rsid w:val="007B6560"/>
    <w:rsid w:val="007B7AB4"/>
    <w:rsid w:val="007C2405"/>
    <w:rsid w:val="007C2A54"/>
    <w:rsid w:val="007C2B69"/>
    <w:rsid w:val="007C2DC1"/>
    <w:rsid w:val="007C3468"/>
    <w:rsid w:val="007C3B05"/>
    <w:rsid w:val="007C3D25"/>
    <w:rsid w:val="007C4998"/>
    <w:rsid w:val="007C668F"/>
    <w:rsid w:val="007C723F"/>
    <w:rsid w:val="007C751C"/>
    <w:rsid w:val="007C778D"/>
    <w:rsid w:val="007D07D6"/>
    <w:rsid w:val="007D18A6"/>
    <w:rsid w:val="007D1CA0"/>
    <w:rsid w:val="007D2DF5"/>
    <w:rsid w:val="007D3D3C"/>
    <w:rsid w:val="007D4994"/>
    <w:rsid w:val="007D4BB3"/>
    <w:rsid w:val="007D4F6E"/>
    <w:rsid w:val="007D5ECD"/>
    <w:rsid w:val="007D61CA"/>
    <w:rsid w:val="007D6DCF"/>
    <w:rsid w:val="007D6F0D"/>
    <w:rsid w:val="007D7963"/>
    <w:rsid w:val="007E3532"/>
    <w:rsid w:val="007E5B9A"/>
    <w:rsid w:val="007E5FE3"/>
    <w:rsid w:val="007E64DF"/>
    <w:rsid w:val="007E657D"/>
    <w:rsid w:val="007E7119"/>
    <w:rsid w:val="007E71BB"/>
    <w:rsid w:val="007E7B90"/>
    <w:rsid w:val="007E7C13"/>
    <w:rsid w:val="007F2464"/>
    <w:rsid w:val="007F3DBB"/>
    <w:rsid w:val="007F4A64"/>
    <w:rsid w:val="007F4ADE"/>
    <w:rsid w:val="007F5A5A"/>
    <w:rsid w:val="007F5EDC"/>
    <w:rsid w:val="007F7C49"/>
    <w:rsid w:val="00800AFD"/>
    <w:rsid w:val="00800C1B"/>
    <w:rsid w:val="0080239D"/>
    <w:rsid w:val="00803CF3"/>
    <w:rsid w:val="00806EAB"/>
    <w:rsid w:val="00810E52"/>
    <w:rsid w:val="00811CA7"/>
    <w:rsid w:val="0081636E"/>
    <w:rsid w:val="0082112E"/>
    <w:rsid w:val="00822F2B"/>
    <w:rsid w:val="00823D9A"/>
    <w:rsid w:val="0082510D"/>
    <w:rsid w:val="008276EB"/>
    <w:rsid w:val="00827EA4"/>
    <w:rsid w:val="008301D6"/>
    <w:rsid w:val="00830443"/>
    <w:rsid w:val="008305B7"/>
    <w:rsid w:val="00830C78"/>
    <w:rsid w:val="00830FB9"/>
    <w:rsid w:val="00834968"/>
    <w:rsid w:val="00834B53"/>
    <w:rsid w:val="00836138"/>
    <w:rsid w:val="00840298"/>
    <w:rsid w:val="00841BE4"/>
    <w:rsid w:val="00845A53"/>
    <w:rsid w:val="00847E8C"/>
    <w:rsid w:val="008505E1"/>
    <w:rsid w:val="00850B19"/>
    <w:rsid w:val="00852488"/>
    <w:rsid w:val="0085405E"/>
    <w:rsid w:val="008571DD"/>
    <w:rsid w:val="0085772E"/>
    <w:rsid w:val="00860344"/>
    <w:rsid w:val="00860E2C"/>
    <w:rsid w:val="00864BC6"/>
    <w:rsid w:val="00864D37"/>
    <w:rsid w:val="00865BC7"/>
    <w:rsid w:val="00865EE6"/>
    <w:rsid w:val="00870489"/>
    <w:rsid w:val="00870D23"/>
    <w:rsid w:val="00872B72"/>
    <w:rsid w:val="00873022"/>
    <w:rsid w:val="00876468"/>
    <w:rsid w:val="008767E1"/>
    <w:rsid w:val="00876A1F"/>
    <w:rsid w:val="00876CC7"/>
    <w:rsid w:val="008823E4"/>
    <w:rsid w:val="008837C4"/>
    <w:rsid w:val="008849F3"/>
    <w:rsid w:val="00884E78"/>
    <w:rsid w:val="0088673B"/>
    <w:rsid w:val="00887265"/>
    <w:rsid w:val="00887500"/>
    <w:rsid w:val="008905AD"/>
    <w:rsid w:val="00891440"/>
    <w:rsid w:val="00891D8A"/>
    <w:rsid w:val="008920F2"/>
    <w:rsid w:val="0089348A"/>
    <w:rsid w:val="00894E9F"/>
    <w:rsid w:val="00895424"/>
    <w:rsid w:val="0089687A"/>
    <w:rsid w:val="00896CEC"/>
    <w:rsid w:val="00897002"/>
    <w:rsid w:val="008A06BC"/>
    <w:rsid w:val="008A0AA3"/>
    <w:rsid w:val="008A0EAA"/>
    <w:rsid w:val="008A149F"/>
    <w:rsid w:val="008A19FD"/>
    <w:rsid w:val="008A1A25"/>
    <w:rsid w:val="008A4E05"/>
    <w:rsid w:val="008A56DB"/>
    <w:rsid w:val="008A5F76"/>
    <w:rsid w:val="008A6CFC"/>
    <w:rsid w:val="008B2125"/>
    <w:rsid w:val="008B25D4"/>
    <w:rsid w:val="008B38E5"/>
    <w:rsid w:val="008B58C4"/>
    <w:rsid w:val="008B6CD2"/>
    <w:rsid w:val="008B72DD"/>
    <w:rsid w:val="008C050B"/>
    <w:rsid w:val="008C1132"/>
    <w:rsid w:val="008C2B77"/>
    <w:rsid w:val="008C302A"/>
    <w:rsid w:val="008C3E42"/>
    <w:rsid w:val="008C4B72"/>
    <w:rsid w:val="008C5279"/>
    <w:rsid w:val="008C527D"/>
    <w:rsid w:val="008C5C9F"/>
    <w:rsid w:val="008C6773"/>
    <w:rsid w:val="008C72BB"/>
    <w:rsid w:val="008D140C"/>
    <w:rsid w:val="008D246F"/>
    <w:rsid w:val="008D2BAE"/>
    <w:rsid w:val="008D2C9E"/>
    <w:rsid w:val="008D41F5"/>
    <w:rsid w:val="008D521F"/>
    <w:rsid w:val="008D5C06"/>
    <w:rsid w:val="008D5E3E"/>
    <w:rsid w:val="008D6227"/>
    <w:rsid w:val="008D7A8B"/>
    <w:rsid w:val="008D7E82"/>
    <w:rsid w:val="008E28AA"/>
    <w:rsid w:val="008E41D3"/>
    <w:rsid w:val="008E43F1"/>
    <w:rsid w:val="008E4407"/>
    <w:rsid w:val="008E594F"/>
    <w:rsid w:val="008E7312"/>
    <w:rsid w:val="008F297F"/>
    <w:rsid w:val="008F447E"/>
    <w:rsid w:val="008F5FF3"/>
    <w:rsid w:val="00904BA9"/>
    <w:rsid w:val="00904E7E"/>
    <w:rsid w:val="009076D4"/>
    <w:rsid w:val="0091086B"/>
    <w:rsid w:val="00911129"/>
    <w:rsid w:val="00912EA3"/>
    <w:rsid w:val="009135C7"/>
    <w:rsid w:val="00914B6E"/>
    <w:rsid w:val="009156A2"/>
    <w:rsid w:val="0091579A"/>
    <w:rsid w:val="0091615D"/>
    <w:rsid w:val="00923F7E"/>
    <w:rsid w:val="00924C96"/>
    <w:rsid w:val="00925030"/>
    <w:rsid w:val="00925B32"/>
    <w:rsid w:val="00930A64"/>
    <w:rsid w:val="00930BE5"/>
    <w:rsid w:val="00931403"/>
    <w:rsid w:val="00934991"/>
    <w:rsid w:val="009351A7"/>
    <w:rsid w:val="0093640F"/>
    <w:rsid w:val="0094180B"/>
    <w:rsid w:val="00941BC8"/>
    <w:rsid w:val="009426B9"/>
    <w:rsid w:val="00943AA7"/>
    <w:rsid w:val="00944E85"/>
    <w:rsid w:val="00945459"/>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66B7"/>
    <w:rsid w:val="00997844"/>
    <w:rsid w:val="009978C2"/>
    <w:rsid w:val="009A345F"/>
    <w:rsid w:val="009A4AE5"/>
    <w:rsid w:val="009A5218"/>
    <w:rsid w:val="009A6806"/>
    <w:rsid w:val="009B1717"/>
    <w:rsid w:val="009B22D2"/>
    <w:rsid w:val="009B2839"/>
    <w:rsid w:val="009B4C17"/>
    <w:rsid w:val="009B5BF6"/>
    <w:rsid w:val="009B625A"/>
    <w:rsid w:val="009C1C79"/>
    <w:rsid w:val="009C2934"/>
    <w:rsid w:val="009C339C"/>
    <w:rsid w:val="009C33B8"/>
    <w:rsid w:val="009D07A0"/>
    <w:rsid w:val="009D107D"/>
    <w:rsid w:val="009D1871"/>
    <w:rsid w:val="009D2985"/>
    <w:rsid w:val="009D3033"/>
    <w:rsid w:val="009D5770"/>
    <w:rsid w:val="009D6759"/>
    <w:rsid w:val="009D6AF5"/>
    <w:rsid w:val="009D6CF1"/>
    <w:rsid w:val="009D74BA"/>
    <w:rsid w:val="009E0874"/>
    <w:rsid w:val="009E1A16"/>
    <w:rsid w:val="009E2045"/>
    <w:rsid w:val="009E2291"/>
    <w:rsid w:val="009E4A84"/>
    <w:rsid w:val="009E6973"/>
    <w:rsid w:val="009F0466"/>
    <w:rsid w:val="009F4200"/>
    <w:rsid w:val="009F4933"/>
    <w:rsid w:val="009F5FD0"/>
    <w:rsid w:val="009F6C94"/>
    <w:rsid w:val="009F6DD5"/>
    <w:rsid w:val="009F7B12"/>
    <w:rsid w:val="009F7C81"/>
    <w:rsid w:val="00A00EA3"/>
    <w:rsid w:val="00A020A2"/>
    <w:rsid w:val="00A0297B"/>
    <w:rsid w:val="00A0358E"/>
    <w:rsid w:val="00A046AA"/>
    <w:rsid w:val="00A049F9"/>
    <w:rsid w:val="00A0529B"/>
    <w:rsid w:val="00A057F6"/>
    <w:rsid w:val="00A0766F"/>
    <w:rsid w:val="00A10713"/>
    <w:rsid w:val="00A1252C"/>
    <w:rsid w:val="00A13B8B"/>
    <w:rsid w:val="00A151B7"/>
    <w:rsid w:val="00A1782D"/>
    <w:rsid w:val="00A21225"/>
    <w:rsid w:val="00A2139C"/>
    <w:rsid w:val="00A218F9"/>
    <w:rsid w:val="00A21E37"/>
    <w:rsid w:val="00A23314"/>
    <w:rsid w:val="00A235BB"/>
    <w:rsid w:val="00A23F10"/>
    <w:rsid w:val="00A23F72"/>
    <w:rsid w:val="00A240FA"/>
    <w:rsid w:val="00A24B3F"/>
    <w:rsid w:val="00A26AB8"/>
    <w:rsid w:val="00A322BF"/>
    <w:rsid w:val="00A3373F"/>
    <w:rsid w:val="00A33F51"/>
    <w:rsid w:val="00A349DF"/>
    <w:rsid w:val="00A3593B"/>
    <w:rsid w:val="00A40311"/>
    <w:rsid w:val="00A41032"/>
    <w:rsid w:val="00A4106C"/>
    <w:rsid w:val="00A428E7"/>
    <w:rsid w:val="00A43E49"/>
    <w:rsid w:val="00A44018"/>
    <w:rsid w:val="00A45DE9"/>
    <w:rsid w:val="00A4685D"/>
    <w:rsid w:val="00A47471"/>
    <w:rsid w:val="00A47E22"/>
    <w:rsid w:val="00A47ED0"/>
    <w:rsid w:val="00A509EA"/>
    <w:rsid w:val="00A51363"/>
    <w:rsid w:val="00A51476"/>
    <w:rsid w:val="00A526D2"/>
    <w:rsid w:val="00A54412"/>
    <w:rsid w:val="00A5498B"/>
    <w:rsid w:val="00A550C8"/>
    <w:rsid w:val="00A5564C"/>
    <w:rsid w:val="00A559EC"/>
    <w:rsid w:val="00A55A3D"/>
    <w:rsid w:val="00A569F8"/>
    <w:rsid w:val="00A56E60"/>
    <w:rsid w:val="00A571B3"/>
    <w:rsid w:val="00A57A8F"/>
    <w:rsid w:val="00A61884"/>
    <w:rsid w:val="00A626B5"/>
    <w:rsid w:val="00A62DF0"/>
    <w:rsid w:val="00A63620"/>
    <w:rsid w:val="00A63ECE"/>
    <w:rsid w:val="00A66342"/>
    <w:rsid w:val="00A665C8"/>
    <w:rsid w:val="00A6749E"/>
    <w:rsid w:val="00A67D7A"/>
    <w:rsid w:val="00A70D88"/>
    <w:rsid w:val="00A71142"/>
    <w:rsid w:val="00A72895"/>
    <w:rsid w:val="00A73520"/>
    <w:rsid w:val="00A74589"/>
    <w:rsid w:val="00A74E1B"/>
    <w:rsid w:val="00A7513A"/>
    <w:rsid w:val="00A75AC9"/>
    <w:rsid w:val="00A75B25"/>
    <w:rsid w:val="00A76AEE"/>
    <w:rsid w:val="00A801B4"/>
    <w:rsid w:val="00A82075"/>
    <w:rsid w:val="00A82192"/>
    <w:rsid w:val="00A84D3E"/>
    <w:rsid w:val="00A857AB"/>
    <w:rsid w:val="00A90009"/>
    <w:rsid w:val="00A927A4"/>
    <w:rsid w:val="00A94CC0"/>
    <w:rsid w:val="00A9534A"/>
    <w:rsid w:val="00A957FA"/>
    <w:rsid w:val="00A968DC"/>
    <w:rsid w:val="00A977BA"/>
    <w:rsid w:val="00A97EC3"/>
    <w:rsid w:val="00AA1A89"/>
    <w:rsid w:val="00AA346E"/>
    <w:rsid w:val="00AA3770"/>
    <w:rsid w:val="00AA3CFA"/>
    <w:rsid w:val="00AA41C3"/>
    <w:rsid w:val="00AA423C"/>
    <w:rsid w:val="00AA53E2"/>
    <w:rsid w:val="00AA73FD"/>
    <w:rsid w:val="00AB1CEF"/>
    <w:rsid w:val="00AB2F87"/>
    <w:rsid w:val="00AB32C3"/>
    <w:rsid w:val="00AB5E2B"/>
    <w:rsid w:val="00AB6069"/>
    <w:rsid w:val="00AB6467"/>
    <w:rsid w:val="00AC0575"/>
    <w:rsid w:val="00AC0758"/>
    <w:rsid w:val="00AC0934"/>
    <w:rsid w:val="00AC0DF1"/>
    <w:rsid w:val="00AC17EE"/>
    <w:rsid w:val="00AC2BFD"/>
    <w:rsid w:val="00AC4DDD"/>
    <w:rsid w:val="00AC5A43"/>
    <w:rsid w:val="00AC5D2C"/>
    <w:rsid w:val="00AC6B6D"/>
    <w:rsid w:val="00AD0814"/>
    <w:rsid w:val="00AD3559"/>
    <w:rsid w:val="00AD3B05"/>
    <w:rsid w:val="00AD3C8E"/>
    <w:rsid w:val="00AD470D"/>
    <w:rsid w:val="00AD49BE"/>
    <w:rsid w:val="00AD5193"/>
    <w:rsid w:val="00AD7390"/>
    <w:rsid w:val="00AD7723"/>
    <w:rsid w:val="00AD7E6F"/>
    <w:rsid w:val="00AE1BD8"/>
    <w:rsid w:val="00AE2817"/>
    <w:rsid w:val="00AE304B"/>
    <w:rsid w:val="00AE3D3E"/>
    <w:rsid w:val="00AE49B2"/>
    <w:rsid w:val="00AE5EB2"/>
    <w:rsid w:val="00AE6BEB"/>
    <w:rsid w:val="00AE7789"/>
    <w:rsid w:val="00AF2910"/>
    <w:rsid w:val="00AF32EA"/>
    <w:rsid w:val="00AF3DED"/>
    <w:rsid w:val="00AF4499"/>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731"/>
    <w:rsid w:val="00B15D01"/>
    <w:rsid w:val="00B20EBF"/>
    <w:rsid w:val="00B24F44"/>
    <w:rsid w:val="00B25428"/>
    <w:rsid w:val="00B255BB"/>
    <w:rsid w:val="00B25E24"/>
    <w:rsid w:val="00B2609A"/>
    <w:rsid w:val="00B301B1"/>
    <w:rsid w:val="00B353E7"/>
    <w:rsid w:val="00B35759"/>
    <w:rsid w:val="00B3619A"/>
    <w:rsid w:val="00B365B7"/>
    <w:rsid w:val="00B40BCA"/>
    <w:rsid w:val="00B40DCA"/>
    <w:rsid w:val="00B421D2"/>
    <w:rsid w:val="00B4308D"/>
    <w:rsid w:val="00B440DA"/>
    <w:rsid w:val="00B4415A"/>
    <w:rsid w:val="00B503CD"/>
    <w:rsid w:val="00B51495"/>
    <w:rsid w:val="00B548AB"/>
    <w:rsid w:val="00B54BBE"/>
    <w:rsid w:val="00B553F8"/>
    <w:rsid w:val="00B560B6"/>
    <w:rsid w:val="00B5630E"/>
    <w:rsid w:val="00B575F2"/>
    <w:rsid w:val="00B605BE"/>
    <w:rsid w:val="00B62FB6"/>
    <w:rsid w:val="00B635BF"/>
    <w:rsid w:val="00B7050A"/>
    <w:rsid w:val="00B70904"/>
    <w:rsid w:val="00B70A42"/>
    <w:rsid w:val="00B74791"/>
    <w:rsid w:val="00B76AF9"/>
    <w:rsid w:val="00B8115B"/>
    <w:rsid w:val="00B81AE2"/>
    <w:rsid w:val="00B8260A"/>
    <w:rsid w:val="00B82D30"/>
    <w:rsid w:val="00B87F62"/>
    <w:rsid w:val="00B914A4"/>
    <w:rsid w:val="00B92497"/>
    <w:rsid w:val="00B92D41"/>
    <w:rsid w:val="00B93679"/>
    <w:rsid w:val="00B9422D"/>
    <w:rsid w:val="00B95A1D"/>
    <w:rsid w:val="00B9634B"/>
    <w:rsid w:val="00B96F07"/>
    <w:rsid w:val="00BA5072"/>
    <w:rsid w:val="00BA5B65"/>
    <w:rsid w:val="00BA7BFE"/>
    <w:rsid w:val="00BB0ECA"/>
    <w:rsid w:val="00BB2324"/>
    <w:rsid w:val="00BB246B"/>
    <w:rsid w:val="00BB4F49"/>
    <w:rsid w:val="00BB60F7"/>
    <w:rsid w:val="00BB6B2D"/>
    <w:rsid w:val="00BB7375"/>
    <w:rsid w:val="00BC0500"/>
    <w:rsid w:val="00BC094B"/>
    <w:rsid w:val="00BC44F5"/>
    <w:rsid w:val="00BC4EA0"/>
    <w:rsid w:val="00BC500B"/>
    <w:rsid w:val="00BC547C"/>
    <w:rsid w:val="00BC6461"/>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3E6"/>
    <w:rsid w:val="00BF241A"/>
    <w:rsid w:val="00BF3AFB"/>
    <w:rsid w:val="00BF3DD2"/>
    <w:rsid w:val="00BF4344"/>
    <w:rsid w:val="00BF52AB"/>
    <w:rsid w:val="00BF6970"/>
    <w:rsid w:val="00BF69C6"/>
    <w:rsid w:val="00C0003A"/>
    <w:rsid w:val="00C005D8"/>
    <w:rsid w:val="00C00760"/>
    <w:rsid w:val="00C0134C"/>
    <w:rsid w:val="00C02F31"/>
    <w:rsid w:val="00C04DA5"/>
    <w:rsid w:val="00C050FC"/>
    <w:rsid w:val="00C05D40"/>
    <w:rsid w:val="00C07F6B"/>
    <w:rsid w:val="00C113BA"/>
    <w:rsid w:val="00C11905"/>
    <w:rsid w:val="00C14462"/>
    <w:rsid w:val="00C149D5"/>
    <w:rsid w:val="00C16542"/>
    <w:rsid w:val="00C22382"/>
    <w:rsid w:val="00C2355B"/>
    <w:rsid w:val="00C254C0"/>
    <w:rsid w:val="00C257B5"/>
    <w:rsid w:val="00C274A6"/>
    <w:rsid w:val="00C34201"/>
    <w:rsid w:val="00C35A38"/>
    <w:rsid w:val="00C35EC9"/>
    <w:rsid w:val="00C36807"/>
    <w:rsid w:val="00C37392"/>
    <w:rsid w:val="00C411EA"/>
    <w:rsid w:val="00C41545"/>
    <w:rsid w:val="00C4209D"/>
    <w:rsid w:val="00C432B3"/>
    <w:rsid w:val="00C4771E"/>
    <w:rsid w:val="00C47D15"/>
    <w:rsid w:val="00C50279"/>
    <w:rsid w:val="00C505EC"/>
    <w:rsid w:val="00C5165A"/>
    <w:rsid w:val="00C52841"/>
    <w:rsid w:val="00C52A6C"/>
    <w:rsid w:val="00C54FC6"/>
    <w:rsid w:val="00C56F88"/>
    <w:rsid w:val="00C57B7E"/>
    <w:rsid w:val="00C60217"/>
    <w:rsid w:val="00C62D90"/>
    <w:rsid w:val="00C63AFF"/>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54D5"/>
    <w:rsid w:val="00C87100"/>
    <w:rsid w:val="00C87CAC"/>
    <w:rsid w:val="00C913A1"/>
    <w:rsid w:val="00C92943"/>
    <w:rsid w:val="00C950D6"/>
    <w:rsid w:val="00C97646"/>
    <w:rsid w:val="00C97672"/>
    <w:rsid w:val="00CA2335"/>
    <w:rsid w:val="00CA55BD"/>
    <w:rsid w:val="00CB0837"/>
    <w:rsid w:val="00CB2BFA"/>
    <w:rsid w:val="00CB3888"/>
    <w:rsid w:val="00CB400E"/>
    <w:rsid w:val="00CB48F6"/>
    <w:rsid w:val="00CB5F04"/>
    <w:rsid w:val="00CB67F1"/>
    <w:rsid w:val="00CB68A8"/>
    <w:rsid w:val="00CB7DC8"/>
    <w:rsid w:val="00CC0EC0"/>
    <w:rsid w:val="00CC34DB"/>
    <w:rsid w:val="00CC51AC"/>
    <w:rsid w:val="00CC609D"/>
    <w:rsid w:val="00CC7044"/>
    <w:rsid w:val="00CD11FF"/>
    <w:rsid w:val="00CD15E7"/>
    <w:rsid w:val="00CE07A9"/>
    <w:rsid w:val="00CE1012"/>
    <w:rsid w:val="00CE19CF"/>
    <w:rsid w:val="00CE419E"/>
    <w:rsid w:val="00CE5011"/>
    <w:rsid w:val="00CE574A"/>
    <w:rsid w:val="00CE5DC5"/>
    <w:rsid w:val="00CE629E"/>
    <w:rsid w:val="00CE66CE"/>
    <w:rsid w:val="00CE77AA"/>
    <w:rsid w:val="00CE7B59"/>
    <w:rsid w:val="00CF352C"/>
    <w:rsid w:val="00CF4570"/>
    <w:rsid w:val="00CF58EE"/>
    <w:rsid w:val="00CF73F6"/>
    <w:rsid w:val="00D00811"/>
    <w:rsid w:val="00D02A43"/>
    <w:rsid w:val="00D04518"/>
    <w:rsid w:val="00D05489"/>
    <w:rsid w:val="00D05CA1"/>
    <w:rsid w:val="00D061CB"/>
    <w:rsid w:val="00D0796C"/>
    <w:rsid w:val="00D07B7D"/>
    <w:rsid w:val="00D119D0"/>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413A"/>
    <w:rsid w:val="00D37394"/>
    <w:rsid w:val="00D3765F"/>
    <w:rsid w:val="00D41AB7"/>
    <w:rsid w:val="00D426F1"/>
    <w:rsid w:val="00D46699"/>
    <w:rsid w:val="00D47345"/>
    <w:rsid w:val="00D5073F"/>
    <w:rsid w:val="00D50E2C"/>
    <w:rsid w:val="00D51573"/>
    <w:rsid w:val="00D5399A"/>
    <w:rsid w:val="00D5444F"/>
    <w:rsid w:val="00D54E0D"/>
    <w:rsid w:val="00D54F7D"/>
    <w:rsid w:val="00D55FDF"/>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1CA1"/>
    <w:rsid w:val="00D83D95"/>
    <w:rsid w:val="00D90293"/>
    <w:rsid w:val="00D90496"/>
    <w:rsid w:val="00D917BC"/>
    <w:rsid w:val="00D942DE"/>
    <w:rsid w:val="00D9491E"/>
    <w:rsid w:val="00D94B15"/>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2C13"/>
    <w:rsid w:val="00DC2C6F"/>
    <w:rsid w:val="00DC3256"/>
    <w:rsid w:val="00DC35A6"/>
    <w:rsid w:val="00DD090A"/>
    <w:rsid w:val="00DD2421"/>
    <w:rsid w:val="00DD3222"/>
    <w:rsid w:val="00DD3D81"/>
    <w:rsid w:val="00DD4128"/>
    <w:rsid w:val="00DD46B9"/>
    <w:rsid w:val="00DD571C"/>
    <w:rsid w:val="00DD64E1"/>
    <w:rsid w:val="00DD75BC"/>
    <w:rsid w:val="00DE039A"/>
    <w:rsid w:val="00DE0403"/>
    <w:rsid w:val="00DE4811"/>
    <w:rsid w:val="00DE5458"/>
    <w:rsid w:val="00DE5EE6"/>
    <w:rsid w:val="00DE77EA"/>
    <w:rsid w:val="00DF0ABA"/>
    <w:rsid w:val="00DF1EEE"/>
    <w:rsid w:val="00DF2959"/>
    <w:rsid w:val="00DF6C58"/>
    <w:rsid w:val="00E001C1"/>
    <w:rsid w:val="00E007A4"/>
    <w:rsid w:val="00E039F3"/>
    <w:rsid w:val="00E03C30"/>
    <w:rsid w:val="00E05984"/>
    <w:rsid w:val="00E078BD"/>
    <w:rsid w:val="00E078F8"/>
    <w:rsid w:val="00E1142B"/>
    <w:rsid w:val="00E11F10"/>
    <w:rsid w:val="00E12378"/>
    <w:rsid w:val="00E157E4"/>
    <w:rsid w:val="00E15950"/>
    <w:rsid w:val="00E16522"/>
    <w:rsid w:val="00E17093"/>
    <w:rsid w:val="00E1750C"/>
    <w:rsid w:val="00E178A6"/>
    <w:rsid w:val="00E17CEA"/>
    <w:rsid w:val="00E20545"/>
    <w:rsid w:val="00E223C6"/>
    <w:rsid w:val="00E2443D"/>
    <w:rsid w:val="00E24789"/>
    <w:rsid w:val="00E26615"/>
    <w:rsid w:val="00E26F37"/>
    <w:rsid w:val="00E325A5"/>
    <w:rsid w:val="00E327B7"/>
    <w:rsid w:val="00E33928"/>
    <w:rsid w:val="00E33C90"/>
    <w:rsid w:val="00E34D15"/>
    <w:rsid w:val="00E3575C"/>
    <w:rsid w:val="00E35E86"/>
    <w:rsid w:val="00E36B45"/>
    <w:rsid w:val="00E37BF1"/>
    <w:rsid w:val="00E41D3F"/>
    <w:rsid w:val="00E428B3"/>
    <w:rsid w:val="00E44D19"/>
    <w:rsid w:val="00E51372"/>
    <w:rsid w:val="00E51CAF"/>
    <w:rsid w:val="00E51E95"/>
    <w:rsid w:val="00E51F9D"/>
    <w:rsid w:val="00E5202F"/>
    <w:rsid w:val="00E5211A"/>
    <w:rsid w:val="00E5274F"/>
    <w:rsid w:val="00E53A9F"/>
    <w:rsid w:val="00E549AF"/>
    <w:rsid w:val="00E60540"/>
    <w:rsid w:val="00E61C74"/>
    <w:rsid w:val="00E63D8F"/>
    <w:rsid w:val="00E706B6"/>
    <w:rsid w:val="00E75A86"/>
    <w:rsid w:val="00E76FF1"/>
    <w:rsid w:val="00E774FE"/>
    <w:rsid w:val="00E77AC4"/>
    <w:rsid w:val="00E809A0"/>
    <w:rsid w:val="00E80AF7"/>
    <w:rsid w:val="00E81F6D"/>
    <w:rsid w:val="00E84407"/>
    <w:rsid w:val="00E85E54"/>
    <w:rsid w:val="00E86146"/>
    <w:rsid w:val="00E86A76"/>
    <w:rsid w:val="00E87A90"/>
    <w:rsid w:val="00E904D1"/>
    <w:rsid w:val="00E92425"/>
    <w:rsid w:val="00E92AD3"/>
    <w:rsid w:val="00E959EA"/>
    <w:rsid w:val="00E96237"/>
    <w:rsid w:val="00E965D7"/>
    <w:rsid w:val="00E96D30"/>
    <w:rsid w:val="00EA0AD1"/>
    <w:rsid w:val="00EA1327"/>
    <w:rsid w:val="00EA2609"/>
    <w:rsid w:val="00EA623C"/>
    <w:rsid w:val="00EA6395"/>
    <w:rsid w:val="00EB044B"/>
    <w:rsid w:val="00EB067C"/>
    <w:rsid w:val="00EB3C66"/>
    <w:rsid w:val="00EB4B03"/>
    <w:rsid w:val="00EB5DEE"/>
    <w:rsid w:val="00EB64CB"/>
    <w:rsid w:val="00EB6D46"/>
    <w:rsid w:val="00EC07F3"/>
    <w:rsid w:val="00EC15DF"/>
    <w:rsid w:val="00EC3194"/>
    <w:rsid w:val="00EC4BE5"/>
    <w:rsid w:val="00EC518D"/>
    <w:rsid w:val="00EC71D3"/>
    <w:rsid w:val="00ED02FE"/>
    <w:rsid w:val="00ED1EC9"/>
    <w:rsid w:val="00ED3737"/>
    <w:rsid w:val="00ED3856"/>
    <w:rsid w:val="00ED3E2E"/>
    <w:rsid w:val="00ED4CC8"/>
    <w:rsid w:val="00ED6A08"/>
    <w:rsid w:val="00ED73A3"/>
    <w:rsid w:val="00EE05EE"/>
    <w:rsid w:val="00EE0AE2"/>
    <w:rsid w:val="00EE35B4"/>
    <w:rsid w:val="00EE5643"/>
    <w:rsid w:val="00EE7CEC"/>
    <w:rsid w:val="00EF056E"/>
    <w:rsid w:val="00EF09B3"/>
    <w:rsid w:val="00EF0A3E"/>
    <w:rsid w:val="00EF1FF1"/>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06985"/>
    <w:rsid w:val="00F10287"/>
    <w:rsid w:val="00F10C82"/>
    <w:rsid w:val="00F13B2E"/>
    <w:rsid w:val="00F176A0"/>
    <w:rsid w:val="00F20174"/>
    <w:rsid w:val="00F22098"/>
    <w:rsid w:val="00F223BC"/>
    <w:rsid w:val="00F23780"/>
    <w:rsid w:val="00F2395F"/>
    <w:rsid w:val="00F26185"/>
    <w:rsid w:val="00F3178C"/>
    <w:rsid w:val="00F31C05"/>
    <w:rsid w:val="00F33DE5"/>
    <w:rsid w:val="00F34B8F"/>
    <w:rsid w:val="00F36D7F"/>
    <w:rsid w:val="00F37186"/>
    <w:rsid w:val="00F42FCF"/>
    <w:rsid w:val="00F44A83"/>
    <w:rsid w:val="00F51743"/>
    <w:rsid w:val="00F529D4"/>
    <w:rsid w:val="00F54F27"/>
    <w:rsid w:val="00F55FC8"/>
    <w:rsid w:val="00F604E3"/>
    <w:rsid w:val="00F610E6"/>
    <w:rsid w:val="00F61B60"/>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7FF"/>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0EA"/>
    <w:rsid w:val="00FB728E"/>
    <w:rsid w:val="00FC0ADE"/>
    <w:rsid w:val="00FC0FF1"/>
    <w:rsid w:val="00FC185B"/>
    <w:rsid w:val="00FC1FDF"/>
    <w:rsid w:val="00FC3360"/>
    <w:rsid w:val="00FC3E27"/>
    <w:rsid w:val="00FC493B"/>
    <w:rsid w:val="00FC63E5"/>
    <w:rsid w:val="00FD0E54"/>
    <w:rsid w:val="00FD166A"/>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2981"/>
    <w:rsid w:val="00FF3330"/>
    <w:rsid w:val="00FF4080"/>
    <w:rsid w:val="00FF40A5"/>
    <w:rsid w:val="00FF4614"/>
    <w:rsid w:val="00FF48DA"/>
    <w:rsid w:val="00FF5E19"/>
    <w:rsid w:val="00FF5EAD"/>
    <w:rsid w:val="00FF61AD"/>
    <w:rsid w:val="00FF6319"/>
    <w:rsid w:val="00FF76BD"/>
    <w:rsid w:val="09DC6C85"/>
    <w:rsid w:val="18F811FE"/>
    <w:rsid w:val="687B4C99"/>
    <w:rsid w:val="71E708B4"/>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link w:val="48"/>
    <w:qFormat/>
    <w:uiPriority w:val="0"/>
    <w:pPr>
      <w:keepNext/>
      <w:spacing w:before="240" w:after="60"/>
      <w:outlineLvl w:val="3"/>
    </w:pPr>
    <w:rPr>
      <w:b/>
      <w:i/>
    </w:rPr>
  </w:style>
  <w:style w:type="character" w:default="1" w:styleId="19">
    <w:name w:val="Default Paragraph Font"/>
    <w:unhideWhenUsed/>
    <w:uiPriority w:val="1"/>
  </w:style>
  <w:style w:type="table" w:default="1" w:styleId="24">
    <w:name w:val="Normal Table"/>
    <w:unhideWhenUsed/>
    <w:uiPriority w:val="99"/>
    <w:tblPr>
      <w:tblStyle w:val="24"/>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qFormat/>
    <w:uiPriority w:val="0"/>
    <w:rPr>
      <w:b/>
      <w:bCs/>
    </w:rPr>
  </w:style>
  <w:style w:type="paragraph" w:styleId="7">
    <w:name w:val="annotation text"/>
    <w:basedOn w:val="1"/>
    <w:link w:val="38"/>
    <w:semiHidden/>
    <w:qFormat/>
    <w:uiPriority w:val="0"/>
    <w:rPr>
      <w:sz w:val="24"/>
    </w:rPr>
  </w:style>
  <w:style w:type="paragraph" w:styleId="8">
    <w:name w:val="Body Text 3"/>
    <w:basedOn w:val="1"/>
    <w:qFormat/>
    <w:uiPriority w:val="0"/>
    <w:pPr>
      <w:spacing w:after="120"/>
    </w:pPr>
    <w:rPr>
      <w:sz w:val="16"/>
      <w:szCs w:val="16"/>
    </w:rPr>
  </w:style>
  <w:style w:type="paragraph" w:styleId="9">
    <w:name w:val="Body Text"/>
    <w:basedOn w:val="1"/>
    <w:uiPriority w:val="0"/>
    <w:pPr>
      <w:ind w:right="56"/>
    </w:pPr>
    <w:rPr>
      <w:b/>
      <w:sz w:val="22"/>
    </w:rPr>
  </w:style>
  <w:style w:type="paragraph" w:styleId="10">
    <w:name w:val="Body Text Indent"/>
    <w:basedOn w:val="1"/>
    <w:qFormat/>
    <w:uiPriority w:val="0"/>
    <w:pPr>
      <w:spacing w:after="120"/>
      <w:ind w:left="420" w:leftChars="200"/>
    </w:pPr>
  </w:style>
  <w:style w:type="paragraph" w:styleId="11">
    <w:name w:val="toc 3"/>
    <w:basedOn w:val="1"/>
    <w:next w:val="1"/>
    <w:uiPriority w:val="39"/>
    <w:pPr>
      <w:tabs>
        <w:tab w:val="right" w:leader="dot" w:pos="8302"/>
        <w:tab w:val="right" w:leader="dot" w:pos="8835"/>
      </w:tabs>
      <w:spacing w:line="360" w:lineRule="auto"/>
      <w:ind w:left="300" w:leftChars="300"/>
    </w:pPr>
    <w:rPr>
      <w:sz w:val="20"/>
    </w:rPr>
  </w:style>
  <w:style w:type="paragraph" w:styleId="12">
    <w:name w:val="Body Text Indent 2"/>
    <w:basedOn w:val="1"/>
    <w:qFormat/>
    <w:uiPriority w:val="0"/>
    <w:pPr>
      <w:spacing w:after="120" w:line="480" w:lineRule="auto"/>
      <w:ind w:left="420" w:leftChars="200"/>
    </w:pPr>
  </w:style>
  <w:style w:type="paragraph" w:styleId="13">
    <w:name w:val="Balloon Text"/>
    <w:basedOn w:val="1"/>
    <w:semiHidden/>
    <w:uiPriority w:val="0"/>
    <w:rPr>
      <w:sz w:val="18"/>
      <w:szCs w:val="18"/>
    </w:rPr>
  </w:style>
  <w:style w:type="paragraph" w:styleId="14">
    <w:name w:val="footer"/>
    <w:basedOn w:val="1"/>
    <w:link w:val="39"/>
    <w:qFormat/>
    <w:uiPriority w:val="99"/>
    <w:pPr>
      <w:tabs>
        <w:tab w:val="center" w:pos="4320"/>
        <w:tab w:val="right" w:pos="8640"/>
      </w:tabs>
    </w:pPr>
    <w:rPr>
      <w:sz w:val="24"/>
    </w:rPr>
  </w:style>
  <w:style w:type="paragraph" w:styleId="15">
    <w:name w:val="header"/>
    <w:basedOn w:val="1"/>
    <w:link w:val="37"/>
    <w:qFormat/>
    <w:uiPriority w:val="0"/>
    <w:pPr>
      <w:tabs>
        <w:tab w:val="center" w:pos="4320"/>
        <w:tab w:val="right" w:pos="8640"/>
      </w:tabs>
    </w:pPr>
    <w:rPr>
      <w:sz w:val="24"/>
    </w:rPr>
  </w:style>
  <w:style w:type="paragraph" w:styleId="16">
    <w:name w:val="toc 1"/>
    <w:basedOn w:val="1"/>
    <w:next w:val="1"/>
    <w:qFormat/>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46"/>
    <w:qFormat/>
    <w:uiPriority w:val="0"/>
    <w:pPr>
      <w:spacing w:before="240" w:after="60"/>
      <w:jc w:val="center"/>
      <w:outlineLvl w:val="0"/>
    </w:pPr>
    <w:rPr>
      <w:rFonts w:ascii="Calibri Light" w:hAnsi="Calibri Light"/>
      <w:b/>
      <w:bCs/>
      <w:sz w:val="32"/>
      <w:szCs w:val="32"/>
    </w:rPr>
  </w:style>
  <w:style w:type="character" w:styleId="20">
    <w:name w:val="page number"/>
    <w:basedOn w:val="19"/>
    <w:qFormat/>
    <w:uiPriority w:val="0"/>
    <w:rPr/>
  </w:style>
  <w:style w:type="character" w:styleId="21">
    <w:name w:val="Emphasis"/>
    <w:basedOn w:val="19"/>
    <w:qFormat/>
    <w:uiPriority w:val="20"/>
    <w:rPr>
      <w:i/>
      <w:iCs/>
    </w:rPr>
  </w:style>
  <w:style w:type="character" w:styleId="22">
    <w:name w:val="Hyperlink"/>
    <w:qFormat/>
    <w:uiPriority w:val="99"/>
    <w:rPr>
      <w:color w:val="0000FF"/>
      <w:u w:val="single"/>
    </w:rPr>
  </w:style>
  <w:style w:type="character" w:styleId="23">
    <w:name w:val="annotation reference"/>
    <w:semiHidden/>
    <w:uiPriority w:val="0"/>
    <w:rPr>
      <w:sz w:val="21"/>
      <w:szCs w:val="21"/>
    </w:rPr>
  </w:style>
  <w:style w:type="table" w:styleId="25">
    <w:name w:val="Table Grid"/>
    <w:basedOn w:val="24"/>
    <w:qFormat/>
    <w:uiPriority w:val="59"/>
    <w:pPr>
      <w:overflowPunct w:val="0"/>
      <w:autoSpaceDE w:val="0"/>
      <w:autoSpaceDN w:val="0"/>
      <w:adjustRightInd w:val="0"/>
      <w:textAlignment w:val="baseline"/>
    </w:pPr>
    <w:tblPr>
      <w:tblStyle w:val="2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6">
    <w:name w:val="Table"/>
    <w:basedOn w:val="1"/>
    <w:qFormat/>
    <w:uiPriority w:val="0"/>
    <w:pPr>
      <w:keepLines/>
      <w:tabs>
        <w:tab w:val="left" w:pos="284"/>
      </w:tabs>
      <w:adjustRightInd/>
      <w:spacing w:before="40" w:after="20"/>
      <w:textAlignment w:val="auto"/>
    </w:pPr>
    <w:rPr>
      <w:rFonts w:ascii="Arial" w:hAnsi="Arial"/>
      <w:sz w:val="20"/>
      <w:lang w:val="en-US"/>
    </w:rPr>
  </w:style>
  <w:style w:type="paragraph" w:customStyle="1" w:styleId="27">
    <w:name w:val="Default Text"/>
    <w:basedOn w:val="1"/>
    <w:qFormat/>
    <w:uiPriority w:val="0"/>
    <w:pPr>
      <w:textAlignment w:val="auto"/>
    </w:pPr>
    <w:rPr>
      <w:rFonts w:ascii="Arial" w:hAnsi="Arial"/>
      <w:szCs w:val="24"/>
      <w:lang w:val="en-US"/>
    </w:rPr>
  </w:style>
  <w:style w:type="paragraph" w:customStyle="1" w:styleId="28">
    <w:name w:val="Style"/>
    <w:basedOn w:val="1"/>
    <w:qFormat/>
    <w:uiPriority w:val="0"/>
    <w:pPr>
      <w:textAlignment w:val="auto"/>
    </w:pPr>
    <w:rPr>
      <w:rFonts w:ascii="Arial" w:hAnsi="Arial"/>
      <w:szCs w:val="24"/>
      <w:lang w:val="en-US"/>
    </w:rPr>
  </w:style>
  <w:style w:type="paragraph" w:customStyle="1" w:styleId="29">
    <w:name w:val="正文1"/>
    <w:basedOn w:val="1"/>
    <w:qFormat/>
    <w:uiPriority w:val="0"/>
    <w:pPr>
      <w:textAlignment w:val="auto"/>
    </w:pPr>
    <w:rPr>
      <w:rFonts w:ascii="Arial" w:hAnsi="Arial"/>
      <w:sz w:val="20"/>
      <w:lang w:val="en-US"/>
    </w:rPr>
  </w:style>
  <w:style w:type="paragraph" w:customStyle="1" w:styleId="30">
    <w:name w:val="修订1"/>
    <w:hidden/>
    <w:semiHidden/>
    <w:qFormat/>
    <w:uiPriority w:val="99"/>
    <w:rPr>
      <w:rFonts w:ascii="Times New Roman" w:hAnsi="Times New Roman" w:eastAsia="宋体" w:cs="Times New Roman"/>
      <w:sz w:val="24"/>
      <w:lang w:eastAsia="en-US" w:bidi="ar-SA"/>
    </w:rPr>
  </w:style>
  <w:style w:type="paragraph" w:customStyle="1" w:styleId="31">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2">
    <w:name w:val="TOC 标题1"/>
    <w:basedOn w:val="2"/>
    <w:next w:val="1"/>
    <w:qFormat/>
    <w:uiPriority w:val="39"/>
    <w:pPr>
      <w:numPr>
        <w:ilvl w:val="0"/>
        <w:numId w:val="0"/>
      </w:numPr>
      <w:outlineLvl w:val="9"/>
    </w:pPr>
  </w:style>
  <w:style w:type="paragraph" w:customStyle="1" w:styleId="33">
    <w:name w:val="numbering blue"/>
    <w:basedOn w:val="1"/>
    <w:link w:val="42"/>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4">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5">
    <w:name w:val="Text"/>
    <w:basedOn w:val="1"/>
    <w:link w:val="43"/>
    <w:qFormat/>
    <w:uiPriority w:val="99"/>
    <w:pPr>
      <w:adjustRightInd/>
      <w:spacing w:before="120"/>
      <w:jc w:val="both"/>
      <w:textAlignment w:val="auto"/>
    </w:pPr>
    <w:rPr>
      <w:sz w:val="24"/>
    </w:rPr>
  </w:style>
  <w:style w:type="paragraph" w:customStyle="1" w:styleId="36">
    <w:name w:val="Table text"/>
    <w:basedOn w:val="1"/>
    <w:qFormat/>
    <w:uiPriority w:val="99"/>
    <w:pPr>
      <w:adjustRightInd/>
      <w:spacing w:before="120" w:after="120"/>
      <w:jc w:val="both"/>
      <w:textAlignment w:val="auto"/>
    </w:pPr>
    <w:rPr>
      <w:lang w:val="en-US"/>
    </w:rPr>
  </w:style>
  <w:style w:type="character" w:customStyle="1" w:styleId="37">
    <w:name w:val="页眉 字符"/>
    <w:link w:val="15"/>
    <w:uiPriority w:val="0"/>
    <w:rPr>
      <w:rFonts w:eastAsia="宋体"/>
      <w:sz w:val="24"/>
      <w:lang w:eastAsia="en-US" w:bidi="ar-SA"/>
    </w:rPr>
  </w:style>
  <w:style w:type="character" w:customStyle="1" w:styleId="38">
    <w:name w:val="批注文字 字符"/>
    <w:link w:val="7"/>
    <w:semiHidden/>
    <w:qFormat/>
    <w:uiPriority w:val="0"/>
    <w:rPr>
      <w:sz w:val="24"/>
      <w:lang w:eastAsia="en-US"/>
    </w:rPr>
  </w:style>
  <w:style w:type="character" w:customStyle="1" w:styleId="39">
    <w:name w:val="页脚 字符"/>
    <w:link w:val="14"/>
    <w:qFormat/>
    <w:uiPriority w:val="99"/>
    <w:rPr>
      <w:sz w:val="24"/>
      <w:lang w:eastAsia="en-US"/>
    </w:rPr>
  </w:style>
  <w:style w:type="character" w:customStyle="1" w:styleId="40">
    <w:name w:val="instruction standard blue"/>
    <w:qFormat/>
    <w:uiPriority w:val="1"/>
    <w:rPr>
      <w:rFonts w:cs="Arial"/>
      <w:i/>
      <w:color w:val="0070C0"/>
    </w:rPr>
  </w:style>
  <w:style w:type="character" w:customStyle="1" w:styleId="41">
    <w:name w:val="keyword"/>
    <w:basedOn w:val="19"/>
    <w:qFormat/>
    <w:uiPriority w:val="0"/>
    <w:rPr/>
  </w:style>
  <w:style w:type="character" w:customStyle="1" w:styleId="42">
    <w:name w:val="numbering blue Zchn"/>
    <w:link w:val="33"/>
    <w:qFormat/>
    <w:uiPriority w:val="0"/>
    <w:rPr>
      <w:rFonts w:ascii="Arial" w:hAnsi="Arial" w:eastAsia="PMingLiU"/>
      <w:color w:val="0070C0"/>
      <w:lang w:eastAsia="zh-TW"/>
    </w:rPr>
  </w:style>
  <w:style w:type="character" w:customStyle="1" w:styleId="43">
    <w:name w:val="Text Char"/>
    <w:link w:val="35"/>
    <w:qFormat/>
    <w:locked/>
    <w:uiPriority w:val="99"/>
    <w:rPr>
      <w:sz w:val="24"/>
      <w:lang w:eastAsia="en-US"/>
    </w:rPr>
  </w:style>
  <w:style w:type="character" w:customStyle="1" w:styleId="44">
    <w:name w:val="ordinary-span-edit2"/>
    <w:qFormat/>
    <w:uiPriority w:val="0"/>
  </w:style>
  <w:style w:type="character" w:customStyle="1" w:styleId="45">
    <w:name w:val="apple-converted-space"/>
    <w:basedOn w:val="19"/>
    <w:qFormat/>
    <w:uiPriority w:val="0"/>
    <w:rPr/>
  </w:style>
  <w:style w:type="character" w:customStyle="1" w:styleId="46">
    <w:name w:val="标题 字符"/>
    <w:link w:val="18"/>
    <w:qFormat/>
    <w:uiPriority w:val="0"/>
    <w:rPr>
      <w:rFonts w:ascii="Calibri Light" w:hAnsi="Calibri Light" w:cs="Times New Roman"/>
      <w:b/>
      <w:bCs/>
      <w:sz w:val="32"/>
      <w:szCs w:val="32"/>
      <w:lang w:eastAsia="en-US"/>
    </w:rPr>
  </w:style>
  <w:style w:type="character" w:customStyle="1" w:styleId="47">
    <w:name w:val="Footer Char"/>
    <w:basedOn w:val="19"/>
    <w:semiHidden/>
    <w:qFormat/>
    <w:locked/>
    <w:uiPriority w:val="0"/>
    <w:rPr>
      <w:rFonts w:cs="Times New Roman"/>
      <w:sz w:val="18"/>
      <w:szCs w:val="18"/>
    </w:rPr>
  </w:style>
  <w:style w:type="character" w:customStyle="1" w:styleId="48">
    <w:name w:val="标题 4 字符"/>
    <w:basedOn w:val="19"/>
    <w:link w:val="5"/>
    <w:qFormat/>
    <w:uiPriority w:val="0"/>
    <w:rPr>
      <w:b/>
      <w:i/>
      <w:sz w:val="21"/>
      <w:lang w:eastAsia="en-US"/>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1280</Words>
  <Characters>7299</Characters>
  <Lines>60</Lines>
  <Paragraphs>17</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2021-09-28T01:24:00Z</dcterms:created>
  <dc:creator>Lilly</dc:creator>
  <cp:lastModifiedBy>汪洋</cp:lastModifiedBy>
  <cp:lastPrinted>2019-10-17T07:32:00Z</cp:lastPrinted>
  <dcterms:modified xsi:type="dcterms:W3CDTF">2021-11-05T02:13:58Z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