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666358"/>
      <w:bookmarkStart w:id="1" w:name="_Toc483400307"/>
      <w:bookmarkStart w:id="2" w:name="_Toc483227223"/>
      <w:bookmarkStart w:id="3" w:name="_Toc484532399"/>
      <w:bookmarkStart w:id="4" w:name="_Toc482717189"/>
    </w:p>
    <w:p>
      <w:pPr>
        <w:spacing w:after="158" w:afterLines="50"/>
        <w:jc w:val="center"/>
        <w:rPr>
          <w:b/>
          <w:sz w:val="28"/>
          <w:szCs w:val="28"/>
          <w:lang w:eastAsia="zh-CN"/>
        </w:rPr>
      </w:pPr>
      <w:r>
        <w:rPr>
          <w:rFonts w:hint="eastAsia"/>
          <w:b/>
          <w:sz w:val="28"/>
          <w:szCs w:val="28"/>
          <w:lang w:eastAsia="zh-CN"/>
        </w:rPr>
        <w:t>欣宁楼小容量注射剂(安瓿）分装车间</w:t>
      </w:r>
    </w:p>
    <w:p>
      <w:pPr>
        <w:spacing w:after="158" w:afterLines="50"/>
        <w:jc w:val="center"/>
        <w:rPr>
          <w:b/>
          <w:szCs w:val="21"/>
          <w:lang w:eastAsia="zh-CN"/>
        </w:rPr>
      </w:pPr>
      <w:r>
        <w:rPr>
          <w:rFonts w:hint="eastAsia"/>
          <w:b/>
          <w:sz w:val="28"/>
          <w:szCs w:val="28"/>
          <w:lang w:eastAsia="zh-CN"/>
        </w:rPr>
        <w:t>氢氧发生器</w:t>
      </w:r>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0" w:edGrp="everyone"/>
      <w:permEnd w:id="0"/>
      <w:r>
        <w:rPr>
          <w:sz w:val="21"/>
          <w:szCs w:val="21"/>
          <w:lang w:val="zh-CN" w:eastAsia="zh-CN"/>
        </w:rPr>
        <w:t xml:space="preserve">目录 </w:t>
      </w:r>
    </w:p>
    <w:p>
      <w:pPr>
        <w:pStyle w:val="16"/>
        <w:tabs>
          <w:tab w:val="right" w:leader="dot" w:pos="10347"/>
          <w:tab w:val="clear" w:pos="840"/>
          <w:tab w:val="clear" w:pos="10080"/>
        </w:tabs>
      </w:pPr>
      <w:permStart w:id="1" w:edGrp="everyone"/>
      <w:r>
        <w:fldChar w:fldCharType="begin"/>
      </w:r>
      <w:r>
        <w:instrText xml:space="preserve"> TOC \o "1-2" \h \z \u </w:instrText>
      </w:r>
      <w:r>
        <w:fldChar w:fldCharType="separate"/>
      </w:r>
      <w:r>
        <w:fldChar w:fldCharType="begin"/>
      </w:r>
      <w:r>
        <w:instrText xml:space="preserve">HYPERLINK  \l "_Toc29746" </w:instrText>
      </w:r>
      <w:r>
        <w:fldChar w:fldCharType="separate"/>
      </w:r>
      <w:r>
        <w:t>修订历史</w:t>
      </w:r>
      <w:r>
        <w:tab/>
      </w:r>
      <w:r>
        <w:fldChar w:fldCharType="begin"/>
      </w:r>
      <w:r>
        <w:instrText xml:space="preserve"> PAGEREF _Toc29746 \h </w:instrText>
      </w:r>
      <w:r>
        <w:fldChar w:fldCharType="separate"/>
      </w:r>
      <w:r>
        <w:t>3</w:t>
      </w:r>
      <w:r>
        <w:fldChar w:fldCharType="end"/>
      </w:r>
      <w:r>
        <w:fldChar w:fldCharType="end"/>
      </w:r>
    </w:p>
    <w:p>
      <w:pPr>
        <w:pStyle w:val="16"/>
        <w:tabs>
          <w:tab w:val="right" w:leader="dot" w:pos="10347"/>
          <w:tab w:val="clear" w:pos="840"/>
          <w:tab w:val="clear" w:pos="10080"/>
        </w:tabs>
      </w:pPr>
      <w:r>
        <w:fldChar w:fldCharType="begin"/>
      </w:r>
      <w:r>
        <w:instrText xml:space="preserve">HYPERLINK  \l "_Toc17351" </w:instrText>
      </w:r>
      <w:r>
        <w:fldChar w:fldCharType="separate"/>
      </w:r>
      <w:r>
        <w:t>1 目的</w:t>
      </w:r>
      <w:r>
        <w:tab/>
      </w:r>
      <w:r>
        <w:fldChar w:fldCharType="begin"/>
      </w:r>
      <w:r>
        <w:instrText xml:space="preserve"> PAGEREF _Toc17351 \h </w:instrText>
      </w:r>
      <w:r>
        <w:fldChar w:fldCharType="separate"/>
      </w:r>
      <w:r>
        <w:t>4</w:t>
      </w:r>
      <w:r>
        <w:fldChar w:fldCharType="end"/>
      </w:r>
      <w:r>
        <w:fldChar w:fldCharType="end"/>
      </w:r>
    </w:p>
    <w:p>
      <w:pPr>
        <w:pStyle w:val="16"/>
        <w:tabs>
          <w:tab w:val="right" w:leader="dot" w:pos="10347"/>
          <w:tab w:val="clear" w:pos="840"/>
          <w:tab w:val="clear" w:pos="10080"/>
        </w:tabs>
      </w:pPr>
      <w:r>
        <w:fldChar w:fldCharType="begin"/>
      </w:r>
      <w:r>
        <w:instrText xml:space="preserve">HYPERLINK  \l "_Toc6431" </w:instrText>
      </w:r>
      <w:r>
        <w:fldChar w:fldCharType="separate"/>
      </w:r>
      <w:r>
        <w:t>2 范围</w:t>
      </w:r>
      <w:r>
        <w:tab/>
      </w:r>
      <w:r>
        <w:fldChar w:fldCharType="begin"/>
      </w:r>
      <w:r>
        <w:instrText xml:space="preserve"> PAGEREF _Toc6431 \h </w:instrText>
      </w:r>
      <w:r>
        <w:fldChar w:fldCharType="separate"/>
      </w:r>
      <w:r>
        <w:t>4</w:t>
      </w:r>
      <w:r>
        <w:fldChar w:fldCharType="end"/>
      </w:r>
      <w:r>
        <w:fldChar w:fldCharType="end"/>
      </w:r>
    </w:p>
    <w:p>
      <w:pPr>
        <w:pStyle w:val="16"/>
        <w:tabs>
          <w:tab w:val="right" w:leader="dot" w:pos="10347"/>
          <w:tab w:val="clear" w:pos="840"/>
          <w:tab w:val="clear" w:pos="10080"/>
        </w:tabs>
      </w:pPr>
      <w:r>
        <w:fldChar w:fldCharType="begin"/>
      </w:r>
      <w:r>
        <w:instrText xml:space="preserve">HYPERLINK  \l "_Toc7427" </w:instrText>
      </w:r>
      <w:r>
        <w:fldChar w:fldCharType="separate"/>
      </w:r>
      <w:r>
        <w:t>3 参考文件</w:t>
      </w:r>
      <w:r>
        <w:tab/>
      </w:r>
      <w:r>
        <w:fldChar w:fldCharType="begin"/>
      </w:r>
      <w:r>
        <w:instrText xml:space="preserve"> PAGEREF _Toc7427 \h </w:instrText>
      </w:r>
      <w:r>
        <w:fldChar w:fldCharType="separate"/>
      </w:r>
      <w:r>
        <w:t>4</w:t>
      </w:r>
      <w:r>
        <w:fldChar w:fldCharType="end"/>
      </w:r>
      <w:r>
        <w:fldChar w:fldCharType="end"/>
      </w:r>
    </w:p>
    <w:p>
      <w:pPr>
        <w:pStyle w:val="16"/>
        <w:tabs>
          <w:tab w:val="right" w:leader="dot" w:pos="10347"/>
          <w:tab w:val="clear" w:pos="840"/>
          <w:tab w:val="clear" w:pos="10080"/>
        </w:tabs>
      </w:pPr>
      <w:r>
        <w:fldChar w:fldCharType="begin"/>
      </w:r>
      <w:r>
        <w:instrText xml:space="preserve">HYPERLINK  \l "_Toc21760" </w:instrText>
      </w:r>
      <w:r>
        <w:fldChar w:fldCharType="separate"/>
      </w:r>
      <w:r>
        <w:t>4 职责</w:t>
      </w:r>
      <w:r>
        <w:tab/>
      </w:r>
      <w:r>
        <w:fldChar w:fldCharType="begin"/>
      </w:r>
      <w:r>
        <w:instrText xml:space="preserve"> PAGEREF _Toc21760 \h </w:instrText>
      </w:r>
      <w:r>
        <w:fldChar w:fldCharType="separate"/>
      </w:r>
      <w:r>
        <w:t>4</w:t>
      </w:r>
      <w:r>
        <w:fldChar w:fldCharType="end"/>
      </w:r>
      <w:r>
        <w:fldChar w:fldCharType="end"/>
      </w:r>
    </w:p>
    <w:p>
      <w:pPr>
        <w:pStyle w:val="16"/>
        <w:tabs>
          <w:tab w:val="right" w:leader="dot" w:pos="10347"/>
          <w:tab w:val="clear" w:pos="840"/>
          <w:tab w:val="clear" w:pos="10080"/>
        </w:tabs>
      </w:pPr>
      <w:r>
        <w:fldChar w:fldCharType="begin"/>
      </w:r>
      <w:r>
        <w:instrText xml:space="preserve">HYPERLINK  \l "_Toc13245" </w:instrText>
      </w:r>
      <w:r>
        <w:fldChar w:fldCharType="separate"/>
      </w:r>
      <w:r>
        <w:t>5 系统描述</w:t>
      </w:r>
      <w:r>
        <w:tab/>
      </w:r>
      <w:r>
        <w:fldChar w:fldCharType="begin"/>
      </w:r>
      <w:r>
        <w:instrText xml:space="preserve"> PAGEREF _Toc13245 \h </w:instrText>
      </w:r>
      <w:r>
        <w:fldChar w:fldCharType="separate"/>
      </w:r>
      <w:r>
        <w:t>5</w:t>
      </w:r>
      <w:r>
        <w:fldChar w:fldCharType="end"/>
      </w:r>
      <w:r>
        <w:fldChar w:fldCharType="end"/>
      </w:r>
    </w:p>
    <w:p>
      <w:pPr>
        <w:pStyle w:val="16"/>
        <w:tabs>
          <w:tab w:val="right" w:leader="dot" w:pos="10347"/>
          <w:tab w:val="clear" w:pos="840"/>
          <w:tab w:val="clear" w:pos="10080"/>
        </w:tabs>
      </w:pPr>
      <w:r>
        <w:fldChar w:fldCharType="begin"/>
      </w:r>
      <w:r>
        <w:instrText xml:space="preserve">HYPERLINK  \l "_Toc20054" </w:instrText>
      </w:r>
      <w:r>
        <w:fldChar w:fldCharType="separate"/>
      </w:r>
      <w:r>
        <w:rPr>
          <w:szCs w:val="21"/>
        </w:rPr>
        <w:t>6 安装要求</w:t>
      </w:r>
      <w:r>
        <w:tab/>
      </w:r>
      <w:r>
        <w:fldChar w:fldCharType="begin"/>
      </w:r>
      <w:r>
        <w:instrText xml:space="preserve"> PAGEREF _Toc20054 \h </w:instrText>
      </w:r>
      <w:r>
        <w:fldChar w:fldCharType="separate"/>
      </w:r>
      <w:r>
        <w:t>5</w:t>
      </w:r>
      <w:r>
        <w:fldChar w:fldCharType="end"/>
      </w:r>
      <w:r>
        <w:fldChar w:fldCharType="end"/>
      </w:r>
    </w:p>
    <w:p>
      <w:pPr>
        <w:pStyle w:val="16"/>
        <w:tabs>
          <w:tab w:val="right" w:leader="dot" w:pos="10347"/>
          <w:tab w:val="clear" w:pos="840"/>
          <w:tab w:val="clear" w:pos="10080"/>
        </w:tabs>
      </w:pPr>
      <w:r>
        <w:fldChar w:fldCharType="begin"/>
      </w:r>
      <w:r>
        <w:instrText xml:space="preserve">HYPERLINK  \l "_Toc14673" </w:instrText>
      </w:r>
      <w:r>
        <w:fldChar w:fldCharType="separate"/>
      </w:r>
      <w:r>
        <w:t>7 运行要求</w:t>
      </w:r>
      <w:r>
        <w:tab/>
      </w:r>
      <w:r>
        <w:fldChar w:fldCharType="begin"/>
      </w:r>
      <w:r>
        <w:instrText xml:space="preserve"> PAGEREF _Toc14673 \h </w:instrText>
      </w:r>
      <w:r>
        <w:fldChar w:fldCharType="separate"/>
      </w:r>
      <w:r>
        <w:t>6</w:t>
      </w:r>
      <w:r>
        <w:fldChar w:fldCharType="end"/>
      </w:r>
      <w:r>
        <w:fldChar w:fldCharType="end"/>
      </w:r>
    </w:p>
    <w:p>
      <w:pPr>
        <w:pStyle w:val="16"/>
        <w:tabs>
          <w:tab w:val="right" w:leader="dot" w:pos="10347"/>
          <w:tab w:val="clear" w:pos="840"/>
          <w:tab w:val="clear" w:pos="10080"/>
        </w:tabs>
      </w:pPr>
      <w:r>
        <w:fldChar w:fldCharType="begin"/>
      </w:r>
      <w:r>
        <w:instrText xml:space="preserve">HYPERLINK  \l "_Toc27262" </w:instrText>
      </w:r>
      <w:r>
        <w:fldChar w:fldCharType="separate"/>
      </w:r>
      <w:r>
        <w:t>8 电气、自动控制要求</w:t>
      </w:r>
      <w:r>
        <w:tab/>
      </w:r>
      <w:r>
        <w:fldChar w:fldCharType="begin"/>
      </w:r>
      <w:r>
        <w:instrText xml:space="preserve"> PAGEREF _Toc27262 \h </w:instrText>
      </w:r>
      <w:r>
        <w:fldChar w:fldCharType="separate"/>
      </w:r>
      <w:r>
        <w:t>8</w:t>
      </w:r>
      <w:r>
        <w:fldChar w:fldCharType="end"/>
      </w:r>
      <w:r>
        <w:fldChar w:fldCharType="end"/>
      </w:r>
    </w:p>
    <w:p>
      <w:pPr>
        <w:pStyle w:val="16"/>
        <w:tabs>
          <w:tab w:val="right" w:leader="dot" w:pos="10347"/>
          <w:tab w:val="clear" w:pos="840"/>
          <w:tab w:val="clear" w:pos="10080"/>
        </w:tabs>
      </w:pPr>
      <w:r>
        <w:fldChar w:fldCharType="begin"/>
      </w:r>
      <w:r>
        <w:instrText xml:space="preserve">HYPERLINK  \l "_Toc22860" </w:instrText>
      </w:r>
      <w:r>
        <w:fldChar w:fldCharType="separate"/>
      </w:r>
      <w:r>
        <w:t>9 安全要求</w:t>
      </w:r>
      <w:r>
        <w:tab/>
      </w:r>
      <w:r>
        <w:fldChar w:fldCharType="begin"/>
      </w:r>
      <w:r>
        <w:instrText xml:space="preserve"> PAGEREF _Toc22860 \h </w:instrText>
      </w:r>
      <w:r>
        <w:fldChar w:fldCharType="separate"/>
      </w:r>
      <w:r>
        <w:t>10</w:t>
      </w:r>
      <w:r>
        <w:fldChar w:fldCharType="end"/>
      </w:r>
      <w:r>
        <w:fldChar w:fldCharType="end"/>
      </w:r>
    </w:p>
    <w:p>
      <w:pPr>
        <w:pStyle w:val="16"/>
        <w:tabs>
          <w:tab w:val="right" w:leader="dot" w:pos="10347"/>
          <w:tab w:val="clear" w:pos="840"/>
          <w:tab w:val="clear" w:pos="10080"/>
        </w:tabs>
      </w:pPr>
      <w:r>
        <w:fldChar w:fldCharType="begin"/>
      </w:r>
      <w:r>
        <w:instrText xml:space="preserve">HYPERLINK  \l "_Toc15314" </w:instrText>
      </w:r>
      <w:r>
        <w:fldChar w:fldCharType="separate"/>
      </w:r>
      <w:r>
        <w:t>10 文件要求</w:t>
      </w:r>
      <w:r>
        <w:tab/>
      </w:r>
      <w:r>
        <w:fldChar w:fldCharType="begin"/>
      </w:r>
      <w:r>
        <w:instrText xml:space="preserve"> PAGEREF _Toc15314 \h </w:instrText>
      </w:r>
      <w:r>
        <w:fldChar w:fldCharType="separate"/>
      </w:r>
      <w:r>
        <w:t>11</w:t>
      </w:r>
      <w:r>
        <w:fldChar w:fldCharType="end"/>
      </w:r>
      <w:r>
        <w:fldChar w:fldCharType="end"/>
      </w:r>
    </w:p>
    <w:p>
      <w:pPr>
        <w:pStyle w:val="16"/>
        <w:tabs>
          <w:tab w:val="right" w:leader="dot" w:pos="10347"/>
          <w:tab w:val="clear" w:pos="840"/>
          <w:tab w:val="clear" w:pos="10080"/>
        </w:tabs>
      </w:pPr>
      <w:r>
        <w:fldChar w:fldCharType="begin"/>
      </w:r>
      <w:r>
        <w:instrText xml:space="preserve">HYPERLINK  \l "_Toc9627" </w:instrText>
      </w:r>
      <w:r>
        <w:fldChar w:fldCharType="separate"/>
      </w:r>
      <w:r>
        <w:t xml:space="preserve">11 </w:t>
      </w:r>
      <w:r>
        <w:rPr>
          <w:szCs w:val="21"/>
        </w:rPr>
        <w:t>服务要求</w:t>
      </w:r>
      <w:r>
        <w:tab/>
      </w:r>
      <w:r>
        <w:fldChar w:fldCharType="begin"/>
      </w:r>
      <w:r>
        <w:instrText xml:space="preserve"> PAGEREF _Toc9627 \h </w:instrText>
      </w:r>
      <w:r>
        <w:fldChar w:fldCharType="separate"/>
      </w:r>
      <w:r>
        <w:t>13</w:t>
      </w:r>
      <w:r>
        <w:fldChar w:fldCharType="end"/>
      </w:r>
      <w:r>
        <w:fldChar w:fldCharType="end"/>
      </w:r>
    </w:p>
    <w:p>
      <w:pPr>
        <w:pStyle w:val="16"/>
        <w:tabs>
          <w:tab w:val="right" w:leader="dot" w:pos="10347"/>
          <w:tab w:val="clear" w:pos="840"/>
          <w:tab w:val="clear" w:pos="10080"/>
        </w:tabs>
      </w:pPr>
      <w:r>
        <w:fldChar w:fldCharType="begin"/>
      </w:r>
      <w:r>
        <w:instrText xml:space="preserve">HYPERLINK  \l "_Toc6561" </w:instrText>
      </w:r>
      <w:r>
        <w:fldChar w:fldCharType="separate"/>
      </w:r>
      <w:r>
        <w:t>12 附件</w:t>
      </w:r>
      <w:r>
        <w:tab/>
      </w:r>
      <w:r>
        <w:fldChar w:fldCharType="begin"/>
      </w:r>
      <w:r>
        <w:instrText xml:space="preserve"> PAGEREF _Toc6561 \h </w:instrText>
      </w:r>
      <w:r>
        <w:fldChar w:fldCharType="separate"/>
      </w:r>
      <w:r>
        <w:t>15</w:t>
      </w:r>
      <w:r>
        <w:fldChar w:fldCharType="end"/>
      </w:r>
      <w:r>
        <w:fldChar w:fldCharType="end"/>
      </w:r>
    </w:p>
    <w:p>
      <w:r>
        <w:fldChar w:fldCharType="end"/>
      </w:r>
      <w:permEnd w:id="1"/>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17351"/>
      <w:r>
        <w:rPr>
          <w:rFonts w:ascii="Times New Roman" w:hAnsi="Times New Roman"/>
          <w:b/>
        </w:rPr>
        <w:t>目的</w:t>
      </w:r>
      <w:bookmarkEnd w:id="5"/>
      <w:bookmarkEnd w:id="6"/>
    </w:p>
    <w:p>
      <w:pPr>
        <w:pStyle w:val="35"/>
        <w:spacing w:before="0" w:line="360" w:lineRule="auto"/>
        <w:ind w:left="357" w:firstLine="420" w:firstLineChars="200"/>
        <w:jc w:val="left"/>
        <w:rPr>
          <w:szCs w:val="21"/>
          <w:lang w:eastAsia="zh-CN"/>
        </w:rPr>
      </w:pPr>
      <w:bookmarkStart w:id="7" w:name="_Toc482359936"/>
      <w:bookmarkStart w:id="8" w:name="_Toc482370061"/>
      <w:bookmarkStart w:id="9" w:name="_Toc482370141"/>
      <w:bookmarkStart w:id="10" w:name="_Toc482370349"/>
      <w:bookmarkStart w:id="11" w:name="_Toc482369805"/>
      <w:bookmarkStart w:id="12" w:name="_Toc481702475"/>
      <w:bookmarkStart w:id="13" w:name="_Toc482360281"/>
      <w:bookmarkStart w:id="14" w:name="_Toc482370757"/>
      <w:bookmarkStart w:id="15" w:name="_Toc482625279"/>
      <w:r>
        <w:rPr>
          <w:szCs w:val="21"/>
          <w:lang w:eastAsia="zh-CN"/>
        </w:rPr>
        <w:t>本文件的目的是描述武汉生物制品研究所有限责任公司</w:t>
      </w:r>
      <w:r>
        <w:rPr>
          <w:rFonts w:hint="eastAsia"/>
          <w:szCs w:val="21"/>
          <w:lang w:eastAsia="zh-CN"/>
        </w:rPr>
        <w:t>欣宁楼小容量注射剂(安瓿）分装车间氢氧发生器</w:t>
      </w:r>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6431"/>
      <w:r>
        <w:rPr>
          <w:rFonts w:ascii="Times New Roman" w:hAnsi="Times New Roman"/>
          <w:b/>
        </w:rPr>
        <w:t>范围</w:t>
      </w:r>
      <w:bookmarkEnd w:id="16"/>
      <w:bookmarkEnd w:id="17"/>
    </w:p>
    <w:p>
      <w:pPr>
        <w:pStyle w:val="35"/>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eastAsia="zh-CN"/>
        </w:rPr>
        <w:t>欣宁楼小容量注射剂(安瓿）分装车间氢氧发生器</w:t>
      </w:r>
      <w:r>
        <w:rPr>
          <w:szCs w:val="21"/>
          <w:lang w:eastAsia="zh-CN"/>
        </w:rPr>
        <w:t>。</w:t>
      </w:r>
      <w:bookmarkEnd w:id="7"/>
      <w:bookmarkEnd w:id="8"/>
      <w:bookmarkEnd w:id="9"/>
      <w:bookmarkEnd w:id="10"/>
      <w:bookmarkEnd w:id="11"/>
      <w:bookmarkEnd w:id="12"/>
      <w:bookmarkEnd w:id="13"/>
      <w:bookmarkEnd w:id="14"/>
      <w:bookmarkEnd w:id="15"/>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7427"/>
      <w:r>
        <w:rPr>
          <w:rFonts w:ascii="Times New Roman" w:hAnsi="Times New Roman"/>
          <w:b/>
        </w:rPr>
        <w:t>参考文件</w:t>
      </w:r>
      <w:bookmarkEnd w:id="18"/>
      <w:bookmarkEnd w:id="19"/>
    </w:p>
    <w:p>
      <w:pPr>
        <w:pStyle w:val="35"/>
        <w:numPr>
          <w:ilvl w:val="0"/>
          <w:numId w:val="4"/>
        </w:numPr>
        <w:spacing w:before="0" w:line="360" w:lineRule="auto"/>
        <w:jc w:val="left"/>
        <w:rPr>
          <w:szCs w:val="21"/>
          <w:lang w:eastAsia="zh-CN"/>
        </w:rPr>
      </w:pPr>
      <w:r>
        <w:rPr>
          <w:szCs w:val="21"/>
          <w:lang w:eastAsia="zh-CN"/>
        </w:rPr>
        <w:t>GMP法规指南和SOP</w:t>
      </w:r>
    </w:p>
    <w:p>
      <w:pPr>
        <w:pStyle w:val="35"/>
        <w:numPr>
          <w:ilvl w:val="0"/>
          <w:numId w:val="5"/>
        </w:numPr>
        <w:spacing w:before="0" w:line="360" w:lineRule="auto"/>
        <w:ind w:left="777"/>
        <w:jc w:val="left"/>
        <w:rPr>
          <w:szCs w:val="21"/>
          <w:lang w:eastAsia="zh-CN"/>
        </w:rPr>
      </w:pPr>
      <w:r>
        <w:rPr>
          <w:szCs w:val="21"/>
          <w:lang w:eastAsia="zh-CN"/>
        </w:rPr>
        <w:t>SOP-06-12-0005 用户需求编写审批SOP</w:t>
      </w:r>
    </w:p>
    <w:p>
      <w:pPr>
        <w:pStyle w:val="35"/>
        <w:numPr>
          <w:ilvl w:val="0"/>
          <w:numId w:val="5"/>
        </w:numPr>
        <w:spacing w:before="0" w:line="360" w:lineRule="auto"/>
        <w:ind w:left="777"/>
        <w:jc w:val="left"/>
        <w:rPr>
          <w:szCs w:val="21"/>
          <w:lang w:eastAsia="zh-CN"/>
        </w:rPr>
      </w:pPr>
      <w:permStart w:id="2" w:edGrp="everyone"/>
      <w:r>
        <w:rPr>
          <w:rFonts w:hint="eastAsia"/>
          <w:szCs w:val="21"/>
          <w:lang w:eastAsia="zh-CN"/>
        </w:rPr>
        <w:t>《药品生产质量管理规范》（2010版）</w:t>
      </w:r>
    </w:p>
    <w:permEnd w:id="2"/>
    <w:p>
      <w:pPr>
        <w:pStyle w:val="35"/>
        <w:numPr>
          <w:ilvl w:val="0"/>
          <w:numId w:val="5"/>
        </w:numPr>
        <w:spacing w:before="0" w:line="360" w:lineRule="auto"/>
        <w:ind w:left="777"/>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rFonts w:ascii="宋体" w:hAnsi="宋体"/>
          <w:bCs/>
          <w:szCs w:val="30"/>
          <w:lang w:eastAsia="zh-CN"/>
        </w:rPr>
        <w:t>2015</w:t>
      </w:r>
      <w:r>
        <w:rPr>
          <w:rFonts w:hint="eastAsia" w:ascii="宋体" w:hAnsi="宋体"/>
          <w:bCs/>
          <w:szCs w:val="30"/>
          <w:lang w:eastAsia="zh-CN"/>
        </w:rPr>
        <w:t>版</w:t>
      </w:r>
      <w:r>
        <w:rPr>
          <w:rFonts w:hint="eastAsia"/>
          <w:szCs w:val="21"/>
          <w:lang w:eastAsia="zh-CN"/>
        </w:rPr>
        <w:t>）</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35"/>
        <w:numPr>
          <w:ilvl w:val="0"/>
          <w:numId w:val="4"/>
        </w:numPr>
        <w:spacing w:before="0" w:line="360" w:lineRule="auto"/>
        <w:jc w:val="left"/>
        <w:rPr>
          <w:szCs w:val="21"/>
          <w:lang w:eastAsia="zh-CN"/>
        </w:rPr>
      </w:pPr>
      <w:r>
        <w:rPr>
          <w:szCs w:val="21"/>
          <w:lang w:eastAsia="zh-CN"/>
        </w:rPr>
        <w:t>安全及环保法规指南</w:t>
      </w:r>
    </w:p>
    <w:p>
      <w:pPr>
        <w:pStyle w:val="35"/>
        <w:spacing w:before="0" w:line="360" w:lineRule="auto"/>
        <w:ind w:left="357"/>
        <w:jc w:val="left"/>
        <w:rPr>
          <w:szCs w:val="21"/>
          <w:lang w:eastAsia="zh-CN"/>
        </w:rPr>
      </w:pPr>
      <w:permStart w:id="3" w:edGrp="everyone"/>
      <w:r>
        <w:rPr>
          <w:rFonts w:hint="eastAsia"/>
          <w:szCs w:val="21"/>
          <w:lang w:eastAsia="zh-CN"/>
        </w:rPr>
        <w:t>《特种设备安全监察条例》</w:t>
      </w:r>
    </w:p>
    <w:p>
      <w:pPr>
        <w:pStyle w:val="35"/>
        <w:spacing w:before="0" w:line="360" w:lineRule="auto"/>
        <w:ind w:left="357"/>
        <w:jc w:val="left"/>
        <w:rPr>
          <w:szCs w:val="21"/>
          <w:lang w:eastAsia="zh-CN"/>
        </w:rPr>
      </w:pPr>
      <w:r>
        <w:rPr>
          <w:rFonts w:hint="eastAsia"/>
          <w:szCs w:val="21"/>
          <w:lang w:eastAsia="zh-CN"/>
        </w:rPr>
        <w:t>《压力容器安全技术监察规程》</w:t>
      </w:r>
    </w:p>
    <w:p>
      <w:pPr>
        <w:pStyle w:val="35"/>
        <w:spacing w:before="0" w:line="360" w:lineRule="auto"/>
        <w:ind w:left="357"/>
        <w:jc w:val="left"/>
        <w:rPr>
          <w:szCs w:val="21"/>
          <w:lang w:eastAsia="zh-CN"/>
        </w:rPr>
      </w:pPr>
      <w:r>
        <w:rPr>
          <w:rFonts w:hint="eastAsia"/>
          <w:szCs w:val="21"/>
          <w:lang w:eastAsia="zh-CN"/>
        </w:rPr>
        <w:t>大型蒸汽灭菌技术要求（自动控制型）</w:t>
      </w:r>
      <w:r>
        <w:rPr>
          <w:szCs w:val="21"/>
          <w:lang w:eastAsia="zh-CN"/>
        </w:rPr>
        <w:t>BG 8599-2008</w:t>
      </w:r>
    </w:p>
    <w:permEnd w:id="3"/>
    <w:p>
      <w:pPr>
        <w:pStyle w:val="35"/>
        <w:spacing w:before="0" w:line="360" w:lineRule="auto"/>
        <w:jc w:val="left"/>
        <w:rPr>
          <w:szCs w:val="21"/>
          <w:lang w:eastAsia="zh-CN"/>
        </w:rPr>
      </w:pPr>
      <w:permStart w:id="4" w:edGrp="everyone"/>
      <w:bookmarkStart w:id="47" w:name="_GoBack"/>
      <w:bookmarkEnd w:id="47"/>
    </w:p>
    <w:permEnd w:id="4"/>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13245"/>
      <w:r>
        <w:rPr>
          <w:rFonts w:ascii="Times New Roman" w:hAnsi="Times New Roman"/>
          <w:b/>
        </w:rPr>
        <w:t>系统描述</w:t>
      </w:r>
      <w:bookmarkEnd w:id="20"/>
      <w:bookmarkEnd w:id="21"/>
    </w:p>
    <w:p>
      <w:pPr>
        <w:pStyle w:val="36"/>
        <w:spacing w:before="0" w:after="0" w:line="360" w:lineRule="auto"/>
        <w:ind w:right="-6" w:firstLine="424" w:firstLineChars="202"/>
        <w:rPr>
          <w:rFonts w:ascii="宋体" w:hAnsi="宋体" w:cs="Arial"/>
          <w:szCs w:val="21"/>
          <w:lang w:eastAsia="zh-CN"/>
        </w:rPr>
      </w:pPr>
      <w:permStart w:id="5" w:edGrp="everyone"/>
      <w:r>
        <w:rPr>
          <w:rFonts w:hint="eastAsia" w:ascii="宋体" w:hAnsi="宋体" w:cs="Arial"/>
          <w:szCs w:val="21"/>
          <w:lang w:eastAsia="zh-CN"/>
        </w:rPr>
        <w:t>欣宁楼小容量注射剂(安瓿）分装车间</w:t>
      </w:r>
      <w:r>
        <w:rPr>
          <w:rFonts w:hint="eastAsia" w:ascii="宋体" w:hAnsi="宋体" w:cs="Arial"/>
          <w:szCs w:val="21"/>
          <w:lang w:eastAsia="zh-CN"/>
        </w:rPr>
        <w:t>需要购买1</w:t>
      </w:r>
      <w:r>
        <w:rPr>
          <w:rFonts w:hint="eastAsia" w:ascii="宋体" w:hAnsi="宋体" w:cs="Arial"/>
          <w:szCs w:val="21"/>
          <w:lang w:eastAsia="zh-CN"/>
        </w:rPr>
        <w:t>台</w:t>
      </w:r>
      <w:r>
        <w:rPr>
          <w:rFonts w:hint="eastAsia" w:ascii="宋体" w:hAnsi="宋体" w:cs="Arial"/>
          <w:szCs w:val="21"/>
          <w:lang w:eastAsia="zh-CN"/>
        </w:rPr>
        <w:t>氢氧发生器</w:t>
      </w:r>
      <w:r>
        <w:rPr>
          <w:rFonts w:hint="eastAsia" w:ascii="宋体" w:hAnsi="宋体" w:cs="Arial"/>
          <w:szCs w:val="21"/>
          <w:lang w:eastAsia="zh-CN"/>
        </w:rPr>
        <w:t>：该设备将水电解成氢气和氧气后，把混合后的氢氧气输送到楚天安瓿拉丝灌封机上，配合分装线对安瓿瓶进行拉丝封口； 运行中应确保氢氧混合气体稳定燃烧，满足安瓿拉丝灌封机对安瓿瓶封口需求。</w:t>
      </w:r>
    </w:p>
    <w:permEnd w:id="5"/>
    <w:p>
      <w:pPr>
        <w:pStyle w:val="31"/>
        <w:numPr>
          <w:ilvl w:val="0"/>
          <w:numId w:val="3"/>
        </w:numPr>
        <w:spacing w:after="158" w:afterLines="50"/>
        <w:ind w:left="426" w:hanging="426" w:hangingChars="202"/>
        <w:outlineLvl w:val="0"/>
        <w:rPr>
          <w:rFonts w:ascii="Times New Roman" w:hAnsi="Times New Roman"/>
          <w:b/>
          <w:szCs w:val="21"/>
        </w:rPr>
      </w:pPr>
      <w:bookmarkStart w:id="22" w:name="_Toc20054"/>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6" w:edGrp="everyone"/>
      <w:permEnd w:id="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4" w:type="dxa"/>
            <w:shd w:val="clear" w:color="auto" w:fill="D9D9D9"/>
            <w:vAlign w:val="center"/>
          </w:tcPr>
          <w:p>
            <w:pPr>
              <w:jc w:val="center"/>
              <w:rPr>
                <w:b/>
                <w:szCs w:val="21"/>
              </w:rPr>
            </w:pPr>
            <w:bookmarkStart w:id="23" w:name="OLE_LINK1"/>
            <w:bookmarkStart w:id="24" w:name="OLE_LINK2"/>
            <w:r>
              <w:rPr>
                <w:b/>
                <w:szCs w:val="21"/>
              </w:rPr>
              <w:t>编号</w:t>
            </w:r>
          </w:p>
        </w:tc>
        <w:tc>
          <w:tcPr>
            <w:tcW w:w="7725"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7" w:edGrp="everyone"/>
          </w:p>
        </w:tc>
        <w:tc>
          <w:tcPr>
            <w:tcW w:w="7725" w:type="dxa"/>
            <w:vAlign w:val="center"/>
          </w:tcPr>
          <w:p>
            <w:pPr>
              <w:spacing w:line="360" w:lineRule="auto"/>
              <w:rPr>
                <w:bCs/>
                <w:szCs w:val="21"/>
                <w:lang w:val="en-US" w:eastAsia="zh-CN"/>
              </w:rPr>
            </w:pPr>
            <w:r>
              <w:rPr>
                <w:rFonts w:hint="eastAsia"/>
                <w:bCs/>
                <w:szCs w:val="21"/>
                <w:lang w:val="en-US" w:eastAsia="zh-CN"/>
              </w:rPr>
              <w:t>分包装室欣宁楼小容量注射剂（安瓿）分装车间氢氧发生器房间</w:t>
            </w:r>
          </w:p>
        </w:tc>
        <w:tc>
          <w:tcPr>
            <w:tcW w:w="1524" w:type="dxa"/>
            <w:vAlign w:val="center"/>
          </w:tcPr>
          <w:p>
            <w:pPr>
              <w:rPr>
                <w:i/>
                <w:szCs w:val="21"/>
                <w:lang w:eastAsia="zh-CN"/>
              </w:rPr>
            </w:pPr>
            <w:r>
              <w:rPr>
                <w:rFonts w:hint="eastAsia" w:ascii="Arial" w:hAnsi="Arial" w:cs="Arial"/>
                <w:szCs w:val="24"/>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spacing w:line="360" w:lineRule="auto"/>
              <w:rPr>
                <w:bCs/>
                <w:szCs w:val="21"/>
                <w:lang w:val="en-US" w:eastAsia="zh-CN"/>
              </w:rPr>
            </w:pPr>
            <w:r>
              <w:rPr>
                <w:rFonts w:hint="eastAsia"/>
                <w:bCs/>
                <w:szCs w:val="21"/>
                <w:lang w:val="en-US" w:eastAsia="zh-CN"/>
              </w:rPr>
              <w:t>安装环境要求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8" w:edGrp="everyone"/>
          </w:p>
        </w:tc>
        <w:tc>
          <w:tcPr>
            <w:tcW w:w="7725" w:type="dxa"/>
            <w:vAlign w:val="center"/>
          </w:tcPr>
          <w:p>
            <w:pPr>
              <w:spacing w:line="360" w:lineRule="auto"/>
              <w:rPr>
                <w:bCs/>
                <w:szCs w:val="21"/>
                <w:lang w:val="en-US" w:eastAsia="zh-CN"/>
              </w:rPr>
            </w:pPr>
            <w:r>
              <w:rPr>
                <w:rFonts w:hint="eastAsia"/>
                <w:bCs/>
                <w:szCs w:val="21"/>
                <w:lang w:val="en-US" w:eastAsia="zh-CN"/>
              </w:rPr>
              <w:t>安装环境：需要做好通风、散热与防爆</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设备安装后周围应有足够的空间，便于对设备进行操作和维修。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ind w:firstLine="0" w:firstLineChars="0"/>
              <w:jc w:val="center"/>
              <w:rPr>
                <w:rFonts w:ascii="Times New Roman" w:hAnsi="Times New Roman"/>
                <w:szCs w:val="21"/>
              </w:rPr>
            </w:pPr>
            <w:r>
              <w:rPr>
                <w:rFonts w:hint="eastAsia" w:ascii="Times New Roman" w:hAnsi="Times New Roman"/>
                <w:szCs w:val="21"/>
              </w:rPr>
              <w:t>6.3</w:t>
            </w:r>
          </w:p>
        </w:tc>
        <w:tc>
          <w:tcPr>
            <w:tcW w:w="7725" w:type="dxa"/>
            <w:vAlign w:val="center"/>
          </w:tcPr>
          <w:p>
            <w:pPr>
              <w:spacing w:line="360" w:lineRule="auto"/>
              <w:rPr>
                <w:bCs/>
                <w:szCs w:val="21"/>
                <w:lang w:val="en-US" w:eastAsia="zh-CN"/>
              </w:rPr>
            </w:pPr>
            <w:r>
              <w:rPr>
                <w:rFonts w:hint="eastAsia"/>
                <w:bCs/>
                <w:szCs w:val="21"/>
                <w:lang w:val="en-US" w:eastAsia="zh-CN"/>
              </w:rPr>
              <w:t>电力要求</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220/380V，3 相5线制，50 Hz</w:t>
            </w:r>
          </w:p>
        </w:tc>
        <w:tc>
          <w:tcPr>
            <w:tcW w:w="1524" w:type="dxa"/>
            <w:vAlign w:val="center"/>
          </w:tcPr>
          <w:p>
            <w:pPr>
              <w:jc w:val="both"/>
              <w:rPr>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所有线缆均有线号并有接线图</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设备具有接地端子和中性端子</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电气系统:电气元件应选用名牌厂商的产品，例如：Siemens，Schneider,MITSUBISHI等。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zh-CN" w:eastAsia="zh-CN"/>
              </w:rPr>
              <w:t>所有的线路应采用密闭线槽配线。</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所有电缆、电线终端按照相关电气规定处理并附线号。</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en-US" w:eastAsia="zh-CN"/>
              </w:rPr>
              <w:t>所有控制配线必须采用低电压控制系统，电压≤36伏特</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360" w:lineRule="auto"/>
              <w:rPr>
                <w:bCs/>
                <w:szCs w:val="21"/>
                <w:lang w:val="en-US" w:eastAsia="zh-CN"/>
              </w:rPr>
            </w:pPr>
            <w:r>
              <w:rPr>
                <w:rFonts w:hint="eastAsia"/>
                <w:bCs/>
                <w:szCs w:val="21"/>
                <w:lang w:val="zh-CN" w:eastAsia="zh-CN"/>
              </w:rPr>
              <w:t>低压接线（24VDC和通讯/信号线路）应与控制盒中的控制电压和较高的电压隔离开</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ind w:left="350" w:firstLine="0" w:firstLineChars="0"/>
              <w:rPr>
                <w:rFonts w:ascii="Times New Roman" w:hAnsi="Times New Roman"/>
                <w:bCs/>
                <w:kern w:val="0"/>
                <w:szCs w:val="21"/>
              </w:rPr>
            </w:pPr>
            <w:permStart w:id="9" w:edGrp="everyone"/>
            <w:r>
              <w:rPr>
                <w:rFonts w:hint="eastAsia" w:ascii="Times New Roman" w:hAnsi="Times New Roman"/>
                <w:bCs/>
                <w:kern w:val="0"/>
                <w:szCs w:val="21"/>
              </w:rPr>
              <w:t>6.4</w:t>
            </w:r>
          </w:p>
        </w:tc>
        <w:tc>
          <w:tcPr>
            <w:tcW w:w="7725" w:type="dxa"/>
            <w:vAlign w:val="center"/>
          </w:tcPr>
          <w:p>
            <w:pPr>
              <w:spacing w:line="360" w:lineRule="auto"/>
              <w:rPr>
                <w:bCs/>
                <w:szCs w:val="21"/>
                <w:lang w:val="zh-CN" w:eastAsia="zh-CN"/>
              </w:rPr>
            </w:pPr>
            <w:r>
              <w:rPr>
                <w:rFonts w:hint="eastAsia"/>
                <w:bCs/>
                <w:szCs w:val="21"/>
                <w:lang w:val="en-US" w:eastAsia="zh-CN"/>
              </w:rPr>
              <w:t>设施／公用系统要求</w:t>
            </w:r>
          </w:p>
        </w:tc>
        <w:tc>
          <w:tcPr>
            <w:tcW w:w="1524"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bCs/>
                <w:kern w:val="0"/>
                <w:szCs w:val="21"/>
                <w:lang w:val="zh-CN"/>
              </w:rPr>
            </w:pPr>
          </w:p>
        </w:tc>
        <w:tc>
          <w:tcPr>
            <w:tcW w:w="7725" w:type="dxa"/>
            <w:vAlign w:val="center"/>
          </w:tcPr>
          <w:p>
            <w:pPr>
              <w:spacing w:line="360" w:lineRule="auto"/>
              <w:rPr>
                <w:bCs/>
                <w:szCs w:val="21"/>
                <w:lang w:val="en-US" w:eastAsia="zh-CN"/>
              </w:rPr>
            </w:pPr>
            <w:r>
              <w:rPr>
                <w:rFonts w:hint="eastAsia"/>
                <w:bCs/>
                <w:szCs w:val="21"/>
                <w:lang w:val="en-US" w:eastAsia="zh-CN"/>
              </w:rPr>
              <w:t>220/380V，3 相5线制，50 Hz</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bCs/>
                <w:kern w:val="0"/>
                <w:szCs w:val="21"/>
                <w:lang w:val="zh-CN"/>
              </w:rPr>
            </w:pPr>
          </w:p>
        </w:tc>
        <w:tc>
          <w:tcPr>
            <w:tcW w:w="7725" w:type="dxa"/>
            <w:vAlign w:val="center"/>
          </w:tcPr>
          <w:p>
            <w:pPr>
              <w:spacing w:line="360" w:lineRule="auto"/>
              <w:rPr>
                <w:bCs/>
                <w:szCs w:val="21"/>
                <w:lang w:val="en-US" w:eastAsia="zh-CN"/>
              </w:rPr>
            </w:pPr>
            <w:r>
              <w:rPr>
                <w:rFonts w:hint="eastAsia"/>
                <w:bCs/>
                <w:szCs w:val="21"/>
                <w:lang w:val="en-US" w:eastAsia="zh-CN"/>
              </w:rPr>
              <w:t>冷却水： 自来水或冷冻水</w:t>
            </w:r>
          </w:p>
        </w:tc>
        <w:tc>
          <w:tcPr>
            <w:tcW w:w="1524" w:type="dxa"/>
            <w:vAlign w:val="center"/>
          </w:tcPr>
          <w:p>
            <w:pPr>
              <w:jc w:val="both"/>
              <w:rPr>
                <w:szCs w:val="21"/>
                <w:lang w:eastAsia="zh-CN"/>
              </w:rPr>
            </w:pPr>
            <w:r>
              <w:rPr>
                <w:rFonts w:hint="eastAsia"/>
                <w:szCs w:val="21"/>
                <w:lang w:eastAsia="zh-CN"/>
              </w:rPr>
              <w:t>关键</w:t>
            </w:r>
          </w:p>
        </w:tc>
      </w:tr>
      <w:bookmarkEnd w:id="23"/>
      <w:bookmarkEnd w:id="24"/>
      <w:permEnd w:id="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14673"/>
      <w:r>
        <w:rPr>
          <w:rFonts w:ascii="Times New Roman" w:hAnsi="Times New Roman"/>
          <w:b/>
        </w:rPr>
        <w:t>运行要求</w:t>
      </w:r>
      <w:bookmarkEnd w:id="25"/>
      <w:bookmarkEnd w:id="26"/>
    </w:p>
    <w:tbl>
      <w:tblPr>
        <w:tblStyle w:val="24"/>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02"/>
        <w:gridCol w:w="759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402" w:type="dxa"/>
            <w:shd w:val="clear" w:color="auto" w:fill="D9D9D9"/>
            <w:vAlign w:val="center"/>
          </w:tcPr>
          <w:p>
            <w:pPr>
              <w:jc w:val="center"/>
              <w:rPr>
                <w:b/>
                <w:szCs w:val="21"/>
              </w:rPr>
            </w:pPr>
            <w:permStart w:id="10" w:edGrp="everyone"/>
            <w:permEnd w:id="10"/>
            <w:r>
              <w:rPr>
                <w:b/>
                <w:szCs w:val="21"/>
              </w:rPr>
              <w:t>编号</w:t>
            </w:r>
          </w:p>
        </w:tc>
        <w:tc>
          <w:tcPr>
            <w:tcW w:w="7593" w:type="dxa"/>
            <w:shd w:val="clear" w:color="auto" w:fill="D9D9D9"/>
            <w:vAlign w:val="center"/>
          </w:tcPr>
          <w:p>
            <w:pPr>
              <w:jc w:val="center"/>
              <w:rPr>
                <w:b/>
                <w:szCs w:val="21"/>
                <w:lang w:eastAsia="zh-CN"/>
              </w:rPr>
            </w:pPr>
            <w:r>
              <w:rPr>
                <w:b/>
                <w:szCs w:val="21"/>
                <w:lang w:eastAsia="zh-CN"/>
              </w:rPr>
              <w:t>需求</w:t>
            </w:r>
          </w:p>
        </w:tc>
        <w:tc>
          <w:tcPr>
            <w:tcW w:w="147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lang w:eastAsia="zh-CN"/>
              </w:rPr>
              <w:t>原辅料的规格标准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11" w:edGrp="everyone"/>
          </w:p>
        </w:tc>
        <w:tc>
          <w:tcPr>
            <w:tcW w:w="9072" w:type="dxa"/>
            <w:gridSpan w:val="2"/>
            <w:vAlign w:val="center"/>
          </w:tcPr>
          <w:p>
            <w:pPr>
              <w:rPr>
                <w:sz w:val="18"/>
                <w:szCs w:val="21"/>
                <w:lang w:eastAsia="zh-CN"/>
              </w:rPr>
            </w:pPr>
            <w:r>
              <w:rPr>
                <w:rFonts w:hint="eastAsia"/>
                <w:sz w:val="18"/>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12" w:edGrp="everyone"/>
            <w:permEnd w:id="12"/>
          </w:p>
        </w:tc>
        <w:tc>
          <w:tcPr>
            <w:tcW w:w="9072"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13" w:edGrp="everyone"/>
          </w:p>
        </w:tc>
        <w:tc>
          <w:tcPr>
            <w:tcW w:w="7593" w:type="dxa"/>
            <w:vAlign w:val="center"/>
          </w:tcPr>
          <w:p>
            <w:pPr>
              <w:spacing w:line="360" w:lineRule="auto"/>
              <w:rPr>
                <w:bCs/>
                <w:szCs w:val="21"/>
                <w:lang w:val="en-US" w:eastAsia="zh-CN"/>
              </w:rPr>
            </w:pPr>
            <w:r>
              <w:rPr>
                <w:rFonts w:hint="eastAsia"/>
                <w:bCs/>
                <w:szCs w:val="21"/>
                <w:lang w:val="en-US" w:eastAsia="zh-CN"/>
              </w:rPr>
              <w:t>产气量≥8.0M³/H, 满足16针联动生产线封口需要，并已在生产中连续使用。</w:t>
            </w:r>
          </w:p>
          <w:p>
            <w:pPr>
              <w:spacing w:line="360" w:lineRule="auto"/>
              <w:rPr>
                <w:bCs/>
                <w:szCs w:val="21"/>
                <w:lang w:val="en-US" w:eastAsia="zh-CN"/>
              </w:rPr>
            </w:pPr>
            <w:r>
              <w:rPr>
                <w:rFonts w:hint="eastAsia"/>
                <w:bCs/>
                <w:szCs w:val="21"/>
                <w:lang w:val="en-US" w:eastAsia="zh-CN"/>
              </w:rPr>
              <w:t>一台设备能满足2ml安瓿，每分钟600瓶以上产能的稳定封口；</w:t>
            </w:r>
          </w:p>
          <w:p>
            <w:pPr>
              <w:spacing w:line="360" w:lineRule="auto"/>
              <w:rPr>
                <w:szCs w:val="21"/>
                <w:lang w:val="en-US" w:eastAsia="zh-CN"/>
              </w:rPr>
            </w:pPr>
            <w:r>
              <w:rPr>
                <w:rFonts w:hint="eastAsia"/>
                <w:bCs/>
                <w:szCs w:val="21"/>
                <w:lang w:val="en-US" w:eastAsia="zh-CN"/>
              </w:rPr>
              <w:t xml:space="preserve">以及 5ml安瓿，每分钟 550瓶产能的稳定封口。  </w:t>
            </w:r>
          </w:p>
        </w:tc>
        <w:tc>
          <w:tcPr>
            <w:tcW w:w="1479"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val="en-US" w:eastAsia="zh-CN"/>
              </w:rPr>
              <w:t>独立式</w:t>
            </w:r>
            <w:r>
              <w:rPr>
                <w:rFonts w:hint="eastAsia"/>
                <w:bCs/>
                <w:szCs w:val="21"/>
                <w:lang w:eastAsia="zh-CN"/>
              </w:rPr>
              <w:t>电解槽</w:t>
            </w:r>
            <w:r>
              <w:rPr>
                <w:rFonts w:hint="eastAsia"/>
                <w:bCs/>
                <w:szCs w:val="21"/>
                <w:lang w:val="en-US" w:eastAsia="zh-CN"/>
              </w:rPr>
              <w:t>结构，</w:t>
            </w:r>
            <w:r>
              <w:rPr>
                <w:rFonts w:hint="eastAsia"/>
                <w:bCs/>
                <w:szCs w:val="21"/>
                <w:lang w:eastAsia="zh-CN"/>
              </w:rPr>
              <w:t>材质能耐酸碱腐蚀，耐高温，</w:t>
            </w:r>
            <w:r>
              <w:rPr>
                <w:rFonts w:hint="eastAsia"/>
                <w:bCs/>
                <w:szCs w:val="21"/>
                <w:lang w:val="en-US" w:eastAsia="zh-CN"/>
              </w:rPr>
              <w:t>工作压力稳定≤0.30Pa，</w:t>
            </w:r>
            <w:r>
              <w:rPr>
                <w:rFonts w:hint="eastAsia"/>
                <w:bCs/>
                <w:szCs w:val="21"/>
                <w:lang w:eastAsia="zh-CN"/>
              </w:rPr>
              <w:t>能承受压力  ≥0.45MPa；</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top"/>
          </w:tcPr>
          <w:p>
            <w:pPr>
              <w:spacing w:line="360" w:lineRule="auto"/>
              <w:rPr>
                <w:bCs/>
                <w:szCs w:val="21"/>
                <w:lang w:eastAsia="zh-CN"/>
              </w:rPr>
            </w:pPr>
            <w:r>
              <w:rPr>
                <w:rFonts w:hint="eastAsia"/>
                <w:bCs/>
                <w:szCs w:val="21"/>
                <w:lang w:eastAsia="zh-CN"/>
              </w:rPr>
              <w:t>电解液的浓度能自动维持动态平衡，其纯化水补充泵运行与电解液液位探头连锁控制；</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14" w:edGrp="everyone"/>
          </w:p>
        </w:tc>
        <w:tc>
          <w:tcPr>
            <w:tcW w:w="7593" w:type="dxa"/>
            <w:vAlign w:val="top"/>
          </w:tcPr>
          <w:p>
            <w:pPr>
              <w:spacing w:line="360" w:lineRule="auto"/>
              <w:rPr>
                <w:bCs/>
                <w:szCs w:val="21"/>
                <w:lang w:eastAsia="zh-CN"/>
              </w:rPr>
            </w:pPr>
            <w:r>
              <w:rPr>
                <w:rFonts w:hint="eastAsia"/>
                <w:bCs/>
                <w:szCs w:val="21"/>
                <w:lang w:eastAsia="zh-CN"/>
              </w:rPr>
              <w:t>配置氢氧焰专用火板和火头，适应灌封机为16个灌装头，灌装安瓿规格为2ml-</w:t>
            </w:r>
            <w:r>
              <w:rPr>
                <w:rFonts w:hint="eastAsia"/>
                <w:bCs/>
                <w:szCs w:val="21"/>
                <w:lang w:val="en-US" w:eastAsia="zh-CN"/>
              </w:rPr>
              <w:t>1</w:t>
            </w:r>
            <w:r>
              <w:rPr>
                <w:rFonts w:hint="eastAsia"/>
                <w:bCs/>
                <w:szCs w:val="21"/>
                <w:lang w:eastAsia="zh-CN"/>
              </w:rPr>
              <w:t>0ml。</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设备有良好的独立气水分离装置或其他措施，机器外置水封罐需具备气液分离和冷却功能，确保输送管路中输送气体干燥，无水，不得对洁净区环境造成污染。</w:t>
            </w:r>
          </w:p>
        </w:tc>
        <w:tc>
          <w:tcPr>
            <w:tcW w:w="1479"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15" w:edGrp="everyone"/>
            <w:permEnd w:id="15"/>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16" w:edGrp="everyone"/>
          </w:p>
        </w:tc>
        <w:tc>
          <w:tcPr>
            <w:tcW w:w="7593" w:type="dxa"/>
            <w:vAlign w:val="center"/>
          </w:tcPr>
          <w:p>
            <w:pPr>
              <w:spacing w:line="360" w:lineRule="auto"/>
              <w:rPr>
                <w:bCs/>
                <w:szCs w:val="21"/>
                <w:lang w:eastAsia="zh-CN"/>
              </w:rPr>
            </w:pPr>
            <w:r>
              <w:rPr>
                <w:rFonts w:hint="eastAsia"/>
                <w:bCs/>
                <w:szCs w:val="21"/>
                <w:lang w:eastAsia="zh-CN"/>
              </w:rPr>
              <w:t>氢氧发生器设备必须具有但并不限于以下部件： 电解槽、循环泵、储液罐、漂洗罐 、注水/液泵、控制系统。</w:t>
            </w:r>
          </w:p>
          <w:p>
            <w:pPr>
              <w:spacing w:line="360" w:lineRule="auto"/>
              <w:rPr>
                <w:bCs/>
                <w:szCs w:val="21"/>
                <w:lang w:eastAsia="zh-CN"/>
              </w:rPr>
            </w:pPr>
            <w:r>
              <w:rPr>
                <w:rFonts w:hint="eastAsia"/>
                <w:bCs/>
                <w:szCs w:val="21"/>
                <w:lang w:eastAsia="zh-CN"/>
              </w:rPr>
              <w:t>氢氧发生器的配套输送管道系统必须具有但并不限于以下部件组成：水封罐、稳压过滤装置、安全阻火装置、电磁阀、管道、阀门、</w:t>
            </w:r>
            <w:r>
              <w:rPr>
                <w:rFonts w:hint="eastAsia"/>
                <w:bCs/>
                <w:szCs w:val="21"/>
                <w:lang w:val="en-US" w:eastAsia="zh-CN"/>
              </w:rPr>
              <w:t>专用</w:t>
            </w:r>
            <w:r>
              <w:rPr>
                <w:rFonts w:hint="eastAsia"/>
                <w:bCs/>
                <w:szCs w:val="21"/>
                <w:lang w:eastAsia="zh-CN"/>
              </w:rPr>
              <w:t>火板。</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设备具有独立的储液罐和漂洗罐，以有效地进行气液分离，以减小气体含水量，保证连续用气需求。罐内液体液位控制应采用独立可靠的装置，不受液位波动或电解沉积物影响。储液罐、漂洗罐为球型封头，一体化设计，设有安全防爆装置，能承受压力≥0.45MPa，材质304不锈钢。</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电解电源采用电力工业级别的电源模块；模块能够连续工作，其电流、电压稳定，不受外电波动的影响，设有散热设施。</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设备运行与安装在设备内的压力传感器连锁控制。</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设备设有温控（在线显示）和散热装置，确保电解产热能及时带走，维持反应热平衡。</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设备设有电流电压在线显示。</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设备设有</w:t>
            </w:r>
            <w:r>
              <w:rPr>
                <w:rFonts w:hint="eastAsia"/>
                <w:bCs/>
                <w:szCs w:val="21"/>
                <w:lang w:val="en-US" w:eastAsia="zh-CN"/>
              </w:rPr>
              <w:t>内部</w:t>
            </w:r>
            <w:r>
              <w:rPr>
                <w:rFonts w:hint="eastAsia"/>
                <w:bCs/>
                <w:szCs w:val="21"/>
                <w:lang w:eastAsia="zh-CN"/>
              </w:rPr>
              <w:t>气体泄漏探测控制装置。</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氢氧发生器出口端设置水封罐和阻火阀，控制用气端不回火到设备。</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与氢氧发生器、水封罐、阻火阀连接为软连接，软连接应耐压0.45MPa。</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技术夹层送气管路为不锈钢管，由设备供应商提供并安装</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用气点设置稳压过滤装置、电磁阀、阻火阀、电子阻火器和电子阻火阀。</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氢氧焰专用火板上的火嘴需具有完备的射流形态的气体喷射装置，以保证任何情况下气流不会反向流动，不会出现气流紊乱，影响封口效果。</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360" w:lineRule="auto"/>
              <w:rPr>
                <w:bCs/>
                <w:szCs w:val="21"/>
                <w:lang w:eastAsia="zh-CN"/>
              </w:rPr>
            </w:pPr>
            <w:r>
              <w:rPr>
                <w:rFonts w:hint="eastAsia"/>
                <w:bCs/>
                <w:szCs w:val="21"/>
                <w:lang w:eastAsia="zh-CN"/>
              </w:rPr>
              <w:t>生产线整体设计宜满足人体工程学，整体应牢固、美观、流畅、协调、安全、易操作控制和维修。</w:t>
            </w:r>
          </w:p>
        </w:tc>
        <w:tc>
          <w:tcPr>
            <w:tcW w:w="1479" w:type="dxa"/>
            <w:vAlign w:val="center"/>
          </w:tcPr>
          <w:p>
            <w:pPr>
              <w:jc w:val="both"/>
              <w:rPr>
                <w:szCs w:val="21"/>
                <w:lang w:eastAsia="zh-CN"/>
              </w:rPr>
            </w:pPr>
            <w:r>
              <w:rPr>
                <w:rFonts w:hint="eastAsia"/>
                <w:szCs w:val="21"/>
                <w:lang w:eastAsia="zh-CN"/>
              </w:rPr>
              <w:t>关键</w:t>
            </w:r>
          </w:p>
        </w:tc>
      </w:tr>
      <w:permEnd w:id="16"/>
    </w:tbl>
    <w:p>
      <w:pPr>
        <w:pStyle w:val="31"/>
        <w:numPr>
          <w:ilvl w:val="0"/>
          <w:numId w:val="3"/>
        </w:numPr>
        <w:spacing w:after="158" w:afterLines="50"/>
        <w:ind w:left="426" w:hanging="426" w:hangingChars="202"/>
        <w:outlineLvl w:val="0"/>
        <w:rPr>
          <w:rFonts w:ascii="Times New Roman" w:hAnsi="Times New Roman"/>
          <w:b/>
        </w:rPr>
      </w:pPr>
      <w:bookmarkStart w:id="27" w:name="_Toc27262"/>
      <w:bookmarkStart w:id="28" w:name="_Toc522107742"/>
      <w:bookmarkStart w:id="29" w:name="_Toc482717202"/>
      <w:bookmarkStart w:id="30" w:name="_Toc483227237"/>
      <w:bookmarkStart w:id="31" w:name="_Toc482369815"/>
      <w:bookmarkStart w:id="32" w:name="_Toc482360291"/>
      <w:bookmarkStart w:id="33" w:name="_Toc482370151"/>
      <w:bookmarkStart w:id="34" w:name="_Toc482625289"/>
      <w:bookmarkStart w:id="35" w:name="_Toc483400317"/>
      <w:bookmarkStart w:id="36" w:name="_Toc481702480"/>
      <w:bookmarkStart w:id="37" w:name="_Toc482370071"/>
      <w:bookmarkStart w:id="38" w:name="_Toc482359946"/>
      <w:bookmarkStart w:id="39" w:name="_Toc482370359"/>
      <w:bookmarkStart w:id="40" w:name="_Toc482370767"/>
      <w:r>
        <w:rPr>
          <w:rFonts w:ascii="Times New Roman" w:hAnsi="Times New Roman"/>
          <w:b/>
        </w:rPr>
        <w:t>电气、自动控制要求</w:t>
      </w:r>
      <w:bookmarkEnd w:id="27"/>
    </w:p>
    <w:p>
      <w:pPr>
        <w:pStyle w:val="35"/>
        <w:spacing w:before="0" w:line="360" w:lineRule="auto"/>
        <w:ind w:left="425"/>
        <w:jc w:val="left"/>
        <w:rPr>
          <w:i/>
          <w:szCs w:val="21"/>
          <w:lang w:eastAsia="zh-CN"/>
        </w:rPr>
      </w:pPr>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729" w:type="dxa"/>
            <w:vAlign w:val="center"/>
          </w:tcPr>
          <w:p>
            <w:pPr>
              <w:spacing w:line="360" w:lineRule="auto"/>
              <w:rPr>
                <w:i/>
                <w:szCs w:val="21"/>
                <w:lang w:eastAsia="zh-CN"/>
              </w:rPr>
            </w:pPr>
            <w:r>
              <w:rPr>
                <w:rFonts w:hint="eastAsia"/>
                <w:bCs/>
                <w:szCs w:val="21"/>
                <w:lang w:eastAsia="zh-CN"/>
              </w:rPr>
              <w:t>控制系统采PLC+触摸屏，设备运行为自控，可搭载有线或无线远程监控。</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电控柜具有良好的密封性和散热性，可有效阻止灰尘、纸毛和潮汽进入其中，同时又能有效散热，避免电器元件受热损坏。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点击过程数据，可对实时运行和历史参数查询，可查询设备实时运行和历史设备状态。</w:t>
            </w:r>
          </w:p>
          <w:p>
            <w:pPr>
              <w:jc w:val="both"/>
              <w:rPr>
                <w:bCs/>
                <w:szCs w:val="21"/>
                <w:lang w:eastAsia="zh-CN"/>
              </w:rPr>
            </w:pPr>
            <w:r>
              <w:rPr>
                <w:rFonts w:hint="eastAsia"/>
                <w:bCs/>
                <w:szCs w:val="21"/>
                <w:lang w:eastAsia="zh-CN"/>
              </w:rPr>
              <w:t>可显示每个可设置参数的部件的当前运行状态（运转、停机或故障）以及参数的实际数值。</w:t>
            </w:r>
          </w:p>
          <w:p>
            <w:pPr>
              <w:jc w:val="both"/>
              <w:rPr>
                <w:bCs/>
                <w:szCs w:val="21"/>
                <w:lang w:eastAsia="zh-CN"/>
              </w:rPr>
            </w:pPr>
            <w:r>
              <w:rPr>
                <w:rFonts w:hint="eastAsia"/>
                <w:bCs/>
                <w:szCs w:val="21"/>
                <w:lang w:eastAsia="zh-CN"/>
              </w:rPr>
              <w:t>设备显示的参数至少应包括：主机工作压力设定值、实际值；电解液温度设定值、实际值；主机工作电流设定值、实际值；主机工作工作电压设定值、实际值；主机起动：时间/日期。</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设备具备自控模式与手动模式转换控制功能，方便操作。</w:t>
            </w:r>
          </w:p>
        </w:tc>
        <w:tc>
          <w:tcPr>
            <w:tcW w:w="1524"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729" w:type="dxa"/>
            <w:vAlign w:val="center"/>
          </w:tcPr>
          <w:p>
            <w:pPr>
              <w:jc w:val="both"/>
              <w:rPr>
                <w:bCs/>
                <w:szCs w:val="21"/>
                <w:lang w:eastAsia="zh-CN"/>
              </w:rPr>
            </w:pPr>
            <w:r>
              <w:rPr>
                <w:rFonts w:hint="eastAsia"/>
                <w:bCs/>
                <w:szCs w:val="21"/>
                <w:lang w:eastAsia="zh-CN"/>
              </w:rPr>
              <w:t>设备主要工艺参数，设备运行状态应能明显的显示和控制，故障信息应显示在显示屏上。</w:t>
            </w:r>
          </w:p>
        </w:tc>
        <w:tc>
          <w:tcPr>
            <w:tcW w:w="1524"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729" w:type="dxa"/>
            <w:vAlign w:val="center"/>
          </w:tcPr>
          <w:p>
            <w:pPr>
              <w:jc w:val="both"/>
              <w:rPr>
                <w:bCs/>
                <w:szCs w:val="21"/>
                <w:lang w:eastAsia="zh-CN"/>
              </w:rPr>
            </w:pPr>
            <w:r>
              <w:rPr>
                <w:rFonts w:hint="eastAsia"/>
                <w:bCs/>
                <w:szCs w:val="21"/>
                <w:lang w:val="zh-CN" w:eastAsia="zh-CN"/>
              </w:rPr>
              <w:t>参数设定必须通过用户权限管理保护（密码）进入。</w:t>
            </w:r>
          </w:p>
        </w:tc>
        <w:tc>
          <w:tcPr>
            <w:tcW w:w="1524"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0" w:edGrp="everyone"/>
          </w:p>
        </w:tc>
        <w:tc>
          <w:tcPr>
            <w:tcW w:w="7729" w:type="dxa"/>
            <w:vAlign w:val="center"/>
          </w:tcPr>
          <w:p>
            <w:pPr>
              <w:jc w:val="both"/>
              <w:rPr>
                <w:bCs/>
                <w:szCs w:val="21"/>
                <w:lang w:eastAsia="zh-CN"/>
              </w:rPr>
            </w:pPr>
            <w:r>
              <w:rPr>
                <w:rFonts w:hint="eastAsia"/>
                <w:bCs/>
                <w:szCs w:val="21"/>
                <w:lang w:eastAsia="zh-CN"/>
              </w:rPr>
              <w:t>当设备出现故障或监测到某一参数超过设定范围时，应及时报警，如果故障未能自行修复或超过设定容错值，设备应自动停机并在界面上显示警报提示，故障消除后方可继续运行。</w:t>
            </w:r>
          </w:p>
          <w:p>
            <w:pPr>
              <w:jc w:val="both"/>
              <w:rPr>
                <w:bCs/>
                <w:szCs w:val="21"/>
                <w:lang w:eastAsia="zh-CN"/>
              </w:rPr>
            </w:pPr>
            <w:r>
              <w:rPr>
                <w:rFonts w:hint="eastAsia"/>
                <w:bCs/>
                <w:szCs w:val="21"/>
                <w:lang w:eastAsia="zh-CN"/>
              </w:rPr>
              <w:t>报警信息至少包括：</w:t>
            </w:r>
          </w:p>
          <w:p>
            <w:pPr>
              <w:jc w:val="both"/>
              <w:rPr>
                <w:bCs/>
                <w:szCs w:val="21"/>
                <w:lang w:eastAsia="zh-CN"/>
              </w:rPr>
            </w:pPr>
            <w:r>
              <w:rPr>
                <w:rFonts w:hint="eastAsia"/>
                <w:bCs/>
                <w:szCs w:val="21"/>
                <w:lang w:eastAsia="zh-CN"/>
              </w:rPr>
              <w:t>主机工作压力超标报警、自动停机、人工复位；</w:t>
            </w:r>
          </w:p>
          <w:p>
            <w:pPr>
              <w:jc w:val="both"/>
              <w:rPr>
                <w:bCs/>
                <w:szCs w:val="21"/>
                <w:lang w:eastAsia="zh-CN"/>
              </w:rPr>
            </w:pPr>
            <w:r>
              <w:rPr>
                <w:rFonts w:hint="eastAsia"/>
                <w:bCs/>
                <w:szCs w:val="21"/>
                <w:lang w:eastAsia="zh-CN"/>
              </w:rPr>
              <w:t>电解液温度超标报警、自动停机、人工复位；</w:t>
            </w:r>
          </w:p>
          <w:p>
            <w:pPr>
              <w:jc w:val="both"/>
              <w:rPr>
                <w:bCs/>
                <w:szCs w:val="21"/>
                <w:lang w:eastAsia="zh-CN"/>
              </w:rPr>
            </w:pPr>
            <w:r>
              <w:rPr>
                <w:rFonts w:hint="eastAsia"/>
                <w:bCs/>
                <w:szCs w:val="21"/>
                <w:lang w:eastAsia="zh-CN"/>
              </w:rPr>
              <w:t>主机工作电流超标报警、自动停机、人工复位；</w:t>
            </w:r>
          </w:p>
          <w:p>
            <w:pPr>
              <w:jc w:val="both"/>
              <w:rPr>
                <w:bCs/>
                <w:szCs w:val="21"/>
                <w:lang w:eastAsia="zh-CN"/>
              </w:rPr>
            </w:pPr>
            <w:r>
              <w:rPr>
                <w:rFonts w:hint="eastAsia"/>
                <w:bCs/>
                <w:szCs w:val="21"/>
                <w:lang w:eastAsia="zh-CN"/>
              </w:rPr>
              <w:t>主机工作电压超标报警、自动停机、人工复位；</w:t>
            </w:r>
          </w:p>
          <w:p>
            <w:pPr>
              <w:jc w:val="both"/>
              <w:rPr>
                <w:bCs/>
                <w:szCs w:val="21"/>
                <w:lang w:eastAsia="zh-CN"/>
              </w:rPr>
            </w:pPr>
            <w:r>
              <w:rPr>
                <w:rFonts w:hint="eastAsia"/>
                <w:bCs/>
                <w:szCs w:val="21"/>
                <w:lang w:eastAsia="zh-CN"/>
              </w:rPr>
              <w:t>各部件故障报警、停机、人工复位。</w:t>
            </w:r>
          </w:p>
          <w:p>
            <w:pPr>
              <w:tabs>
                <w:tab w:val="left" w:pos="280"/>
              </w:tabs>
              <w:spacing w:line="360" w:lineRule="auto"/>
              <w:rPr>
                <w:i/>
                <w:szCs w:val="21"/>
                <w:lang w:eastAsia="zh-CN"/>
              </w:rPr>
            </w:pPr>
            <w:r>
              <w:rPr>
                <w:rFonts w:hint="eastAsia"/>
                <w:bCs/>
                <w:szCs w:val="21"/>
                <w:lang w:eastAsia="zh-CN"/>
              </w:rPr>
              <w:t>急停开关按下停机、人工复位；</w:t>
            </w:r>
          </w:p>
        </w:tc>
        <w:tc>
          <w:tcPr>
            <w:tcW w:w="1524" w:type="dxa"/>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1" w:edGrp="everyone"/>
          </w:p>
        </w:tc>
        <w:tc>
          <w:tcPr>
            <w:tcW w:w="7729" w:type="dxa"/>
            <w:vAlign w:val="center"/>
          </w:tcPr>
          <w:p>
            <w:pPr>
              <w:spacing w:line="276" w:lineRule="auto"/>
              <w:jc w:val="both"/>
              <w:rPr>
                <w:szCs w:val="21"/>
                <w:lang w:eastAsia="zh-CN"/>
              </w:rPr>
            </w:pPr>
            <w:r>
              <w:rPr>
                <w:rFonts w:hint="eastAsia"/>
                <w:bCs/>
                <w:szCs w:val="21"/>
                <w:lang w:eastAsia="zh-CN"/>
              </w:rPr>
              <w:t>该湿热灭菌柜计算机化系统至少三级用户分层权限管理及密码管理的功能；每个等级拥有相应的可设置权限，每个用户创建唯一的用户名和密码。</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ascii="Arial" w:hAnsi="Arial" w:cs="Arial"/>
                <w:szCs w:val="24"/>
                <w:lang w:eastAsia="zh-CN"/>
              </w:rPr>
              <w:t>每级权限下可设置多个用户账户，每个账户可设置对应的登陆用户名及密码</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rFonts w:ascii="Arial" w:hAnsi="Arial" w:cs="Arial"/>
                <w:szCs w:val="24"/>
                <w:lang w:val="en-US" w:eastAsia="zh-CN"/>
              </w:rPr>
            </w:pPr>
            <w:r>
              <w:rPr>
                <w:rFonts w:hint="eastAsia" w:ascii="Arial" w:hAnsi="Arial" w:cs="Arial"/>
                <w:szCs w:val="24"/>
                <w:lang w:eastAsia="zh-CN"/>
              </w:rPr>
              <w:t>操作员权限仅能进行</w:t>
            </w:r>
            <w:r>
              <w:rPr>
                <w:rFonts w:hint="eastAsia" w:ascii="Arial" w:hAnsi="Arial" w:cs="Arial"/>
                <w:szCs w:val="24"/>
                <w:lang w:val="en-US" w:eastAsia="zh-CN"/>
              </w:rPr>
              <w:t>正常开关设备操作不能进行</w:t>
            </w:r>
            <w:r>
              <w:rPr>
                <w:rFonts w:hint="eastAsia" w:ascii="Arial" w:hAnsi="Arial" w:cs="Arial"/>
                <w:szCs w:val="24"/>
                <w:lang w:eastAsia="zh-CN"/>
              </w:rPr>
              <w:t>时间等参数</w:t>
            </w:r>
            <w:r>
              <w:rPr>
                <w:rFonts w:hint="eastAsia" w:ascii="Arial" w:hAnsi="Arial" w:cs="Arial"/>
                <w:szCs w:val="24"/>
                <w:lang w:val="en-US" w:eastAsia="zh-CN"/>
              </w:rPr>
              <w:t>修改</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工艺员在操作员权限上增加温度、压力、时间、</w:t>
            </w:r>
            <w:r>
              <w:rPr>
                <w:rFonts w:hint="eastAsia" w:ascii="Arial" w:hAnsi="Arial" w:cs="Arial"/>
                <w:szCs w:val="24"/>
                <w:lang w:val="en-US" w:eastAsia="zh-CN"/>
              </w:rPr>
              <w:t>流量</w:t>
            </w:r>
            <w:r>
              <w:rPr>
                <w:rFonts w:hint="eastAsia" w:ascii="Arial" w:hAnsi="Arial" w:cs="Arial"/>
                <w:szCs w:val="24"/>
                <w:lang w:eastAsia="zh-CN"/>
              </w:rPr>
              <w:t>等的设置权限；</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管理员在工艺员操作权限上再增加对探头的校验调整。</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bCs/>
                <w:szCs w:val="21"/>
                <w:lang w:eastAsia="zh-CN"/>
              </w:rPr>
              <w:t>管理员可新增账户、删除账户、修改权限。</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bCs/>
                <w:szCs w:val="21"/>
                <w:lang w:eastAsia="zh-CN"/>
              </w:rPr>
              <w:t>关键参数设置可通相应高级别权限进行控制，防止关键参数的随意更改。</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ascii="宋体" w:hAnsi="宋体"/>
                <w:szCs w:val="21"/>
                <w:lang w:eastAsia="zh-CN"/>
              </w:rPr>
              <w:t>系统时间必须由特定权限来管理和控制。</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bCs/>
                <w:szCs w:val="21"/>
                <w:lang w:eastAsia="zh-CN"/>
              </w:rPr>
              <w:t>系统用户应可以设置至少</w:t>
            </w:r>
            <w:r>
              <w:rPr>
                <w:rFonts w:hint="eastAsia"/>
                <w:bCs/>
                <w:szCs w:val="21"/>
                <w:lang w:val="en-US" w:eastAsia="zh-CN"/>
              </w:rPr>
              <w:t>6</w:t>
            </w:r>
            <w:r>
              <w:rPr>
                <w:rFonts w:hint="eastAsia"/>
                <w:bCs/>
                <w:szCs w:val="21"/>
                <w:lang w:eastAsia="zh-CN"/>
              </w:rPr>
              <w:t>位数密码。管理员可更改自己的密码和下级权限的密码，其他权限人员仅可修改自己密码。</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bCs/>
                <w:szCs w:val="21"/>
                <w:lang w:eastAsia="zh-CN"/>
              </w:rPr>
            </w:pPr>
            <w:r>
              <w:rPr>
                <w:rFonts w:hint="eastAsia" w:ascii="宋体" w:hAnsi="宋体"/>
                <w:szCs w:val="21"/>
                <w:lang w:eastAsia="zh-CN"/>
              </w:rPr>
              <w:t>具备密码效期功能，系统可提示密码效期信息并提醒用户更改密码。密码效期可设置。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具备自动锁屏/登出时限设置，达到规定时限后系统自动锁屏/登出，</w:t>
            </w:r>
            <w:r>
              <w:rPr>
                <w:rFonts w:hint="eastAsia"/>
                <w:szCs w:val="21"/>
                <w:lang w:eastAsia="zh-CN"/>
              </w:rPr>
              <w:t>再次操作需重新登录账户</w:t>
            </w:r>
            <w:r>
              <w:rPr>
                <w:rFonts w:hint="eastAsia" w:ascii="宋体" w:hAnsi="宋体"/>
                <w:szCs w:val="21"/>
                <w:lang w:eastAsia="zh-CN"/>
              </w:rPr>
              <w:t>；登出时限可设置。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bCs/>
                <w:szCs w:val="21"/>
                <w:lang w:eastAsia="zh-CN"/>
              </w:rPr>
            </w:pPr>
            <w:r>
              <w:rPr>
                <w:rFonts w:hint="eastAsia" w:ascii="宋体" w:hAnsi="宋体"/>
                <w:szCs w:val="21"/>
                <w:lang w:eastAsia="zh-CN"/>
              </w:rPr>
              <w:t>系统时间同步，与标准时间偏差≤</w:t>
            </w:r>
            <w:r>
              <w:rPr>
                <w:rFonts w:ascii="宋体" w:hAnsi="宋体"/>
                <w:szCs w:val="21"/>
                <w:lang w:eastAsia="zh-CN"/>
              </w:rPr>
              <w:t>5s/24h</w:t>
            </w:r>
          </w:p>
        </w:tc>
        <w:tc>
          <w:tcPr>
            <w:tcW w:w="1524" w:type="dxa"/>
            <w:vAlign w:val="center"/>
          </w:tcPr>
          <w:p>
            <w:pPr>
              <w:jc w:val="both"/>
              <w:rPr>
                <w:szCs w:val="21"/>
                <w:lang w:eastAsia="zh-CN"/>
              </w:rPr>
            </w:pPr>
            <w:r>
              <w:rPr>
                <w:rFonts w:hint="eastAsia"/>
                <w:szCs w:val="21"/>
                <w:lang w:eastAsia="zh-CN"/>
              </w:rPr>
              <w:t>关键</w:t>
            </w:r>
          </w:p>
        </w:tc>
      </w:tr>
      <w:permEnd w:id="21"/>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22860"/>
      <w:r>
        <w:rPr>
          <w:rFonts w:ascii="Times New Roman" w:hAnsi="Times New Roman"/>
          <w:b/>
        </w:rPr>
        <w:t>安全要求</w:t>
      </w:r>
      <w:bookmarkEnd w:id="28"/>
      <w:bookmarkEnd w:id="41"/>
    </w:p>
    <w:p>
      <w:pPr>
        <w:pStyle w:val="35"/>
        <w:spacing w:before="0" w:line="360" w:lineRule="auto"/>
        <w:jc w:val="left"/>
        <w:rPr>
          <w:i/>
          <w:szCs w:val="21"/>
          <w:lang w:eastAsia="zh-CN"/>
        </w:rPr>
      </w:pPr>
      <w:permStart w:id="22"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2"/>
            <w:r>
              <w:rPr>
                <w:b/>
                <w:szCs w:val="21"/>
              </w:rPr>
              <w:t>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729" w:type="dxa"/>
            <w:vAlign w:val="center"/>
          </w:tcPr>
          <w:p>
            <w:pPr>
              <w:jc w:val="both"/>
              <w:rPr>
                <w:bCs/>
                <w:szCs w:val="21"/>
                <w:lang w:eastAsia="zh-CN"/>
              </w:rPr>
            </w:pPr>
            <w:r>
              <w:rPr>
                <w:rFonts w:hint="eastAsia"/>
                <w:bCs/>
                <w:szCs w:val="21"/>
                <w:lang w:eastAsia="zh-CN"/>
              </w:rPr>
              <w:t>恰当的故障检测和警报，故障及报警用声光报警指示，并在显示屏显示故障信息</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设备应贴有统一的设备铭牌，设备的操作按键用中文进行标示。</w:t>
            </w:r>
          </w:p>
        </w:tc>
        <w:tc>
          <w:tcPr>
            <w:tcW w:w="1524"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729" w:type="dxa"/>
            <w:vAlign w:val="center"/>
          </w:tcPr>
          <w:p>
            <w:pPr>
              <w:jc w:val="both"/>
              <w:rPr>
                <w:bCs/>
                <w:szCs w:val="21"/>
                <w:lang w:eastAsia="zh-CN"/>
              </w:rPr>
            </w:pPr>
            <w:r>
              <w:rPr>
                <w:rFonts w:hint="eastAsia"/>
                <w:bCs/>
                <w:szCs w:val="21"/>
                <w:lang w:eastAsia="zh-CN"/>
              </w:rPr>
              <w:t>设备上易对操作人员造成伤害的运动部位应有安全罩，电气控制柜装有安全锁，符合零进入标准。</w:t>
            </w:r>
          </w:p>
        </w:tc>
        <w:tc>
          <w:tcPr>
            <w:tcW w:w="1524"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729" w:type="dxa"/>
            <w:vAlign w:val="center"/>
          </w:tcPr>
          <w:p>
            <w:pPr>
              <w:jc w:val="both"/>
              <w:rPr>
                <w:bCs/>
                <w:szCs w:val="21"/>
                <w:lang w:eastAsia="zh-CN"/>
              </w:rPr>
            </w:pPr>
            <w:r>
              <w:rPr>
                <w:rFonts w:hint="eastAsia"/>
                <w:bCs/>
                <w:szCs w:val="21"/>
                <w:lang w:eastAsia="zh-CN"/>
              </w:rPr>
              <w:t>距离设备1m远的噪音在75db以下</w:t>
            </w:r>
          </w:p>
        </w:tc>
        <w:tc>
          <w:tcPr>
            <w:tcW w:w="1524"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729" w:type="dxa"/>
            <w:vAlign w:val="center"/>
          </w:tcPr>
          <w:p>
            <w:pPr>
              <w:jc w:val="both"/>
              <w:rPr>
                <w:bCs/>
                <w:szCs w:val="21"/>
                <w:lang w:eastAsia="zh-CN"/>
              </w:rPr>
            </w:pPr>
            <w:r>
              <w:rPr>
                <w:rFonts w:hint="eastAsia"/>
                <w:bCs/>
                <w:szCs w:val="21"/>
                <w:lang w:eastAsia="zh-CN"/>
              </w:rPr>
              <w:t>设备任何部位不能有锋利的边缘和尖角。</w:t>
            </w:r>
          </w:p>
        </w:tc>
        <w:tc>
          <w:tcPr>
            <w:tcW w:w="1524"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729" w:type="dxa"/>
            <w:vAlign w:val="center"/>
          </w:tcPr>
          <w:p>
            <w:pPr>
              <w:jc w:val="both"/>
              <w:rPr>
                <w:bCs/>
                <w:szCs w:val="21"/>
                <w:lang w:eastAsia="zh-CN"/>
              </w:rPr>
            </w:pPr>
            <w:r>
              <w:rPr>
                <w:rFonts w:hint="eastAsia"/>
                <w:bCs/>
                <w:szCs w:val="21"/>
                <w:lang w:eastAsia="zh-CN"/>
              </w:rPr>
              <w:t>优化设计，易于接近的区域安装紧急停止按钮，以减少人机工程伤害。</w:t>
            </w:r>
          </w:p>
        </w:tc>
        <w:tc>
          <w:tcPr>
            <w:tcW w:w="1524"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8" w:edGrp="everyone"/>
          </w:p>
        </w:tc>
        <w:tc>
          <w:tcPr>
            <w:tcW w:w="7729" w:type="dxa"/>
            <w:vAlign w:val="center"/>
          </w:tcPr>
          <w:p>
            <w:pPr>
              <w:jc w:val="both"/>
              <w:rPr>
                <w:bCs/>
                <w:szCs w:val="21"/>
                <w:lang w:eastAsia="zh-CN"/>
              </w:rPr>
            </w:pPr>
            <w:r>
              <w:rPr>
                <w:rFonts w:hint="eastAsia"/>
                <w:bCs/>
                <w:szCs w:val="21"/>
                <w:lang w:eastAsia="zh-CN"/>
              </w:rPr>
              <w:t>断电时，机器逐渐停稳，以保护操作工、设备和产品。</w:t>
            </w:r>
          </w:p>
        </w:tc>
        <w:tc>
          <w:tcPr>
            <w:tcW w:w="1524"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729" w:type="dxa"/>
            <w:vAlign w:val="center"/>
          </w:tcPr>
          <w:p>
            <w:pPr>
              <w:jc w:val="both"/>
              <w:rPr>
                <w:bCs/>
                <w:szCs w:val="21"/>
                <w:lang w:eastAsia="zh-CN"/>
              </w:rPr>
            </w:pPr>
            <w:r>
              <w:rPr>
                <w:rFonts w:hint="eastAsia"/>
                <w:bCs/>
                <w:szCs w:val="21"/>
                <w:lang w:eastAsia="zh-CN"/>
              </w:rPr>
              <w:t>恢复供电后机器不能自动开机，必须人工启动。</w:t>
            </w:r>
          </w:p>
        </w:tc>
        <w:tc>
          <w:tcPr>
            <w:tcW w:w="1524"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729" w:type="dxa"/>
            <w:vAlign w:val="center"/>
          </w:tcPr>
          <w:p>
            <w:pPr>
              <w:jc w:val="both"/>
              <w:rPr>
                <w:bCs/>
                <w:szCs w:val="21"/>
                <w:lang w:eastAsia="zh-CN"/>
              </w:rPr>
            </w:pPr>
            <w:r>
              <w:rPr>
                <w:rFonts w:hint="eastAsia"/>
                <w:bCs/>
                <w:szCs w:val="21"/>
                <w:lang w:eastAsia="zh-CN"/>
              </w:rPr>
              <w:t>电气系统的安全性能应符合相应的国家标准</w:t>
            </w:r>
          </w:p>
        </w:tc>
        <w:tc>
          <w:tcPr>
            <w:tcW w:w="1524" w:type="dxa"/>
            <w:vAlign w:val="center"/>
          </w:tcPr>
          <w:p>
            <w:pPr>
              <w:jc w:val="both"/>
              <w:rPr>
                <w:szCs w:val="21"/>
                <w:lang w:eastAsia="zh-CN"/>
              </w:rPr>
            </w:pP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729" w:type="dxa"/>
            <w:shd w:val="clear" w:color="auto" w:fill="D9D9D9"/>
            <w:vAlign w:val="center"/>
          </w:tcPr>
          <w:p>
            <w:pPr>
              <w:jc w:val="both"/>
              <w:rPr>
                <w:szCs w:val="21"/>
                <w:lang w:eastAsia="zh-CN"/>
              </w:rPr>
            </w:pPr>
            <w:r>
              <w:rPr>
                <w:szCs w:val="21"/>
                <w:lang w:eastAsia="zh-CN"/>
              </w:rPr>
              <w:t>电气保护</w:t>
            </w:r>
          </w:p>
        </w:tc>
        <w:tc>
          <w:tcPr>
            <w:tcW w:w="1524"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729" w:type="dxa"/>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1524"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729" w:type="dxa"/>
            <w:vAlign w:val="center"/>
          </w:tcPr>
          <w:p>
            <w:pPr>
              <w:jc w:val="both"/>
              <w:rPr>
                <w:bCs/>
                <w:szCs w:val="21"/>
                <w:lang w:eastAsia="zh-CN"/>
              </w:rPr>
            </w:pPr>
            <w:r>
              <w:rPr>
                <w:rFonts w:hint="eastAsia"/>
                <w:bCs/>
                <w:szCs w:val="21"/>
                <w:lang w:eastAsia="zh-CN"/>
              </w:rPr>
              <w:t>有断电保护：在仪器正常使用时，设备突然断电不致破坏软、硬件，数据。</w:t>
            </w:r>
          </w:p>
        </w:tc>
        <w:tc>
          <w:tcPr>
            <w:tcW w:w="1524"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729" w:type="dxa"/>
            <w:vAlign w:val="center"/>
          </w:tcPr>
          <w:p>
            <w:pPr>
              <w:jc w:val="both"/>
              <w:rPr>
                <w:bCs/>
                <w:szCs w:val="21"/>
                <w:lang w:eastAsia="zh-CN"/>
              </w:rPr>
            </w:pPr>
            <w:r>
              <w:rPr>
                <w:rFonts w:hint="eastAsia"/>
                <w:bCs/>
                <w:szCs w:val="21"/>
                <w:lang w:eastAsia="zh-CN"/>
              </w:rPr>
              <w:t>控制系统安全装置：</w:t>
            </w:r>
            <w:r>
              <w:rPr>
                <w:rFonts w:hint="eastAsia"/>
                <w:bCs/>
                <w:szCs w:val="21"/>
                <w:lang w:val="en-US" w:eastAsia="zh-CN"/>
              </w:rPr>
              <w:t>碱液罐</w:t>
            </w:r>
            <w:r>
              <w:rPr>
                <w:rFonts w:hint="eastAsia"/>
                <w:bCs/>
                <w:szCs w:val="21"/>
                <w:lang w:eastAsia="zh-CN"/>
              </w:rPr>
              <w:t>温度指示仪器以及压力指示仪器应配备传感器故障保护装置，当故障或短路时，系统应该提供故障指示，并发出蜂鸣报警。</w:t>
            </w:r>
          </w:p>
        </w:tc>
        <w:tc>
          <w:tcPr>
            <w:tcW w:w="1524"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729" w:type="dxa"/>
            <w:vAlign w:val="center"/>
          </w:tcPr>
          <w:p>
            <w:pPr>
              <w:jc w:val="both"/>
              <w:rPr>
                <w:bCs/>
                <w:szCs w:val="21"/>
                <w:lang w:eastAsia="zh-CN"/>
              </w:rPr>
            </w:pPr>
            <w:r>
              <w:rPr>
                <w:rFonts w:hint="eastAsia"/>
                <w:bCs/>
                <w:szCs w:val="21"/>
                <w:lang w:eastAsia="zh-CN"/>
              </w:rPr>
              <w:t>电控箱、触摸屏等电气防水等级为</w:t>
            </w:r>
            <w:r>
              <w:rPr>
                <w:bCs/>
                <w:szCs w:val="21"/>
                <w:lang w:eastAsia="zh-CN"/>
              </w:rPr>
              <w:t>IP54</w:t>
            </w:r>
            <w:r>
              <w:rPr>
                <w:rFonts w:hint="eastAsia"/>
                <w:bCs/>
                <w:szCs w:val="21"/>
                <w:lang w:eastAsia="zh-CN"/>
              </w:rPr>
              <w:t>。</w:t>
            </w:r>
          </w:p>
        </w:tc>
        <w:tc>
          <w:tcPr>
            <w:tcW w:w="1524"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729" w:type="dxa"/>
            <w:vAlign w:val="center"/>
          </w:tcPr>
          <w:p>
            <w:pPr>
              <w:jc w:val="both"/>
              <w:rPr>
                <w:szCs w:val="21"/>
                <w:lang w:eastAsia="zh-CN"/>
              </w:rPr>
            </w:pPr>
            <w:r>
              <w:rPr>
                <w:rFonts w:hint="eastAsia"/>
                <w:bCs/>
                <w:szCs w:val="21"/>
                <w:lang w:eastAsia="zh-CN"/>
              </w:rPr>
              <w:t>柜体接地良好，有良好的漏电保护。</w:t>
            </w:r>
          </w:p>
        </w:tc>
        <w:tc>
          <w:tcPr>
            <w:tcW w:w="1524" w:type="dxa"/>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15314"/>
      <w:r>
        <w:rPr>
          <w:rFonts w:ascii="Times New Roman" w:hAnsi="Times New Roman"/>
          <w:b/>
        </w:rPr>
        <w:t>文件要求</w:t>
      </w:r>
      <w:bookmarkEnd w:id="42"/>
      <w:bookmarkEnd w:id="43"/>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729" w:type="dxa"/>
            <w:vAlign w:val="center"/>
          </w:tcPr>
          <w:p>
            <w:pPr>
              <w:jc w:val="both"/>
              <w:rPr>
                <w:szCs w:val="21"/>
                <w:lang w:eastAsia="zh-CN"/>
              </w:rPr>
            </w:pPr>
            <w:r>
              <w:rPr>
                <w:szCs w:val="21"/>
                <w:lang w:eastAsia="zh-CN"/>
              </w:rPr>
              <w:t xml:space="preserve"> </w:t>
            </w:r>
            <w:r>
              <w:rPr>
                <w:rFonts w:hint="eastAsia"/>
                <w:bCs/>
                <w:szCs w:val="21"/>
                <w:lang w:eastAsia="zh-CN"/>
              </w:rPr>
              <w:t>投标文件、合同及订单。</w:t>
            </w:r>
          </w:p>
        </w:tc>
        <w:tc>
          <w:tcPr>
            <w:tcW w:w="1524"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729" w:type="dxa"/>
            <w:vAlign w:val="center"/>
          </w:tcPr>
          <w:p>
            <w:pPr>
              <w:jc w:val="both"/>
              <w:rPr>
                <w:szCs w:val="21"/>
                <w:lang w:eastAsia="zh-CN"/>
              </w:rPr>
            </w:pPr>
            <w:r>
              <w:rPr>
                <w:rFonts w:hint="eastAsia"/>
                <w:bCs/>
                <w:szCs w:val="21"/>
                <w:lang w:eastAsia="zh-CN"/>
              </w:rPr>
              <w:t>卖方发运清单及相关检验报告。</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bCs/>
                <w:szCs w:val="21"/>
                <w:lang w:eastAsia="zh-CN"/>
              </w:rPr>
              <w:t>系统选型文件，包括设备标准技术文件、功能说明、设计说明。</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3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bCs/>
                <w:szCs w:val="21"/>
                <w:lang w:eastAsia="zh-CN"/>
              </w:rPr>
              <w:t>应提供的文件包含且不限于：文件清单、设计确认方案、管路及仪表图、设备布局图、P</w:t>
            </w:r>
            <w:r>
              <w:rPr>
                <w:bCs/>
                <w:szCs w:val="21"/>
                <w:lang w:eastAsia="zh-CN"/>
              </w:rPr>
              <w:t>ID</w:t>
            </w:r>
            <w:r>
              <w:rPr>
                <w:rFonts w:hint="eastAsia"/>
                <w:bCs/>
                <w:szCs w:val="21"/>
                <w:lang w:eastAsia="zh-CN"/>
              </w:rPr>
              <w:t>部件对应清单、功能设计说明、硬件设计说明、软件设计说明、电气图纸、接线图、仪表清单和关键传感器清单、电气硬件清单、联锁列表、报警列表、焊工证书、接触流程部件的金属材质证书、射线控制分析、水压试验和耐水试验的流程和报告、内室表面处理校验报告、接触流程非金属部件的材质证书、检测设备的校准证书、资质证书、锅炉压力容器生产标准一致性证书、产品合格证、质量保证计划。</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bCs/>
                <w:szCs w:val="21"/>
                <w:lang w:eastAsia="zh-CN"/>
              </w:rPr>
              <w:t>配件清单、易损件清单、备件、消耗品、仪表清单：包括名称、编号、对应厂家名称、生产地、规格及必要说明。</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）：语言为中文，应说明校准周期。</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由制造商承担设备组装、调整、测试和协助验证工作，制造商必须在投标文件中明确设备安装、调试的周期及交验时间。</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安装要求：生产厂家或代理商必须提供设备安装支持，包括及时提供安装文件系统，派员进行设备找平、部件组装、电气接线/配管等工作（所配电缆长度符合现场设备摆置），必须做到连接紧固可靠，杜绝跑、冒、滴、漏现象。</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在制造商工厂进行预验收，预验收期间买方要对设备是否满足技术要求进行确认，并提出整改项目，预验收整改项目完成后，买方签字验收后设备才能进行包装和发运。</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1、终验收在买方工厂进行，卖方负责在买方现场安装、调试设备，并对操作、维修等人员进行技术培训。</w:t>
            </w:r>
          </w:p>
          <w:p>
            <w:pPr>
              <w:jc w:val="both"/>
              <w:rPr>
                <w:bCs/>
                <w:szCs w:val="21"/>
                <w:lang w:eastAsia="zh-CN"/>
              </w:rPr>
            </w:pPr>
            <w:r>
              <w:rPr>
                <w:rFonts w:hint="eastAsia"/>
                <w:bCs/>
                <w:szCs w:val="21"/>
                <w:lang w:eastAsia="zh-CN"/>
              </w:rPr>
              <w:t>2、卖方负责协助买方进行相关验证活动，并对验证中出现的问题提出对策和解决方案，具体内容和要求见协议条款。</w:t>
            </w:r>
          </w:p>
          <w:p>
            <w:pPr>
              <w:jc w:val="both"/>
              <w:rPr>
                <w:bCs/>
                <w:szCs w:val="21"/>
                <w:lang w:eastAsia="zh-CN"/>
              </w:rPr>
            </w:pPr>
            <w:r>
              <w:rPr>
                <w:rFonts w:hint="eastAsia"/>
                <w:bCs/>
                <w:szCs w:val="21"/>
                <w:lang w:eastAsia="zh-CN"/>
              </w:rPr>
              <w:t>3、只有在安装确认（IQ）、运行确认（OQ）、性能确认（PQ）通过后才认为终验收合格。</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jc w:val="both"/>
              <w:rPr>
                <w:bCs/>
                <w:szCs w:val="21"/>
                <w:lang w:eastAsia="zh-CN"/>
              </w:rPr>
            </w:pPr>
          </w:p>
        </w:tc>
        <w:tc>
          <w:tcPr>
            <w:tcW w:w="7729" w:type="dxa"/>
            <w:vAlign w:val="center"/>
          </w:tcPr>
          <w:p>
            <w:pPr>
              <w:jc w:val="both"/>
              <w:rPr>
                <w:bCs/>
                <w:szCs w:val="21"/>
                <w:lang w:eastAsia="zh-CN"/>
              </w:rPr>
            </w:pPr>
            <w:r>
              <w:rPr>
                <w:rFonts w:hint="eastAsia"/>
                <w:bCs/>
                <w:szCs w:val="21"/>
                <w:lang w:eastAsia="zh-CN"/>
              </w:rPr>
              <w:t>供应商需提供的验证文件：</w:t>
            </w:r>
          </w:p>
          <w:p>
            <w:pPr>
              <w:jc w:val="both"/>
              <w:rPr>
                <w:bCs/>
                <w:szCs w:val="21"/>
                <w:lang w:eastAsia="zh-CN"/>
              </w:rPr>
            </w:pPr>
            <w:r>
              <w:rPr>
                <w:rFonts w:hint="eastAsia"/>
                <w:bCs/>
                <w:szCs w:val="21"/>
                <w:lang w:eastAsia="zh-CN"/>
              </w:rPr>
              <w:t>验证计划；</w:t>
            </w:r>
          </w:p>
          <w:p>
            <w:pPr>
              <w:jc w:val="both"/>
              <w:rPr>
                <w:bCs/>
                <w:szCs w:val="21"/>
                <w:lang w:eastAsia="zh-CN"/>
              </w:rPr>
            </w:pPr>
            <w:r>
              <w:rPr>
                <w:rFonts w:hint="eastAsia"/>
                <w:bCs/>
                <w:szCs w:val="21"/>
                <w:lang w:eastAsia="zh-CN"/>
              </w:rPr>
              <w:t>满足GMP和GAMP5等相关法规的评估文件；</w:t>
            </w:r>
          </w:p>
          <w:p>
            <w:pPr>
              <w:jc w:val="both"/>
              <w:rPr>
                <w:bCs/>
                <w:szCs w:val="21"/>
                <w:lang w:eastAsia="zh-CN"/>
              </w:rPr>
            </w:pPr>
            <w:r>
              <w:rPr>
                <w:rFonts w:hint="eastAsia"/>
                <w:bCs/>
                <w:szCs w:val="21"/>
                <w:lang w:eastAsia="zh-CN"/>
              </w:rPr>
              <w:t>设计确认及文件（DQ）；</w:t>
            </w:r>
          </w:p>
          <w:p>
            <w:pPr>
              <w:jc w:val="both"/>
              <w:rPr>
                <w:bCs/>
                <w:szCs w:val="21"/>
                <w:lang w:eastAsia="zh-CN"/>
              </w:rPr>
            </w:pPr>
            <w:r>
              <w:rPr>
                <w:rFonts w:hint="eastAsia"/>
                <w:bCs/>
                <w:szCs w:val="21"/>
                <w:lang w:eastAsia="zh-CN"/>
              </w:rPr>
              <w:t>安装确认及文件（IQ）；</w:t>
            </w:r>
          </w:p>
          <w:p>
            <w:pPr>
              <w:jc w:val="both"/>
              <w:rPr>
                <w:bCs/>
                <w:szCs w:val="21"/>
                <w:lang w:eastAsia="zh-CN"/>
              </w:rPr>
            </w:pPr>
            <w:r>
              <w:rPr>
                <w:rFonts w:hint="eastAsia"/>
                <w:bCs/>
                <w:szCs w:val="21"/>
                <w:lang w:eastAsia="zh-CN"/>
              </w:rPr>
              <w:t>运行确认及文件（OQ）；</w:t>
            </w:r>
          </w:p>
          <w:p>
            <w:pPr>
              <w:jc w:val="both"/>
              <w:rPr>
                <w:bCs/>
                <w:szCs w:val="21"/>
                <w:lang w:eastAsia="zh-CN"/>
              </w:rPr>
            </w:pPr>
            <w:r>
              <w:rPr>
                <w:rFonts w:hint="eastAsia"/>
                <w:bCs/>
                <w:szCs w:val="21"/>
                <w:lang w:eastAsia="zh-CN"/>
              </w:rPr>
              <w:t>设备生产商负责制定设备验证计划、DQ/IQ/OQ验证文件、并负责验证工作的实施，该验证文件作为设备必备文件。</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设备交付计划表。</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使用操作说明书及维护保养说明（即运行及维护手册）3份。</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提供设备及其零部件使用寿命清单。</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应有针对每一部件所作序号的简明图册，以便于维修人员查找和辩识。</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初始校准：包括环路校验等需要由厂家完成。</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ascii="宋体" w:hAnsi="宋体"/>
                <w:bCs/>
                <w:szCs w:val="21"/>
                <w:lang w:eastAsia="zh-CN"/>
              </w:rPr>
              <w:t>供应商应在文件中明确本设备软、硬件的配置，并且阐述配置的每一个系统和组件的必要性。</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标书中明确系统所有组件的品牌、材质、型号，并且注明每一个组件的保修期。</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需要提供主要配件清单，并作单项报价备案，列在合同方案之内。</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供应商应在制造安装前需要就实际尺寸，管路、器件布局与我方沟通确认无误后方可执行。</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供应商需提供所有组件的合格证和说明书。</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上述条款规定的文件需提供电子版，并在设备开箱验收时将最终批准的电子版全套资料交工程技术部存档。</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57"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jc w:val="both"/>
              <w:rPr>
                <w:bCs/>
                <w:szCs w:val="21"/>
                <w:lang w:eastAsia="zh-CN"/>
              </w:rPr>
            </w:pPr>
            <w:r>
              <w:rPr>
                <w:rFonts w:hint="eastAsia"/>
                <w:bCs/>
                <w:szCs w:val="21"/>
                <w:lang w:eastAsia="zh-CN"/>
              </w:rPr>
              <w:t>供应商必须提供如下符合我公司要求的安全管理相关文件：</w:t>
            </w:r>
          </w:p>
          <w:p>
            <w:pPr>
              <w:jc w:val="both"/>
              <w:rPr>
                <w:bCs/>
                <w:szCs w:val="21"/>
                <w:lang w:eastAsia="zh-CN"/>
              </w:rPr>
            </w:pPr>
            <w:r>
              <w:rPr>
                <w:bCs/>
                <w:szCs w:val="21"/>
                <w:lang w:eastAsia="zh-CN"/>
              </w:rPr>
              <w:t>1. 产品质量证明书</w:t>
            </w:r>
          </w:p>
          <w:p>
            <w:pPr>
              <w:jc w:val="both"/>
              <w:rPr>
                <w:bCs/>
                <w:szCs w:val="21"/>
                <w:lang w:eastAsia="zh-CN"/>
              </w:rPr>
            </w:pPr>
            <w:r>
              <w:rPr>
                <w:bCs/>
                <w:szCs w:val="21"/>
                <w:lang w:eastAsia="zh-CN"/>
              </w:rPr>
              <w:t>2. 产品制造监督检验证书</w:t>
            </w:r>
          </w:p>
          <w:p>
            <w:pPr>
              <w:jc w:val="both"/>
              <w:rPr>
                <w:bCs/>
                <w:szCs w:val="21"/>
                <w:lang w:eastAsia="zh-CN"/>
              </w:rPr>
            </w:pPr>
            <w:r>
              <w:rPr>
                <w:bCs/>
                <w:szCs w:val="21"/>
                <w:lang w:eastAsia="zh-CN"/>
              </w:rPr>
              <w:t>3. 产品合格证</w:t>
            </w:r>
          </w:p>
          <w:p>
            <w:pPr>
              <w:jc w:val="both"/>
              <w:rPr>
                <w:bCs/>
                <w:szCs w:val="21"/>
                <w:lang w:eastAsia="zh-CN"/>
              </w:rPr>
            </w:pPr>
            <w:r>
              <w:rPr>
                <w:rFonts w:hint="eastAsia"/>
                <w:bCs/>
                <w:szCs w:val="21"/>
                <w:lang w:val="en-US" w:eastAsia="zh-CN"/>
              </w:rPr>
              <w:t>4</w:t>
            </w:r>
            <w:r>
              <w:rPr>
                <w:bCs/>
                <w:szCs w:val="21"/>
                <w:lang w:eastAsia="zh-CN"/>
              </w:rPr>
              <w:t>.设备</w:t>
            </w:r>
            <w:r>
              <w:rPr>
                <w:rFonts w:hint="eastAsia"/>
                <w:bCs/>
                <w:szCs w:val="21"/>
                <w:lang w:eastAsia="zh-CN"/>
              </w:rPr>
              <w:t>结构</w:t>
            </w:r>
            <w:r>
              <w:rPr>
                <w:bCs/>
                <w:szCs w:val="21"/>
                <w:lang w:eastAsia="zh-CN"/>
              </w:rPr>
              <w:t>图纸</w:t>
            </w:r>
          </w:p>
          <w:p>
            <w:pPr>
              <w:jc w:val="both"/>
              <w:rPr>
                <w:bCs/>
                <w:szCs w:val="21"/>
                <w:lang w:eastAsia="zh-CN"/>
              </w:rPr>
            </w:pPr>
            <w:r>
              <w:rPr>
                <w:rFonts w:hint="eastAsia"/>
                <w:bCs/>
                <w:szCs w:val="21"/>
                <w:lang w:val="en-US" w:eastAsia="zh-CN"/>
              </w:rPr>
              <w:t>5</w:t>
            </w:r>
            <w:r>
              <w:rPr>
                <w:bCs/>
                <w:szCs w:val="21"/>
                <w:lang w:eastAsia="zh-CN"/>
              </w:rPr>
              <w:t>. 安全阀、爆破片等安全附件的第三方检验证书</w:t>
            </w:r>
          </w:p>
        </w:tc>
        <w:tc>
          <w:tcPr>
            <w:tcW w:w="1524" w:type="dxa"/>
            <w:vAlign w:val="center"/>
          </w:tcPr>
          <w:p>
            <w:pPr>
              <w:jc w:val="both"/>
              <w:rPr>
                <w:szCs w:val="21"/>
                <w:lang w:val="en-US" w:eastAsia="zh-CN"/>
              </w:rPr>
            </w:pPr>
            <w:r>
              <w:rPr>
                <w:rFonts w:hint="eastAsia"/>
                <w:szCs w:val="21"/>
                <w:lang w:val="en-US" w:eastAsia="zh-CN"/>
              </w:rPr>
              <w:t>关键</w:t>
            </w:r>
          </w:p>
        </w:tc>
      </w:tr>
      <w:permEnd w:id="38"/>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9627"/>
      <w:r>
        <w:rPr>
          <w:rFonts w:ascii="Times New Roman" w:hAnsi="Times New Roman"/>
          <w:b/>
          <w:szCs w:val="21"/>
        </w:rPr>
        <w:t>服务要求</w:t>
      </w:r>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color w:val="000000"/>
                <w:szCs w:val="21"/>
              </w:rPr>
            </w:pPr>
            <w:permStart w:id="39" w:edGrp="everyone"/>
            <w:permEnd w:id="39"/>
            <w:r>
              <w:rPr>
                <w:b/>
                <w:color w:val="000000"/>
                <w:szCs w:val="21"/>
              </w:rPr>
              <w:t>编号</w:t>
            </w:r>
          </w:p>
        </w:tc>
        <w:tc>
          <w:tcPr>
            <w:tcW w:w="7729" w:type="dxa"/>
            <w:shd w:val="clear" w:color="auto" w:fill="D9D9D9"/>
            <w:vAlign w:val="center"/>
          </w:tcPr>
          <w:p>
            <w:pPr>
              <w:jc w:val="center"/>
              <w:rPr>
                <w:b/>
                <w:color w:val="000000"/>
                <w:szCs w:val="21"/>
                <w:lang w:eastAsia="zh-CN"/>
              </w:rPr>
            </w:pPr>
            <w:r>
              <w:rPr>
                <w:b/>
                <w:color w:val="000000"/>
                <w:szCs w:val="21"/>
                <w:lang w:eastAsia="zh-CN"/>
              </w:rPr>
              <w:t>需求</w:t>
            </w:r>
          </w:p>
        </w:tc>
        <w:tc>
          <w:tcPr>
            <w:tcW w:w="1524" w:type="dxa"/>
            <w:shd w:val="clear" w:color="auto" w:fill="D9D9D9"/>
            <w:vAlign w:val="center"/>
          </w:tcPr>
          <w:p>
            <w:pPr>
              <w:jc w:val="center"/>
              <w:rPr>
                <w:b/>
                <w:color w:val="000000"/>
                <w:szCs w:val="21"/>
                <w:lang w:eastAsia="zh-CN"/>
              </w:rPr>
            </w:pPr>
            <w:r>
              <w:rPr>
                <w:b/>
                <w:color w:val="000000"/>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0" w:edGrp="everyone"/>
          </w:p>
        </w:tc>
        <w:tc>
          <w:tcPr>
            <w:tcW w:w="7729" w:type="dxa"/>
            <w:vAlign w:val="center"/>
          </w:tcPr>
          <w:p>
            <w:pPr>
              <w:jc w:val="both"/>
              <w:rPr>
                <w:bCs/>
                <w:szCs w:val="21"/>
                <w:lang w:eastAsia="zh-CN"/>
              </w:rPr>
            </w:pPr>
            <w:r>
              <w:rPr>
                <w:rFonts w:hint="eastAsia"/>
                <w:bCs/>
                <w:szCs w:val="21"/>
                <w:lang w:eastAsia="zh-CN"/>
              </w:rPr>
              <w:t>设备供应商负责所有技术指导和人员培训，包括：图纸、工艺、操作、设备维护、设备性能及问题解答等。</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1" w:edGrp="everyone"/>
          </w:p>
        </w:tc>
        <w:tc>
          <w:tcPr>
            <w:tcW w:w="7729" w:type="dxa"/>
            <w:vAlign w:val="center"/>
          </w:tcPr>
          <w:p>
            <w:pPr>
              <w:jc w:val="both"/>
              <w:rPr>
                <w:bCs/>
                <w:szCs w:val="21"/>
                <w:lang w:eastAsia="zh-CN"/>
              </w:rPr>
            </w:pPr>
            <w:r>
              <w:rPr>
                <w:rFonts w:hint="eastAsia"/>
                <w:bCs/>
                <w:szCs w:val="21"/>
                <w:lang w:eastAsia="zh-CN"/>
              </w:rPr>
              <w:t>培训对象：管理、技术、维修、操作及相关人员</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2" w:edGrp="everyone"/>
          </w:p>
        </w:tc>
        <w:tc>
          <w:tcPr>
            <w:tcW w:w="7729" w:type="dxa"/>
            <w:vAlign w:val="center"/>
          </w:tcPr>
          <w:p>
            <w:pPr>
              <w:jc w:val="both"/>
              <w:rPr>
                <w:bCs/>
                <w:szCs w:val="21"/>
                <w:lang w:eastAsia="zh-CN"/>
              </w:rPr>
            </w:pPr>
            <w:r>
              <w:rPr>
                <w:rFonts w:hint="eastAsia"/>
                <w:bCs/>
                <w:szCs w:val="21"/>
                <w:lang w:eastAsia="zh-CN"/>
              </w:rPr>
              <w:t>培训内容：</w:t>
            </w:r>
          </w:p>
          <w:p>
            <w:pPr>
              <w:jc w:val="both"/>
              <w:rPr>
                <w:bCs/>
                <w:szCs w:val="21"/>
                <w:lang w:eastAsia="zh-CN"/>
              </w:rPr>
            </w:pPr>
            <w:r>
              <w:rPr>
                <w:rFonts w:hint="eastAsia"/>
                <w:bCs/>
                <w:szCs w:val="21"/>
                <w:lang w:eastAsia="zh-CN"/>
              </w:rPr>
              <w:tab/>
            </w:r>
            <w:r>
              <w:rPr>
                <w:rFonts w:hint="eastAsia"/>
                <w:bCs/>
                <w:szCs w:val="21"/>
                <w:lang w:eastAsia="zh-CN"/>
              </w:rPr>
              <w:t>综合培训（掌握设备理论知识）</w:t>
            </w:r>
          </w:p>
          <w:p>
            <w:pPr>
              <w:jc w:val="both"/>
              <w:rPr>
                <w:bCs/>
                <w:szCs w:val="21"/>
                <w:lang w:eastAsia="zh-CN"/>
              </w:rPr>
            </w:pPr>
            <w:r>
              <w:rPr>
                <w:rFonts w:hint="eastAsia"/>
                <w:bCs/>
                <w:szCs w:val="21"/>
                <w:lang w:eastAsia="zh-CN"/>
              </w:rPr>
              <w:tab/>
            </w:r>
            <w:r>
              <w:rPr>
                <w:rFonts w:hint="eastAsia"/>
                <w:bCs/>
                <w:szCs w:val="21"/>
                <w:lang w:eastAsia="zh-CN"/>
              </w:rPr>
              <w:t>现场培训（设备实践操作知识）</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9253" w:type="dxa"/>
            <w:gridSpan w:val="2"/>
            <w:shd w:val="clear" w:color="auto" w:fill="D9D9D9"/>
            <w:vAlign w:val="center"/>
          </w:tcPr>
          <w:p>
            <w:pPr>
              <w:jc w:val="both"/>
              <w:rPr>
                <w:bCs/>
                <w:szCs w:val="21"/>
                <w:lang w:eastAsia="zh-CN"/>
              </w:rPr>
            </w:pPr>
            <w:r>
              <w:rPr>
                <w:rFonts w:hint="eastAsia"/>
                <w:bCs/>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3" w:edGrp="everyone"/>
          </w:p>
        </w:tc>
        <w:tc>
          <w:tcPr>
            <w:tcW w:w="7729" w:type="dxa"/>
            <w:vAlign w:val="center"/>
          </w:tcPr>
          <w:p>
            <w:pPr>
              <w:jc w:val="both"/>
              <w:rPr>
                <w:bCs/>
                <w:szCs w:val="21"/>
                <w:lang w:eastAsia="zh-CN"/>
              </w:rPr>
            </w:pPr>
            <w:r>
              <w:rPr>
                <w:rFonts w:hint="eastAsia"/>
                <w:bCs/>
                <w:szCs w:val="21"/>
                <w:lang w:eastAsia="zh-CN"/>
              </w:rPr>
              <w:t>货物包装须符合相应标准，该包装应适于长途运输，具有良好的防潮、防水、防锈、防野蛮装卸等保护措施，以确保货物安全运抵现场，供货商应承担由于包装、运输不妥引起的货物锈蚀、损伤和丢失的责任。</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4" w:edGrp="everyone"/>
          </w:p>
        </w:tc>
        <w:tc>
          <w:tcPr>
            <w:tcW w:w="7729" w:type="dxa"/>
            <w:vAlign w:val="center"/>
          </w:tcPr>
          <w:p>
            <w:pPr>
              <w:jc w:val="both"/>
              <w:rPr>
                <w:bCs/>
                <w:szCs w:val="21"/>
                <w:lang w:eastAsia="zh-CN"/>
              </w:rPr>
            </w:pPr>
            <w:r>
              <w:rPr>
                <w:rFonts w:hint="eastAsia"/>
                <w:bCs/>
                <w:szCs w:val="21"/>
                <w:lang w:eastAsia="zh-CN"/>
              </w:rPr>
              <w:t>货物的开箱启包和检查要在设备安装现场进行，应由设备制造商、供应商、买方各派代表参加；根据运单和装箱单查对设备及其配套件的数量和质量；同时将检查结果准确填入《设备开箱验收记录》并签字，</w:t>
            </w:r>
            <w:r>
              <w:rPr>
                <w:rFonts w:hint="eastAsia"/>
                <w:bCs/>
                <w:szCs w:val="21"/>
                <w:lang w:val="en-US" w:eastAsia="zh-CN"/>
              </w:rPr>
              <w:t>如设备提供方未到场，以买方验收记录为准</w:t>
            </w:r>
            <w:r>
              <w:rPr>
                <w:rFonts w:hint="eastAsia"/>
                <w:bCs/>
                <w:szCs w:val="21"/>
                <w:lang w:eastAsia="zh-CN"/>
              </w:rPr>
              <w:t>。</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5" w:edGrp="everyone"/>
          </w:p>
        </w:tc>
        <w:tc>
          <w:tcPr>
            <w:tcW w:w="7729" w:type="dxa"/>
            <w:vAlign w:val="center"/>
          </w:tcPr>
          <w:p>
            <w:pPr>
              <w:jc w:val="both"/>
              <w:rPr>
                <w:bCs/>
                <w:szCs w:val="21"/>
                <w:lang w:eastAsia="zh-CN"/>
              </w:rPr>
            </w:pPr>
            <w:r>
              <w:rPr>
                <w:rFonts w:hint="eastAsia"/>
                <w:bCs/>
                <w:szCs w:val="21"/>
                <w:lang w:eastAsia="zh-CN"/>
              </w:rPr>
              <w:t>货物包装须符合相应标准，该包装应适于长途运输，具有良好的防潮、防水、防锈、防野蛮装卸等保护措施，以确保货物安全运抵现场，供货商应承担由于包装、运输不妥引起的货物锈蚀、损伤和丢失的责任。</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6" w:edGrp="everyone"/>
          </w:p>
        </w:tc>
        <w:tc>
          <w:tcPr>
            <w:tcW w:w="7729" w:type="dxa"/>
            <w:vAlign w:val="center"/>
          </w:tcPr>
          <w:p>
            <w:pPr>
              <w:jc w:val="both"/>
              <w:rPr>
                <w:bCs/>
                <w:szCs w:val="21"/>
                <w:lang w:eastAsia="zh-CN"/>
              </w:rPr>
            </w:pPr>
            <w:r>
              <w:rPr>
                <w:rFonts w:hint="eastAsia"/>
                <w:bCs/>
                <w:szCs w:val="21"/>
                <w:lang w:eastAsia="zh-CN"/>
              </w:rPr>
              <w:t>要求供应商提供该类设备在多家同等规模生物制品生产厂家同类产品长期运行报告。</w:t>
            </w:r>
          </w:p>
        </w:tc>
        <w:tc>
          <w:tcPr>
            <w:tcW w:w="1524" w:type="dxa"/>
            <w:vAlign w:val="center"/>
          </w:tcPr>
          <w:p>
            <w:pPr>
              <w:jc w:val="both"/>
              <w:rPr>
                <w:color w:val="000000"/>
                <w:szCs w:val="21"/>
                <w:lang w:eastAsia="zh-CN"/>
              </w:rPr>
            </w:pP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9253" w:type="dxa"/>
            <w:gridSpan w:val="2"/>
            <w:shd w:val="clear" w:color="auto" w:fill="D9D9D9"/>
            <w:vAlign w:val="center"/>
          </w:tcPr>
          <w:p>
            <w:pPr>
              <w:jc w:val="both"/>
              <w:rPr>
                <w:bCs/>
                <w:szCs w:val="21"/>
                <w:lang w:eastAsia="zh-CN"/>
              </w:rPr>
            </w:pPr>
            <w:r>
              <w:rPr>
                <w:rFonts w:hint="eastAsia"/>
                <w:bCs/>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7" w:edGrp="everyone"/>
          </w:p>
        </w:tc>
        <w:tc>
          <w:tcPr>
            <w:tcW w:w="7729" w:type="dxa"/>
            <w:vAlign w:val="center"/>
          </w:tcPr>
          <w:p>
            <w:pPr>
              <w:jc w:val="both"/>
              <w:rPr>
                <w:bCs/>
                <w:szCs w:val="21"/>
                <w:lang w:eastAsia="zh-CN"/>
              </w:rPr>
            </w:pPr>
            <w:r>
              <w:rPr>
                <w:rFonts w:hint="eastAsia"/>
                <w:bCs/>
                <w:szCs w:val="21"/>
                <w:lang w:eastAsia="zh-CN"/>
              </w:rPr>
              <w:t>在设备完全交付使用前，应完成下列验证： IQ、OQ，此外PQ（共同完成）</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9253" w:type="dxa"/>
            <w:gridSpan w:val="2"/>
            <w:shd w:val="clear" w:color="auto" w:fill="D9D9D9"/>
            <w:vAlign w:val="center"/>
          </w:tcPr>
          <w:p>
            <w:pPr>
              <w:jc w:val="both"/>
              <w:rPr>
                <w:bCs/>
                <w:szCs w:val="21"/>
                <w:lang w:eastAsia="zh-CN"/>
              </w:rPr>
            </w:pPr>
            <w:r>
              <w:rPr>
                <w:rFonts w:hint="eastAsia"/>
                <w:bCs/>
                <w:szCs w:val="21"/>
                <w:lang w:eastAsia="zh-CN"/>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8" w:edGrp="everyone"/>
          </w:p>
        </w:tc>
        <w:tc>
          <w:tcPr>
            <w:tcW w:w="7729" w:type="dxa"/>
            <w:vAlign w:val="center"/>
          </w:tcPr>
          <w:p>
            <w:pPr>
              <w:jc w:val="both"/>
              <w:rPr>
                <w:bCs/>
                <w:szCs w:val="21"/>
                <w:lang w:eastAsia="zh-CN"/>
              </w:rPr>
            </w:pPr>
            <w:r>
              <w:rPr>
                <w:rFonts w:hint="eastAsia"/>
                <w:bCs/>
                <w:szCs w:val="21"/>
                <w:lang w:eastAsia="zh-CN"/>
              </w:rPr>
              <w:t>设备保修期自终验收合格后算起12个月，控制系统保修期自终验收合格后算起12个月。</w:t>
            </w:r>
          </w:p>
        </w:tc>
        <w:tc>
          <w:tcPr>
            <w:tcW w:w="1524" w:type="dxa"/>
            <w:vAlign w:val="center"/>
          </w:tcPr>
          <w:p>
            <w:pPr>
              <w:jc w:val="both"/>
              <w:rPr>
                <w:color w:val="000000"/>
                <w:szCs w:val="21"/>
                <w:lang w:eastAsia="zh-CN"/>
              </w:rPr>
            </w:pPr>
            <w:r>
              <w:rPr>
                <w:rFonts w:hint="eastAsia"/>
                <w:color w:val="000000"/>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49" w:edGrp="everyone"/>
          </w:p>
        </w:tc>
        <w:tc>
          <w:tcPr>
            <w:tcW w:w="7729" w:type="dxa"/>
            <w:vAlign w:val="center"/>
          </w:tcPr>
          <w:p>
            <w:pPr>
              <w:jc w:val="both"/>
              <w:rPr>
                <w:bCs/>
                <w:szCs w:val="21"/>
                <w:lang w:eastAsia="zh-CN"/>
              </w:rPr>
            </w:pPr>
            <w:r>
              <w:rPr>
                <w:rFonts w:hint="eastAsia"/>
                <w:bCs/>
                <w:szCs w:val="21"/>
                <w:lang w:eastAsia="zh-CN"/>
              </w:rPr>
              <w:t>供方需提供终身维护和每年一次的维护保养</w:t>
            </w:r>
          </w:p>
        </w:tc>
        <w:tc>
          <w:tcPr>
            <w:tcW w:w="1524"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729" w:type="dxa"/>
            <w:vAlign w:val="center"/>
          </w:tcPr>
          <w:p>
            <w:pPr>
              <w:spacing w:line="360" w:lineRule="auto"/>
              <w:ind w:firstLine="2"/>
              <w:rPr>
                <w:bCs/>
                <w:color w:val="000000"/>
                <w:szCs w:val="21"/>
                <w:lang w:eastAsia="zh-CN"/>
              </w:rPr>
            </w:pPr>
            <w:r>
              <w:rPr>
                <w:rFonts w:hint="eastAsia"/>
                <w:bCs/>
                <w:szCs w:val="21"/>
                <w:lang w:eastAsia="zh-CN"/>
              </w:rPr>
              <w:t>保修期内，卖方免费为买方维修设备（包括零部件费用）；保修期外，长期提供优惠的维修服务及零部件，维修响应时间24-48小时。</w:t>
            </w:r>
          </w:p>
        </w:tc>
        <w:tc>
          <w:tcPr>
            <w:tcW w:w="1524" w:type="dxa"/>
            <w:vAlign w:val="center"/>
          </w:tcPr>
          <w:p>
            <w:pPr>
              <w:jc w:val="both"/>
              <w:rPr>
                <w:color w:val="000000"/>
                <w:szCs w:val="21"/>
                <w:lang w:eastAsia="zh-CN"/>
              </w:rPr>
            </w:pPr>
            <w:r>
              <w:rPr>
                <w:rFonts w:hint="eastAsia"/>
                <w:color w:val="000000"/>
                <w:szCs w:val="21"/>
                <w:lang w:eastAsia="zh-CN"/>
              </w:rPr>
              <w:t>关键</w:t>
            </w:r>
            <w:r>
              <w:rPr>
                <w:rFonts w:hint="eastAsia" w:ascii="宋体" w:hAnsi="宋体"/>
                <w:color w:val="000000"/>
                <w:szCs w:val="21"/>
                <w:lang w:eastAsia="zh-CN"/>
              </w:rPr>
              <w:t>※</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50" w:edGrp="everyone"/>
          </w:p>
        </w:tc>
        <w:tc>
          <w:tcPr>
            <w:tcW w:w="7729" w:type="dxa"/>
            <w:vAlign w:val="center"/>
          </w:tcPr>
          <w:p>
            <w:pPr>
              <w:spacing w:line="360" w:lineRule="auto"/>
              <w:ind w:firstLine="2"/>
              <w:rPr>
                <w:bCs/>
                <w:szCs w:val="21"/>
                <w:lang w:eastAsia="zh-CN"/>
              </w:rPr>
            </w:pPr>
            <w:r>
              <w:rPr>
                <w:rFonts w:hint="eastAsia"/>
                <w:bCs/>
                <w:szCs w:val="21"/>
                <w:lang w:eastAsia="zh-CN"/>
              </w:rPr>
              <w:t>由制造商承担设备组装、调整、测试和协助验证工作，制造商必须在投标文件中明确设备安装、调试的周期及交验时间。</w:t>
            </w:r>
          </w:p>
        </w:tc>
        <w:tc>
          <w:tcPr>
            <w:tcW w:w="1524" w:type="dxa"/>
            <w:vAlign w:val="center"/>
          </w:tcPr>
          <w:p>
            <w:pPr>
              <w:jc w:val="both"/>
              <w:rPr>
                <w:color w:val="000000"/>
                <w:szCs w:val="21"/>
                <w:lang w:eastAsia="zh-CN"/>
              </w:rPr>
            </w:pPr>
            <w:r>
              <w:rPr>
                <w:rFonts w:hint="eastAsia"/>
                <w:color w:val="000000"/>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ermStart w:id="51" w:edGrp="everyone"/>
          </w:p>
        </w:tc>
        <w:tc>
          <w:tcPr>
            <w:tcW w:w="7729" w:type="dxa"/>
            <w:vAlign w:val="center"/>
          </w:tcPr>
          <w:p>
            <w:pPr>
              <w:spacing w:line="360" w:lineRule="auto"/>
              <w:ind w:firstLine="2"/>
              <w:rPr>
                <w:bCs/>
                <w:szCs w:val="21"/>
                <w:lang w:eastAsia="zh-CN"/>
              </w:rPr>
            </w:pPr>
            <w:r>
              <w:rPr>
                <w:rFonts w:hint="eastAsia"/>
                <w:bCs/>
                <w:szCs w:val="21"/>
                <w:lang w:eastAsia="zh-CN"/>
              </w:rPr>
              <w:t>安装要求：生产厂家或代理商必须提供设备安装支持，包括及时提供安装文件系统，派员进行设备找平、部件组装、电气接线/配管等工作（所配电缆长度符合现场设备摆置），必须做到连接紧固可靠，杜绝跑、冒、滴、漏现象。</w:t>
            </w:r>
          </w:p>
        </w:tc>
        <w:tc>
          <w:tcPr>
            <w:tcW w:w="1524"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729" w:type="dxa"/>
            <w:vAlign w:val="center"/>
          </w:tcPr>
          <w:p>
            <w:pPr>
              <w:spacing w:line="360" w:lineRule="auto"/>
              <w:ind w:firstLine="2"/>
              <w:rPr>
                <w:bCs/>
                <w:szCs w:val="21"/>
                <w:lang w:eastAsia="zh-CN"/>
              </w:rPr>
            </w:pPr>
            <w:r>
              <w:rPr>
                <w:rFonts w:hint="eastAsia"/>
                <w:bCs/>
                <w:szCs w:val="21"/>
                <w:lang w:eastAsia="zh-CN"/>
              </w:rPr>
              <w:t>调试必须在需方水、电、汽等公用介质到位的情况下一周之内完成</w:t>
            </w:r>
          </w:p>
        </w:tc>
        <w:tc>
          <w:tcPr>
            <w:tcW w:w="1524"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729" w:type="dxa"/>
            <w:vAlign w:val="center"/>
          </w:tcPr>
          <w:p>
            <w:pPr>
              <w:spacing w:line="360" w:lineRule="auto"/>
              <w:ind w:firstLine="2"/>
              <w:rPr>
                <w:bCs/>
                <w:szCs w:val="21"/>
                <w:lang w:eastAsia="zh-CN"/>
              </w:rPr>
            </w:pPr>
            <w:r>
              <w:rPr>
                <w:rFonts w:hint="eastAsia"/>
                <w:bCs/>
                <w:szCs w:val="21"/>
                <w:lang w:eastAsia="zh-CN"/>
              </w:rPr>
              <w:t>在制造商工厂进行预验收，预验收期间买方要对设备是否满足技术要求进行确认，并提出整改项目，预验收整改项目完成后，买方签字验收后设备才能进行包装和发运。</w:t>
            </w:r>
          </w:p>
        </w:tc>
        <w:tc>
          <w:tcPr>
            <w:tcW w:w="1524" w:type="dxa"/>
            <w:vAlign w:val="center"/>
          </w:tcPr>
          <w:p>
            <w:pPr>
              <w:jc w:val="both"/>
              <w:rPr>
                <w:color w:val="000000"/>
                <w:szCs w:val="21"/>
                <w:lang w:eastAsia="zh-CN"/>
              </w:rPr>
            </w:pPr>
            <w:r>
              <w:rPr>
                <w:rFonts w:hint="eastAsia"/>
                <w:color w:val="000000"/>
                <w:szCs w:val="21"/>
                <w:lang w:eastAsia="zh-CN"/>
              </w:rPr>
              <w:t>关键</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szCs w:val="21"/>
              </w:rPr>
            </w:pPr>
          </w:p>
        </w:tc>
        <w:tc>
          <w:tcPr>
            <w:tcW w:w="7729" w:type="dxa"/>
            <w:vAlign w:val="center"/>
          </w:tcPr>
          <w:p>
            <w:pPr>
              <w:spacing w:line="360" w:lineRule="auto"/>
              <w:ind w:firstLine="2"/>
              <w:rPr>
                <w:bCs/>
                <w:szCs w:val="21"/>
                <w:lang w:eastAsia="zh-CN"/>
              </w:rPr>
            </w:pPr>
            <w:r>
              <w:rPr>
                <w:rFonts w:hint="eastAsia"/>
                <w:bCs/>
                <w:szCs w:val="21"/>
                <w:lang w:eastAsia="zh-CN"/>
              </w:rPr>
              <w:t>1、终验收在买方工厂进行，卖方负责在买方现场安装、调试设备，并对操作、维修等人员进行技术培训。</w:t>
            </w:r>
          </w:p>
          <w:p>
            <w:pPr>
              <w:spacing w:line="360" w:lineRule="auto"/>
              <w:ind w:firstLine="2"/>
              <w:rPr>
                <w:bCs/>
                <w:szCs w:val="21"/>
                <w:lang w:eastAsia="zh-CN"/>
              </w:rPr>
            </w:pPr>
            <w:r>
              <w:rPr>
                <w:rFonts w:hint="eastAsia"/>
                <w:bCs/>
                <w:szCs w:val="21"/>
                <w:lang w:eastAsia="zh-CN"/>
              </w:rPr>
              <w:t>2、卖方负责协助买方进行相关验证活动，并对验证中出现的问题提出对策和解决方案，具体内容和要求见协议条款。</w:t>
            </w:r>
          </w:p>
          <w:p>
            <w:pPr>
              <w:spacing w:line="360" w:lineRule="auto"/>
              <w:ind w:firstLine="2"/>
              <w:rPr>
                <w:bCs/>
                <w:szCs w:val="21"/>
                <w:lang w:eastAsia="zh-CN"/>
              </w:rPr>
            </w:pPr>
            <w:r>
              <w:rPr>
                <w:rFonts w:hint="eastAsia"/>
                <w:bCs/>
                <w:szCs w:val="21"/>
                <w:lang w:eastAsia="zh-CN"/>
              </w:rPr>
              <w:t>3、只有在安装确认（IQ）、运行确认（OQ）、性能确认（PQ）通过后才认为终验收合格。</w:t>
            </w:r>
          </w:p>
        </w:tc>
        <w:tc>
          <w:tcPr>
            <w:tcW w:w="1524" w:type="dxa"/>
            <w:vAlign w:val="center"/>
          </w:tcPr>
          <w:p>
            <w:pPr>
              <w:jc w:val="both"/>
              <w:rPr>
                <w:color w:val="000000"/>
                <w:szCs w:val="21"/>
                <w:lang w:eastAsia="zh-CN"/>
              </w:rPr>
            </w:pPr>
          </w:p>
        </w:tc>
      </w:tr>
      <w:permEnd w:id="51"/>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6561"/>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spacing w:line="276" w:lineRule="auto"/>
        <w:rPr>
          <w:szCs w:val="21"/>
          <w:lang w:eastAsia="zh-CN"/>
        </w:rPr>
      </w:pPr>
      <w:permStart w:id="52" w:edGrp="everyone"/>
      <w:r>
        <w:rPr>
          <w:rFonts w:hint="eastAsia"/>
          <w:szCs w:val="21"/>
        </w:rPr>
        <w:t>N</w:t>
      </w:r>
      <w:r>
        <w:rPr>
          <w:szCs w:val="21"/>
        </w:rPr>
        <w:t>/A</w:t>
      </w:r>
      <w:permEnd w:id="5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20FEA"/>
    <w:rsid w:val="00022818"/>
    <w:rsid w:val="000233DE"/>
    <w:rsid w:val="00023B07"/>
    <w:rsid w:val="00023CAD"/>
    <w:rsid w:val="0002457E"/>
    <w:rsid w:val="00026913"/>
    <w:rsid w:val="000275E7"/>
    <w:rsid w:val="000303D0"/>
    <w:rsid w:val="00031243"/>
    <w:rsid w:val="00031900"/>
    <w:rsid w:val="000355F3"/>
    <w:rsid w:val="00037987"/>
    <w:rsid w:val="00037F15"/>
    <w:rsid w:val="00037F55"/>
    <w:rsid w:val="000404F1"/>
    <w:rsid w:val="00041104"/>
    <w:rsid w:val="00041A2A"/>
    <w:rsid w:val="00041D89"/>
    <w:rsid w:val="00044DFD"/>
    <w:rsid w:val="00045D22"/>
    <w:rsid w:val="000467C2"/>
    <w:rsid w:val="00046B5E"/>
    <w:rsid w:val="00047038"/>
    <w:rsid w:val="00047BA8"/>
    <w:rsid w:val="00047CAF"/>
    <w:rsid w:val="00053A4C"/>
    <w:rsid w:val="00054BB1"/>
    <w:rsid w:val="00055ED6"/>
    <w:rsid w:val="00056478"/>
    <w:rsid w:val="000567F2"/>
    <w:rsid w:val="00056AE2"/>
    <w:rsid w:val="00056E9E"/>
    <w:rsid w:val="00057046"/>
    <w:rsid w:val="000576C2"/>
    <w:rsid w:val="00063572"/>
    <w:rsid w:val="00063B90"/>
    <w:rsid w:val="00064A43"/>
    <w:rsid w:val="000662D2"/>
    <w:rsid w:val="0007002A"/>
    <w:rsid w:val="00071DD4"/>
    <w:rsid w:val="00072340"/>
    <w:rsid w:val="00072945"/>
    <w:rsid w:val="000729A9"/>
    <w:rsid w:val="00073B81"/>
    <w:rsid w:val="0007673E"/>
    <w:rsid w:val="00077AE1"/>
    <w:rsid w:val="000818AC"/>
    <w:rsid w:val="00082C13"/>
    <w:rsid w:val="00083D58"/>
    <w:rsid w:val="000844A8"/>
    <w:rsid w:val="00084F90"/>
    <w:rsid w:val="00086CA0"/>
    <w:rsid w:val="00087002"/>
    <w:rsid w:val="00092C03"/>
    <w:rsid w:val="00094D0A"/>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19F4"/>
    <w:rsid w:val="000B417D"/>
    <w:rsid w:val="000B4424"/>
    <w:rsid w:val="000B45E0"/>
    <w:rsid w:val="000B4EC4"/>
    <w:rsid w:val="000B5888"/>
    <w:rsid w:val="000B6280"/>
    <w:rsid w:val="000C0A41"/>
    <w:rsid w:val="000C0DD3"/>
    <w:rsid w:val="000C0FA5"/>
    <w:rsid w:val="000C3C81"/>
    <w:rsid w:val="000C41B6"/>
    <w:rsid w:val="000C4C60"/>
    <w:rsid w:val="000C6DC2"/>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3ACF"/>
    <w:rsid w:val="00114353"/>
    <w:rsid w:val="001144F0"/>
    <w:rsid w:val="00115728"/>
    <w:rsid w:val="001163FC"/>
    <w:rsid w:val="00116F39"/>
    <w:rsid w:val="00117665"/>
    <w:rsid w:val="00117A01"/>
    <w:rsid w:val="0012026C"/>
    <w:rsid w:val="00121B6E"/>
    <w:rsid w:val="00122051"/>
    <w:rsid w:val="00122277"/>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AE5"/>
    <w:rsid w:val="001541A9"/>
    <w:rsid w:val="001549D1"/>
    <w:rsid w:val="00154CD3"/>
    <w:rsid w:val="001560A8"/>
    <w:rsid w:val="001560AD"/>
    <w:rsid w:val="0015633E"/>
    <w:rsid w:val="0015752C"/>
    <w:rsid w:val="0016077F"/>
    <w:rsid w:val="00161486"/>
    <w:rsid w:val="001616BD"/>
    <w:rsid w:val="0016194A"/>
    <w:rsid w:val="00161F7F"/>
    <w:rsid w:val="00162A78"/>
    <w:rsid w:val="00163462"/>
    <w:rsid w:val="00163A08"/>
    <w:rsid w:val="00164CDC"/>
    <w:rsid w:val="00164E0D"/>
    <w:rsid w:val="00166311"/>
    <w:rsid w:val="00166478"/>
    <w:rsid w:val="00166E59"/>
    <w:rsid w:val="00167B0E"/>
    <w:rsid w:val="00171A51"/>
    <w:rsid w:val="00173169"/>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A1DE7"/>
    <w:rsid w:val="001A3BB0"/>
    <w:rsid w:val="001A4947"/>
    <w:rsid w:val="001A64C0"/>
    <w:rsid w:val="001A685F"/>
    <w:rsid w:val="001A7EB6"/>
    <w:rsid w:val="001A7FE4"/>
    <w:rsid w:val="001B0278"/>
    <w:rsid w:val="001B1303"/>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F8E"/>
    <w:rsid w:val="001F7405"/>
    <w:rsid w:val="001F7E95"/>
    <w:rsid w:val="00200EBA"/>
    <w:rsid w:val="00201487"/>
    <w:rsid w:val="00201C74"/>
    <w:rsid w:val="00203D4B"/>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0A52"/>
    <w:rsid w:val="00222993"/>
    <w:rsid w:val="00222E4A"/>
    <w:rsid w:val="00223661"/>
    <w:rsid w:val="00224129"/>
    <w:rsid w:val="002247B0"/>
    <w:rsid w:val="00225DD2"/>
    <w:rsid w:val="002279A2"/>
    <w:rsid w:val="00227A0D"/>
    <w:rsid w:val="00227BFA"/>
    <w:rsid w:val="002320D9"/>
    <w:rsid w:val="00234C07"/>
    <w:rsid w:val="002355FF"/>
    <w:rsid w:val="00235BDF"/>
    <w:rsid w:val="002367A6"/>
    <w:rsid w:val="00236BE9"/>
    <w:rsid w:val="00237E6C"/>
    <w:rsid w:val="00240A09"/>
    <w:rsid w:val="00240B1E"/>
    <w:rsid w:val="00241437"/>
    <w:rsid w:val="00241C79"/>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2D6"/>
    <w:rsid w:val="002745D9"/>
    <w:rsid w:val="00274823"/>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E83"/>
    <w:rsid w:val="0029741F"/>
    <w:rsid w:val="0029789E"/>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E1D21"/>
    <w:rsid w:val="002E3B36"/>
    <w:rsid w:val="002E3E4D"/>
    <w:rsid w:val="002E58E5"/>
    <w:rsid w:val="002E59BF"/>
    <w:rsid w:val="002E63F6"/>
    <w:rsid w:val="002E69A1"/>
    <w:rsid w:val="002F1C5E"/>
    <w:rsid w:val="002F1D63"/>
    <w:rsid w:val="002F340E"/>
    <w:rsid w:val="002F4392"/>
    <w:rsid w:val="002F4641"/>
    <w:rsid w:val="002F4B22"/>
    <w:rsid w:val="002F7F05"/>
    <w:rsid w:val="00301C90"/>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64EDA"/>
    <w:rsid w:val="00367203"/>
    <w:rsid w:val="00370514"/>
    <w:rsid w:val="0037056A"/>
    <w:rsid w:val="003720F0"/>
    <w:rsid w:val="003726DF"/>
    <w:rsid w:val="0037345A"/>
    <w:rsid w:val="00373FFA"/>
    <w:rsid w:val="0037455F"/>
    <w:rsid w:val="00376C31"/>
    <w:rsid w:val="00380EB7"/>
    <w:rsid w:val="003810F5"/>
    <w:rsid w:val="00381C39"/>
    <w:rsid w:val="00381CF6"/>
    <w:rsid w:val="00382B2D"/>
    <w:rsid w:val="0038326A"/>
    <w:rsid w:val="0038367F"/>
    <w:rsid w:val="00385E6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4E5C"/>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2731"/>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3F47"/>
    <w:rsid w:val="003F6E0C"/>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10B1"/>
    <w:rsid w:val="00451C5D"/>
    <w:rsid w:val="00451D74"/>
    <w:rsid w:val="00452E73"/>
    <w:rsid w:val="004565EF"/>
    <w:rsid w:val="00457FF9"/>
    <w:rsid w:val="004601ED"/>
    <w:rsid w:val="00460711"/>
    <w:rsid w:val="0046108B"/>
    <w:rsid w:val="004651CE"/>
    <w:rsid w:val="00467AE6"/>
    <w:rsid w:val="00467EC9"/>
    <w:rsid w:val="00472031"/>
    <w:rsid w:val="00477791"/>
    <w:rsid w:val="00477955"/>
    <w:rsid w:val="00480286"/>
    <w:rsid w:val="00480C3B"/>
    <w:rsid w:val="00480FE3"/>
    <w:rsid w:val="00481C94"/>
    <w:rsid w:val="00484A8D"/>
    <w:rsid w:val="00486A4E"/>
    <w:rsid w:val="00486B09"/>
    <w:rsid w:val="0049139F"/>
    <w:rsid w:val="00494E9B"/>
    <w:rsid w:val="00494F07"/>
    <w:rsid w:val="00496116"/>
    <w:rsid w:val="004965A0"/>
    <w:rsid w:val="00497335"/>
    <w:rsid w:val="00497D9B"/>
    <w:rsid w:val="004A05A7"/>
    <w:rsid w:val="004A215D"/>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E5810"/>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0481"/>
    <w:rsid w:val="005217E8"/>
    <w:rsid w:val="005220FE"/>
    <w:rsid w:val="00522AF2"/>
    <w:rsid w:val="005247DE"/>
    <w:rsid w:val="00530B8F"/>
    <w:rsid w:val="00531434"/>
    <w:rsid w:val="00531754"/>
    <w:rsid w:val="00534840"/>
    <w:rsid w:val="00534D08"/>
    <w:rsid w:val="00536973"/>
    <w:rsid w:val="00536C6B"/>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476"/>
    <w:rsid w:val="005840DA"/>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B769F"/>
    <w:rsid w:val="005C2B89"/>
    <w:rsid w:val="005C2FA7"/>
    <w:rsid w:val="005C386F"/>
    <w:rsid w:val="005C42AC"/>
    <w:rsid w:val="005C4D05"/>
    <w:rsid w:val="005C506B"/>
    <w:rsid w:val="005C71BF"/>
    <w:rsid w:val="005C723D"/>
    <w:rsid w:val="005C7601"/>
    <w:rsid w:val="005D1094"/>
    <w:rsid w:val="005D3394"/>
    <w:rsid w:val="005D3989"/>
    <w:rsid w:val="005D42FF"/>
    <w:rsid w:val="005D551D"/>
    <w:rsid w:val="005E0379"/>
    <w:rsid w:val="005E1EBB"/>
    <w:rsid w:val="005E2725"/>
    <w:rsid w:val="005E65FA"/>
    <w:rsid w:val="005F19CE"/>
    <w:rsid w:val="005F28F4"/>
    <w:rsid w:val="005F43BB"/>
    <w:rsid w:val="005F503E"/>
    <w:rsid w:val="005F6CB3"/>
    <w:rsid w:val="005F7612"/>
    <w:rsid w:val="005F7663"/>
    <w:rsid w:val="005F7D63"/>
    <w:rsid w:val="00607170"/>
    <w:rsid w:val="00607408"/>
    <w:rsid w:val="00610AEE"/>
    <w:rsid w:val="0061345C"/>
    <w:rsid w:val="00616593"/>
    <w:rsid w:val="00616BAC"/>
    <w:rsid w:val="00620598"/>
    <w:rsid w:val="00620FEC"/>
    <w:rsid w:val="006214DC"/>
    <w:rsid w:val="006215E2"/>
    <w:rsid w:val="0062168F"/>
    <w:rsid w:val="006221A2"/>
    <w:rsid w:val="0062706A"/>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558C"/>
    <w:rsid w:val="00656797"/>
    <w:rsid w:val="006571EC"/>
    <w:rsid w:val="0066032D"/>
    <w:rsid w:val="0066086B"/>
    <w:rsid w:val="00660A8C"/>
    <w:rsid w:val="006632B2"/>
    <w:rsid w:val="00664084"/>
    <w:rsid w:val="0066445E"/>
    <w:rsid w:val="00667045"/>
    <w:rsid w:val="006701FB"/>
    <w:rsid w:val="00670A00"/>
    <w:rsid w:val="00670C23"/>
    <w:rsid w:val="00672B86"/>
    <w:rsid w:val="00673031"/>
    <w:rsid w:val="0067373A"/>
    <w:rsid w:val="00673EB3"/>
    <w:rsid w:val="00676D34"/>
    <w:rsid w:val="00680BE8"/>
    <w:rsid w:val="00684DF5"/>
    <w:rsid w:val="00685EF5"/>
    <w:rsid w:val="00686409"/>
    <w:rsid w:val="00686D19"/>
    <w:rsid w:val="0068777F"/>
    <w:rsid w:val="00691902"/>
    <w:rsid w:val="00691E7E"/>
    <w:rsid w:val="00693018"/>
    <w:rsid w:val="00693341"/>
    <w:rsid w:val="006A0059"/>
    <w:rsid w:val="006A2354"/>
    <w:rsid w:val="006A351D"/>
    <w:rsid w:val="006A7425"/>
    <w:rsid w:val="006A778D"/>
    <w:rsid w:val="006B058A"/>
    <w:rsid w:val="006B1128"/>
    <w:rsid w:val="006B1299"/>
    <w:rsid w:val="006B26D9"/>
    <w:rsid w:val="006B310C"/>
    <w:rsid w:val="006B664C"/>
    <w:rsid w:val="006C1125"/>
    <w:rsid w:val="006C1C83"/>
    <w:rsid w:val="006C3CE2"/>
    <w:rsid w:val="006C3E78"/>
    <w:rsid w:val="006C4623"/>
    <w:rsid w:val="006C54E6"/>
    <w:rsid w:val="006C5762"/>
    <w:rsid w:val="006C690D"/>
    <w:rsid w:val="006C709C"/>
    <w:rsid w:val="006D149F"/>
    <w:rsid w:val="006D2691"/>
    <w:rsid w:val="006D3396"/>
    <w:rsid w:val="006D4E32"/>
    <w:rsid w:val="006D5AFF"/>
    <w:rsid w:val="006D6B02"/>
    <w:rsid w:val="006E050C"/>
    <w:rsid w:val="006E152B"/>
    <w:rsid w:val="006E36D1"/>
    <w:rsid w:val="006E4002"/>
    <w:rsid w:val="006E4DB6"/>
    <w:rsid w:val="006E622E"/>
    <w:rsid w:val="006E7938"/>
    <w:rsid w:val="006E79FB"/>
    <w:rsid w:val="006F229A"/>
    <w:rsid w:val="006F3BB9"/>
    <w:rsid w:val="006F4AA6"/>
    <w:rsid w:val="006F5157"/>
    <w:rsid w:val="007007FA"/>
    <w:rsid w:val="007036CA"/>
    <w:rsid w:val="007041CB"/>
    <w:rsid w:val="00705090"/>
    <w:rsid w:val="00705102"/>
    <w:rsid w:val="00705DDB"/>
    <w:rsid w:val="00705E2F"/>
    <w:rsid w:val="0070675E"/>
    <w:rsid w:val="00706A0E"/>
    <w:rsid w:val="00710573"/>
    <w:rsid w:val="00710808"/>
    <w:rsid w:val="007116CB"/>
    <w:rsid w:val="0071211E"/>
    <w:rsid w:val="00712B1B"/>
    <w:rsid w:val="0071452D"/>
    <w:rsid w:val="0071622D"/>
    <w:rsid w:val="007168CC"/>
    <w:rsid w:val="007176BB"/>
    <w:rsid w:val="00717811"/>
    <w:rsid w:val="00720A17"/>
    <w:rsid w:val="00720D4B"/>
    <w:rsid w:val="00723A0F"/>
    <w:rsid w:val="00725F08"/>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2CFC"/>
    <w:rsid w:val="007644C4"/>
    <w:rsid w:val="00765D6E"/>
    <w:rsid w:val="00765D7E"/>
    <w:rsid w:val="007674B6"/>
    <w:rsid w:val="00770E90"/>
    <w:rsid w:val="007717F1"/>
    <w:rsid w:val="00772C42"/>
    <w:rsid w:val="0077302F"/>
    <w:rsid w:val="00773661"/>
    <w:rsid w:val="00774A61"/>
    <w:rsid w:val="00774E08"/>
    <w:rsid w:val="00774E72"/>
    <w:rsid w:val="0077746F"/>
    <w:rsid w:val="007775FE"/>
    <w:rsid w:val="00780A5F"/>
    <w:rsid w:val="00783455"/>
    <w:rsid w:val="00784913"/>
    <w:rsid w:val="00785B90"/>
    <w:rsid w:val="0078639C"/>
    <w:rsid w:val="007913D3"/>
    <w:rsid w:val="00793527"/>
    <w:rsid w:val="00794E57"/>
    <w:rsid w:val="0079790C"/>
    <w:rsid w:val="007A0D53"/>
    <w:rsid w:val="007A102A"/>
    <w:rsid w:val="007A15E6"/>
    <w:rsid w:val="007A194B"/>
    <w:rsid w:val="007A4BCD"/>
    <w:rsid w:val="007A5714"/>
    <w:rsid w:val="007A5EFA"/>
    <w:rsid w:val="007A6821"/>
    <w:rsid w:val="007A75EF"/>
    <w:rsid w:val="007B03B6"/>
    <w:rsid w:val="007B060A"/>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0AED"/>
    <w:rsid w:val="007D169C"/>
    <w:rsid w:val="007D18A6"/>
    <w:rsid w:val="007D1CA0"/>
    <w:rsid w:val="007D2DF5"/>
    <w:rsid w:val="007D4994"/>
    <w:rsid w:val="007D4BB3"/>
    <w:rsid w:val="007D4F6E"/>
    <w:rsid w:val="007D5ECD"/>
    <w:rsid w:val="007D61CA"/>
    <w:rsid w:val="007D6DCF"/>
    <w:rsid w:val="007D6F0D"/>
    <w:rsid w:val="007D7963"/>
    <w:rsid w:val="007E3466"/>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B59"/>
    <w:rsid w:val="00821D0F"/>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AC2"/>
    <w:rsid w:val="00864BC6"/>
    <w:rsid w:val="00865EE6"/>
    <w:rsid w:val="00870D23"/>
    <w:rsid w:val="00872043"/>
    <w:rsid w:val="00872A15"/>
    <w:rsid w:val="00872B72"/>
    <w:rsid w:val="00873022"/>
    <w:rsid w:val="00876468"/>
    <w:rsid w:val="008767E1"/>
    <w:rsid w:val="00876CC7"/>
    <w:rsid w:val="0087729B"/>
    <w:rsid w:val="00877CCE"/>
    <w:rsid w:val="008823E4"/>
    <w:rsid w:val="008837C4"/>
    <w:rsid w:val="008849F3"/>
    <w:rsid w:val="00884E78"/>
    <w:rsid w:val="0088673B"/>
    <w:rsid w:val="00887265"/>
    <w:rsid w:val="00887500"/>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6CFC"/>
    <w:rsid w:val="008A730B"/>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41D3"/>
    <w:rsid w:val="008E43F1"/>
    <w:rsid w:val="008E594F"/>
    <w:rsid w:val="008E61D2"/>
    <w:rsid w:val="008E6CD1"/>
    <w:rsid w:val="008E7312"/>
    <w:rsid w:val="008F297F"/>
    <w:rsid w:val="008F447E"/>
    <w:rsid w:val="00904BA9"/>
    <w:rsid w:val="00904E7E"/>
    <w:rsid w:val="0091086B"/>
    <w:rsid w:val="00911129"/>
    <w:rsid w:val="00912EA3"/>
    <w:rsid w:val="00914B6E"/>
    <w:rsid w:val="009152E7"/>
    <w:rsid w:val="009156A2"/>
    <w:rsid w:val="0091579A"/>
    <w:rsid w:val="0091615D"/>
    <w:rsid w:val="00923F7E"/>
    <w:rsid w:val="00924C96"/>
    <w:rsid w:val="00925030"/>
    <w:rsid w:val="00925B32"/>
    <w:rsid w:val="00930A64"/>
    <w:rsid w:val="00930BE5"/>
    <w:rsid w:val="00931403"/>
    <w:rsid w:val="00934991"/>
    <w:rsid w:val="009351A7"/>
    <w:rsid w:val="00936223"/>
    <w:rsid w:val="00937697"/>
    <w:rsid w:val="009426B9"/>
    <w:rsid w:val="0094281A"/>
    <w:rsid w:val="00942E64"/>
    <w:rsid w:val="00944E85"/>
    <w:rsid w:val="0094634C"/>
    <w:rsid w:val="009463AB"/>
    <w:rsid w:val="00950239"/>
    <w:rsid w:val="00950332"/>
    <w:rsid w:val="009537CF"/>
    <w:rsid w:val="009538C8"/>
    <w:rsid w:val="00955899"/>
    <w:rsid w:val="00955A03"/>
    <w:rsid w:val="0096203D"/>
    <w:rsid w:val="0096224A"/>
    <w:rsid w:val="00963289"/>
    <w:rsid w:val="00964A78"/>
    <w:rsid w:val="009656B4"/>
    <w:rsid w:val="00966569"/>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B1717"/>
    <w:rsid w:val="009B22D2"/>
    <w:rsid w:val="009B2839"/>
    <w:rsid w:val="009B4C17"/>
    <w:rsid w:val="009B516E"/>
    <w:rsid w:val="009B5BF6"/>
    <w:rsid w:val="009C1C79"/>
    <w:rsid w:val="009C339C"/>
    <w:rsid w:val="009C33B8"/>
    <w:rsid w:val="009C5B8E"/>
    <w:rsid w:val="009C5DCE"/>
    <w:rsid w:val="009C6F14"/>
    <w:rsid w:val="009D07A0"/>
    <w:rsid w:val="009D107D"/>
    <w:rsid w:val="009D1871"/>
    <w:rsid w:val="009D2985"/>
    <w:rsid w:val="009D3033"/>
    <w:rsid w:val="009D5770"/>
    <w:rsid w:val="009D60DE"/>
    <w:rsid w:val="009D6AF5"/>
    <w:rsid w:val="009D6CF1"/>
    <w:rsid w:val="009D74BA"/>
    <w:rsid w:val="009E0874"/>
    <w:rsid w:val="009E1A16"/>
    <w:rsid w:val="009E1DDA"/>
    <w:rsid w:val="009E2045"/>
    <w:rsid w:val="009E432A"/>
    <w:rsid w:val="009E4A84"/>
    <w:rsid w:val="009E6973"/>
    <w:rsid w:val="009F0466"/>
    <w:rsid w:val="009F4200"/>
    <w:rsid w:val="009F4933"/>
    <w:rsid w:val="009F5FD0"/>
    <w:rsid w:val="009F6DD5"/>
    <w:rsid w:val="009F7B12"/>
    <w:rsid w:val="00A020A2"/>
    <w:rsid w:val="00A0297B"/>
    <w:rsid w:val="00A0358E"/>
    <w:rsid w:val="00A049F9"/>
    <w:rsid w:val="00A0529B"/>
    <w:rsid w:val="00A05D47"/>
    <w:rsid w:val="00A0766F"/>
    <w:rsid w:val="00A10713"/>
    <w:rsid w:val="00A1252C"/>
    <w:rsid w:val="00A13B8B"/>
    <w:rsid w:val="00A151B7"/>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5BA9"/>
    <w:rsid w:val="00AA73FD"/>
    <w:rsid w:val="00AB1C0F"/>
    <w:rsid w:val="00AB2C81"/>
    <w:rsid w:val="00AB2F87"/>
    <w:rsid w:val="00AB32C3"/>
    <w:rsid w:val="00AB4C0D"/>
    <w:rsid w:val="00AB5E2B"/>
    <w:rsid w:val="00AB6069"/>
    <w:rsid w:val="00AB6467"/>
    <w:rsid w:val="00AC0575"/>
    <w:rsid w:val="00AC0758"/>
    <w:rsid w:val="00AC0934"/>
    <w:rsid w:val="00AC17EE"/>
    <w:rsid w:val="00AC2BFD"/>
    <w:rsid w:val="00AC4DDD"/>
    <w:rsid w:val="00AC5A43"/>
    <w:rsid w:val="00AC5D2C"/>
    <w:rsid w:val="00AC6B6D"/>
    <w:rsid w:val="00AD1006"/>
    <w:rsid w:val="00AD3559"/>
    <w:rsid w:val="00AD3B05"/>
    <w:rsid w:val="00AD3C8E"/>
    <w:rsid w:val="00AD470D"/>
    <w:rsid w:val="00AD49AA"/>
    <w:rsid w:val="00AD5193"/>
    <w:rsid w:val="00AD7390"/>
    <w:rsid w:val="00AD7E6F"/>
    <w:rsid w:val="00AE1BD8"/>
    <w:rsid w:val="00AE2817"/>
    <w:rsid w:val="00AE304B"/>
    <w:rsid w:val="00AE3D3E"/>
    <w:rsid w:val="00AE46FF"/>
    <w:rsid w:val="00AE49B2"/>
    <w:rsid w:val="00AE4AC4"/>
    <w:rsid w:val="00AE6BEB"/>
    <w:rsid w:val="00AE7789"/>
    <w:rsid w:val="00AF2164"/>
    <w:rsid w:val="00AF32EA"/>
    <w:rsid w:val="00AF3DED"/>
    <w:rsid w:val="00AF48B1"/>
    <w:rsid w:val="00AF4FB8"/>
    <w:rsid w:val="00AF6713"/>
    <w:rsid w:val="00AF6BD6"/>
    <w:rsid w:val="00AF753A"/>
    <w:rsid w:val="00B021ED"/>
    <w:rsid w:val="00B0250D"/>
    <w:rsid w:val="00B032B1"/>
    <w:rsid w:val="00B03510"/>
    <w:rsid w:val="00B03F46"/>
    <w:rsid w:val="00B059B8"/>
    <w:rsid w:val="00B06F50"/>
    <w:rsid w:val="00B07418"/>
    <w:rsid w:val="00B076E9"/>
    <w:rsid w:val="00B11547"/>
    <w:rsid w:val="00B11EF0"/>
    <w:rsid w:val="00B1226C"/>
    <w:rsid w:val="00B13589"/>
    <w:rsid w:val="00B14C2E"/>
    <w:rsid w:val="00B14F05"/>
    <w:rsid w:val="00B15D01"/>
    <w:rsid w:val="00B20EBF"/>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3631"/>
    <w:rsid w:val="00B548AB"/>
    <w:rsid w:val="00B54BBE"/>
    <w:rsid w:val="00B553F8"/>
    <w:rsid w:val="00B560B6"/>
    <w:rsid w:val="00B5630E"/>
    <w:rsid w:val="00B57891"/>
    <w:rsid w:val="00B602B9"/>
    <w:rsid w:val="00B62FB6"/>
    <w:rsid w:val="00B635BF"/>
    <w:rsid w:val="00B64353"/>
    <w:rsid w:val="00B7050A"/>
    <w:rsid w:val="00B70904"/>
    <w:rsid w:val="00B70A42"/>
    <w:rsid w:val="00B744B0"/>
    <w:rsid w:val="00B74791"/>
    <w:rsid w:val="00B76AF9"/>
    <w:rsid w:val="00B8115B"/>
    <w:rsid w:val="00B81AE2"/>
    <w:rsid w:val="00B82D30"/>
    <w:rsid w:val="00B87F62"/>
    <w:rsid w:val="00B914A4"/>
    <w:rsid w:val="00B92497"/>
    <w:rsid w:val="00B92D41"/>
    <w:rsid w:val="00B92FFE"/>
    <w:rsid w:val="00B93679"/>
    <w:rsid w:val="00B9422D"/>
    <w:rsid w:val="00B94D98"/>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51BB"/>
    <w:rsid w:val="00BE66B5"/>
    <w:rsid w:val="00BE7ECD"/>
    <w:rsid w:val="00BF1682"/>
    <w:rsid w:val="00BF241A"/>
    <w:rsid w:val="00BF3AFB"/>
    <w:rsid w:val="00BF3DD2"/>
    <w:rsid w:val="00BF4344"/>
    <w:rsid w:val="00BF6970"/>
    <w:rsid w:val="00BF69C6"/>
    <w:rsid w:val="00C005D8"/>
    <w:rsid w:val="00C02F31"/>
    <w:rsid w:val="00C04DA5"/>
    <w:rsid w:val="00C050FC"/>
    <w:rsid w:val="00C05824"/>
    <w:rsid w:val="00C05D40"/>
    <w:rsid w:val="00C11905"/>
    <w:rsid w:val="00C14462"/>
    <w:rsid w:val="00C16542"/>
    <w:rsid w:val="00C22382"/>
    <w:rsid w:val="00C2355B"/>
    <w:rsid w:val="00C270A9"/>
    <w:rsid w:val="00C274A6"/>
    <w:rsid w:val="00C34201"/>
    <w:rsid w:val="00C35A38"/>
    <w:rsid w:val="00C35EC9"/>
    <w:rsid w:val="00C36807"/>
    <w:rsid w:val="00C37392"/>
    <w:rsid w:val="00C41545"/>
    <w:rsid w:val="00C4209D"/>
    <w:rsid w:val="00C422A1"/>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925"/>
    <w:rsid w:val="00CA4598"/>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34DB"/>
    <w:rsid w:val="00CC4BA7"/>
    <w:rsid w:val="00CC51AC"/>
    <w:rsid w:val="00CC609D"/>
    <w:rsid w:val="00CC7044"/>
    <w:rsid w:val="00CD08E7"/>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26951"/>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4C6C"/>
    <w:rsid w:val="00D66D42"/>
    <w:rsid w:val="00D71734"/>
    <w:rsid w:val="00D722CC"/>
    <w:rsid w:val="00D7244A"/>
    <w:rsid w:val="00D72BCC"/>
    <w:rsid w:val="00D746C0"/>
    <w:rsid w:val="00D74723"/>
    <w:rsid w:val="00D76091"/>
    <w:rsid w:val="00D76B9C"/>
    <w:rsid w:val="00D76D82"/>
    <w:rsid w:val="00D77D65"/>
    <w:rsid w:val="00D80448"/>
    <w:rsid w:val="00D80C4F"/>
    <w:rsid w:val="00D80EDC"/>
    <w:rsid w:val="00D8149F"/>
    <w:rsid w:val="00D814FB"/>
    <w:rsid w:val="00D83D95"/>
    <w:rsid w:val="00D90293"/>
    <w:rsid w:val="00D90496"/>
    <w:rsid w:val="00D917BC"/>
    <w:rsid w:val="00D942DE"/>
    <w:rsid w:val="00D9491E"/>
    <w:rsid w:val="00D94BF2"/>
    <w:rsid w:val="00D956A8"/>
    <w:rsid w:val="00D95CB5"/>
    <w:rsid w:val="00D972D8"/>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9B1"/>
    <w:rsid w:val="00DF6C58"/>
    <w:rsid w:val="00DF787C"/>
    <w:rsid w:val="00E001C1"/>
    <w:rsid w:val="00E015CA"/>
    <w:rsid w:val="00E039F3"/>
    <w:rsid w:val="00E03C30"/>
    <w:rsid w:val="00E058F8"/>
    <w:rsid w:val="00E078BD"/>
    <w:rsid w:val="00E078F8"/>
    <w:rsid w:val="00E1142B"/>
    <w:rsid w:val="00E11F10"/>
    <w:rsid w:val="00E157E4"/>
    <w:rsid w:val="00E15950"/>
    <w:rsid w:val="00E16522"/>
    <w:rsid w:val="00E1750C"/>
    <w:rsid w:val="00E178A6"/>
    <w:rsid w:val="00E20545"/>
    <w:rsid w:val="00E21CC8"/>
    <w:rsid w:val="00E223C6"/>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93F"/>
    <w:rsid w:val="00ED6A08"/>
    <w:rsid w:val="00EE05EE"/>
    <w:rsid w:val="00EE0AE2"/>
    <w:rsid w:val="00EE35B4"/>
    <w:rsid w:val="00EE5643"/>
    <w:rsid w:val="00EE7CEC"/>
    <w:rsid w:val="00EF01BC"/>
    <w:rsid w:val="00EF056E"/>
    <w:rsid w:val="00EF09B3"/>
    <w:rsid w:val="00EF0A3E"/>
    <w:rsid w:val="00EF5EC6"/>
    <w:rsid w:val="00EF646F"/>
    <w:rsid w:val="00EF791E"/>
    <w:rsid w:val="00EF7A63"/>
    <w:rsid w:val="00F00D58"/>
    <w:rsid w:val="00F013A6"/>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4806"/>
    <w:rsid w:val="00F26185"/>
    <w:rsid w:val="00F26880"/>
    <w:rsid w:val="00F312FB"/>
    <w:rsid w:val="00F3178C"/>
    <w:rsid w:val="00F33DE5"/>
    <w:rsid w:val="00F34B8F"/>
    <w:rsid w:val="00F34DC0"/>
    <w:rsid w:val="00F36D7F"/>
    <w:rsid w:val="00F37186"/>
    <w:rsid w:val="00F42FCF"/>
    <w:rsid w:val="00F44A83"/>
    <w:rsid w:val="00F5157F"/>
    <w:rsid w:val="00F51743"/>
    <w:rsid w:val="00F529D4"/>
    <w:rsid w:val="00F547F3"/>
    <w:rsid w:val="00F54F27"/>
    <w:rsid w:val="00F55FC8"/>
    <w:rsid w:val="00F604E3"/>
    <w:rsid w:val="00F610E6"/>
    <w:rsid w:val="00F61DB7"/>
    <w:rsid w:val="00F61FCC"/>
    <w:rsid w:val="00F66036"/>
    <w:rsid w:val="00F6689D"/>
    <w:rsid w:val="00F67E23"/>
    <w:rsid w:val="00F71601"/>
    <w:rsid w:val="00F72C75"/>
    <w:rsid w:val="00F73C8D"/>
    <w:rsid w:val="00F73F51"/>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1703"/>
    <w:rsid w:val="00FD24B4"/>
    <w:rsid w:val="00FD2B71"/>
    <w:rsid w:val="00FD3576"/>
    <w:rsid w:val="00FD3CA9"/>
    <w:rsid w:val="00FD519C"/>
    <w:rsid w:val="00FD52D6"/>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4C"/>
    <w:rsid w:val="00FF3330"/>
    <w:rsid w:val="00FF4080"/>
    <w:rsid w:val="00FF40A5"/>
    <w:rsid w:val="00FF48DA"/>
    <w:rsid w:val="00FF5E19"/>
    <w:rsid w:val="00FF61AD"/>
    <w:rsid w:val="00FF76BD"/>
    <w:rsid w:val="07BB1F6B"/>
    <w:rsid w:val="0CCC2D30"/>
    <w:rsid w:val="0E9300AB"/>
    <w:rsid w:val="104A2C16"/>
    <w:rsid w:val="114627A3"/>
    <w:rsid w:val="166D105A"/>
    <w:rsid w:val="19AC16E5"/>
    <w:rsid w:val="1A92705A"/>
    <w:rsid w:val="1B1A0FC5"/>
    <w:rsid w:val="1CF62488"/>
    <w:rsid w:val="1DC12C3E"/>
    <w:rsid w:val="26782392"/>
    <w:rsid w:val="276C419B"/>
    <w:rsid w:val="28C6621B"/>
    <w:rsid w:val="295C37F0"/>
    <w:rsid w:val="2A747103"/>
    <w:rsid w:val="2B496C51"/>
    <w:rsid w:val="2BC86A76"/>
    <w:rsid w:val="2E725EEA"/>
    <w:rsid w:val="2F015BFC"/>
    <w:rsid w:val="315B6D83"/>
    <w:rsid w:val="321965CB"/>
    <w:rsid w:val="347C71A6"/>
    <w:rsid w:val="36B64E9E"/>
    <w:rsid w:val="425B092E"/>
    <w:rsid w:val="45F218A5"/>
    <w:rsid w:val="46B12E8B"/>
    <w:rsid w:val="47D1450D"/>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99"/>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qFormat/>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字符"/>
    <w:link w:val="15"/>
    <w:qFormat/>
    <w:uiPriority w:val="0"/>
    <w:rPr>
      <w:rFonts w:eastAsia="宋体"/>
      <w:sz w:val="24"/>
      <w:lang w:eastAsia="en-US" w:bidi="ar-SA"/>
    </w:rPr>
  </w:style>
  <w:style w:type="character" w:customStyle="1" w:styleId="38">
    <w:name w:val="批注文字 字符"/>
    <w:link w:val="7"/>
    <w:semiHidden/>
    <w:qFormat/>
    <w:uiPriority w:val="99"/>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字符"/>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1153</Words>
  <Characters>6573</Characters>
  <Lines>54</Lines>
  <Paragraphs>15</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2021-11-11T13:20:00Z</dcterms:created>
  <dc:creator>Lilly</dc:creator>
  <cp:lastModifiedBy>汪洋</cp:lastModifiedBy>
  <cp:lastPrinted>2020-11-09T02:40:00Z</cp:lastPrinted>
  <dcterms:modified xsi:type="dcterms:W3CDTF">2021-11-19T06:50:09Z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