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3666358"/>
      <w:bookmarkStart w:id="2" w:name="_Toc484532399"/>
      <w:bookmarkStart w:id="3" w:name="_Toc483400307"/>
      <w:bookmarkStart w:id="4" w:name="_Toc482717189"/>
    </w:p>
    <w:p>
      <w:pPr>
        <w:spacing w:after="158" w:afterLines="50"/>
        <w:jc w:val="center"/>
        <w:rPr>
          <w:b/>
          <w:szCs w:val="21"/>
          <w:lang w:eastAsia="zh-CN"/>
        </w:rPr>
      </w:pPr>
      <w:permStart w:id="0" w:edGrp="everyone"/>
      <w:r>
        <w:rPr>
          <w:rFonts w:hint="eastAsia"/>
          <w:b/>
          <w:sz w:val="28"/>
          <w:szCs w:val="28"/>
          <w:lang w:val="en-US" w:eastAsia="zh-CN"/>
        </w:rPr>
        <w:t>联合疫苗楼百日咳车间清洗烘干机</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10</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10</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13</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0"/>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2370349"/>
      <w:bookmarkStart w:id="8" w:name="_Toc482370141"/>
      <w:bookmarkStart w:id="9" w:name="_Toc482360281"/>
      <w:bookmarkStart w:id="10" w:name="_Toc482370757"/>
      <w:bookmarkStart w:id="11" w:name="_Toc482370061"/>
      <w:bookmarkStart w:id="12" w:name="_Toc482625279"/>
      <w:bookmarkStart w:id="13" w:name="_Toc482369805"/>
      <w:bookmarkStart w:id="14" w:name="_Toc481702475"/>
      <w:bookmarkStart w:id="15" w:name="_Toc482359936"/>
      <w:r>
        <w:rPr>
          <w:szCs w:val="21"/>
          <w:lang w:eastAsia="zh-CN"/>
        </w:rPr>
        <w:t>本文件的目的是描述武汉生物制品研究所有限责任公司</w:t>
      </w:r>
      <w:permStart w:id="3" w:edGrp="everyone"/>
      <w:r>
        <w:rPr>
          <w:rFonts w:hint="eastAsia"/>
          <w:szCs w:val="21"/>
          <w:lang w:eastAsia="zh-CN"/>
        </w:rPr>
        <w:t>联合疫苗楼百日咳车间清洗烘干机</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联合疫苗楼百日咳车间清洗烘干机</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《中华人民共和国药典》（2020版）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《药品GMP指南》 （2011版）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国家标准及欧盟现行版 GMP 相关法规要求和准则</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自动化生产规范（GAMP 5）</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color w:val="000000"/>
          <w:szCs w:val="21"/>
          <w:lang w:eastAsia="zh-CN"/>
        </w:rPr>
      </w:pPr>
      <w:permStart w:id="6" w:edGrp="everyone"/>
      <w:r>
        <w:rPr>
          <w:rFonts w:hint="eastAsia"/>
          <w:color w:val="000000"/>
          <w:szCs w:val="21"/>
          <w:lang w:eastAsia="zh-CN"/>
        </w:rPr>
        <w:t>电气安全应符合GB4793.1和GB4793.4的要求。</w:t>
      </w:r>
    </w:p>
    <w:permEnd w:id="6"/>
    <w:p>
      <w:pPr>
        <w:pStyle w:val="34"/>
        <w:spacing w:before="0" w:line="360" w:lineRule="auto"/>
        <w:ind w:left="357"/>
        <w:jc w:val="left"/>
        <w:rPr>
          <w:i/>
          <w:szCs w:val="21"/>
          <w:lang w:eastAsia="zh-CN"/>
        </w:rPr>
      </w:pPr>
      <w:bookmarkStart w:id="47" w:name="_GoBack"/>
      <w:bookmarkEnd w:id="47"/>
    </w:p>
    <w:p>
      <w:pPr>
        <w:pStyle w:val="30"/>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ascii="Times New Roman" w:hAnsi="Times New Roman"/>
          <w:b/>
        </w:rPr>
        <w:t>系统描述</w:t>
      </w:r>
      <w:bookmarkEnd w:id="20"/>
      <w:bookmarkEnd w:id="21"/>
    </w:p>
    <w:p>
      <w:pPr>
        <w:pStyle w:val="34"/>
        <w:spacing w:before="0" w:line="360" w:lineRule="auto"/>
        <w:ind w:left="357"/>
        <w:jc w:val="left"/>
        <w:rPr>
          <w:i/>
          <w:color w:val="4472C4"/>
          <w:szCs w:val="21"/>
          <w:lang w:eastAsia="zh-CN"/>
        </w:rPr>
      </w:pPr>
      <w:permStart w:id="7" w:edGrp="everyone"/>
      <w:r>
        <w:rPr>
          <w:rFonts w:hint="eastAsia"/>
          <w:color w:val="000000"/>
          <w:szCs w:val="21"/>
          <w:lang w:eastAsia="zh-CN"/>
        </w:rPr>
        <w:t>联合疫苗楼百日咳疫苗原液车间配液间需要购买1台</w:t>
      </w:r>
      <w:r>
        <w:rPr>
          <w:rFonts w:hint="eastAsia"/>
          <w:szCs w:val="21"/>
          <w:lang w:eastAsia="zh-CN"/>
        </w:rPr>
        <w:t>清洗烘干机</w:t>
      </w:r>
      <w:r>
        <w:rPr>
          <w:rFonts w:hint="eastAsia"/>
          <w:color w:val="000000"/>
          <w:szCs w:val="21"/>
          <w:lang w:eastAsia="zh-CN"/>
        </w:rPr>
        <w:t>，用于精提工序收集抗原的三角烧瓶的清洗和烘干</w:t>
      </w:r>
      <w:r>
        <w:rPr>
          <w:i/>
          <w:color w:val="4472C4"/>
          <w:szCs w:val="21"/>
          <w:lang w:eastAsia="zh-CN"/>
        </w:rPr>
        <w:t>。</w:t>
      </w:r>
      <w:permEnd w:id="7"/>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ermStart w:id="8" w:edGrp="everyone"/>
      <w:permEnd w:id="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9" w:edGrp="everyone"/>
          </w:p>
        </w:tc>
        <w:tc>
          <w:tcPr>
            <w:tcW w:w="7128" w:type="dxa"/>
            <w:vAlign w:val="center"/>
          </w:tcPr>
          <w:p>
            <w:pPr>
              <w:spacing w:line="276" w:lineRule="auto"/>
              <w:jc w:val="both"/>
              <w:rPr>
                <w:i/>
                <w:color w:val="0070C0"/>
                <w:szCs w:val="21"/>
                <w:lang w:val="en-US" w:eastAsia="zh-CN"/>
              </w:rPr>
            </w:pPr>
            <w:r>
              <w:rPr>
                <w:rFonts w:hint="eastAsia"/>
                <w:iCs/>
                <w:szCs w:val="21"/>
                <w:lang w:val="en-US" w:eastAsia="zh-CN"/>
              </w:rPr>
              <w:t>联合疫苗楼百日咳疫苗原液车间清洗间。</w:t>
            </w:r>
          </w:p>
        </w:tc>
        <w:tc>
          <w:tcPr>
            <w:tcW w:w="2125" w:type="dxa"/>
            <w:vAlign w:val="center"/>
          </w:tcPr>
          <w:p>
            <w:pPr>
              <w:jc w:val="center"/>
              <w:rPr>
                <w:i/>
                <w:szCs w:val="21"/>
                <w:lang w:eastAsia="zh-CN"/>
              </w:rPr>
            </w:pPr>
            <w:r>
              <w:rPr>
                <w:rFonts w:hint="eastAsia"/>
                <w:iCs/>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Cs/>
                <w:szCs w:val="21"/>
                <w:lang w:val="en-US" w:eastAsia="zh-CN"/>
              </w:rPr>
            </w:pPr>
            <w:r>
              <w:rPr>
                <w:rFonts w:hint="eastAsia"/>
                <w:iCs/>
                <w:szCs w:val="21"/>
                <w:lang w:val="en-US" w:eastAsia="zh-CN"/>
              </w:rPr>
              <w:t>设备的形式尺寸应符合制造商说明书及技术文件规定的要求。</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val="en-US" w:eastAsia="zh-CN"/>
              </w:rPr>
            </w:pPr>
            <w:r>
              <w:rPr>
                <w:rFonts w:hint="eastAsia"/>
                <w:iCs/>
                <w:szCs w:val="21"/>
                <w:lang w:val="en-US" w:eastAsia="zh-CN"/>
              </w:rPr>
              <w:t>供应商必须给出设备选型方案及相应附件选型方案，并交给我公司使用部门及工程类部门审核。</w:t>
            </w:r>
          </w:p>
        </w:tc>
        <w:tc>
          <w:tcPr>
            <w:tcW w:w="2125" w:type="dxa"/>
            <w:vAlign w:val="center"/>
          </w:tcPr>
          <w:p>
            <w:pPr>
              <w:jc w:val="center"/>
              <w:rPr>
                <w:iCs/>
                <w:szCs w:val="21"/>
                <w:lang w:val="en-US" w:eastAsia="zh-CN"/>
              </w:rPr>
            </w:pPr>
            <w:r>
              <w:rPr>
                <w:rFonts w:hint="eastAsia"/>
                <w:iCs/>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1011" w:firstLineChars="0"/>
              <w:rPr>
                <w:rFonts w:ascii="Times New Roman" w:hAnsi="Times New Roman"/>
                <w:szCs w:val="21"/>
              </w:rPr>
            </w:pPr>
            <w:permStart w:id="11" w:edGrp="everyone"/>
          </w:p>
        </w:tc>
        <w:tc>
          <w:tcPr>
            <w:tcW w:w="7128" w:type="dxa"/>
            <w:vAlign w:val="center"/>
          </w:tcPr>
          <w:p>
            <w:pPr>
              <w:spacing w:line="276" w:lineRule="auto"/>
              <w:jc w:val="both"/>
              <w:rPr>
                <w:i/>
                <w:color w:val="0070C0"/>
                <w:szCs w:val="21"/>
                <w:lang w:val="en-US" w:eastAsia="zh-CN"/>
              </w:rPr>
            </w:pPr>
            <w:r>
              <w:rPr>
                <w:rFonts w:hint="eastAsia"/>
                <w:iCs/>
                <w:szCs w:val="21"/>
                <w:lang w:val="en-US" w:eastAsia="zh-CN"/>
              </w:rPr>
              <w:t>N/A</w:t>
            </w:r>
          </w:p>
        </w:tc>
        <w:tc>
          <w:tcPr>
            <w:tcW w:w="2125" w:type="dxa"/>
            <w:vAlign w:val="center"/>
          </w:tcPr>
          <w:p>
            <w:pPr>
              <w:jc w:val="both"/>
              <w:rPr>
                <w:szCs w:val="21"/>
                <w:lang w:eastAsia="zh-CN"/>
              </w:rPr>
            </w:pP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881" w:firstLineChars="0"/>
              <w:rPr>
                <w:rFonts w:ascii="Times New Roman" w:hAnsi="Times New Roman"/>
                <w:szCs w:val="21"/>
              </w:rPr>
            </w:pPr>
            <w:permStart w:id="12" w:edGrp="everyone"/>
          </w:p>
        </w:tc>
        <w:tc>
          <w:tcPr>
            <w:tcW w:w="7128" w:type="dxa"/>
            <w:vAlign w:val="center"/>
          </w:tcPr>
          <w:p>
            <w:pPr>
              <w:spacing w:line="276" w:lineRule="auto"/>
              <w:jc w:val="both"/>
              <w:rPr>
                <w:i/>
                <w:szCs w:val="21"/>
                <w:lang w:val="en-US" w:eastAsia="zh-CN"/>
              </w:rPr>
            </w:pPr>
            <w:r>
              <w:rPr>
                <w:rFonts w:hint="eastAsia"/>
                <w:iCs/>
                <w:szCs w:val="21"/>
                <w:lang w:val="en-US" w:eastAsia="zh-CN"/>
              </w:rPr>
              <w:t>纯化水、注射用水</w:t>
            </w:r>
            <w:r>
              <w:rPr>
                <w:rStyle w:val="22"/>
                <w:rFonts w:hint="eastAsia"/>
                <w:lang w:eastAsia="zh-CN"/>
              </w:rPr>
              <w:t>，压缩空气</w:t>
            </w:r>
          </w:p>
        </w:tc>
        <w:tc>
          <w:tcPr>
            <w:tcW w:w="2125" w:type="dxa"/>
            <w:vAlign w:val="center"/>
          </w:tcPr>
          <w:p>
            <w:pPr>
              <w:jc w:val="both"/>
              <w:rPr>
                <w:szCs w:val="21"/>
                <w:lang w:eastAsia="zh-CN"/>
              </w:rPr>
            </w:pP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ermStart w:id="13" w:edGrp="everyone"/>
            <w:permEnd w:id="13"/>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szCs w:val="21"/>
                <w:lang w:val="en-US" w:eastAsia="zh-CN"/>
              </w:rPr>
            </w:pPr>
            <w:r>
              <w:rPr>
                <w:szCs w:val="21"/>
                <w:lang w:eastAsia="zh-CN"/>
              </w:rPr>
              <w:t>工作环境温度： 18</w:t>
            </w:r>
            <w:r>
              <w:rPr>
                <w:rFonts w:hint="eastAsia"/>
                <w:szCs w:val="21"/>
                <w:lang w:eastAsia="zh-CN"/>
              </w:rPr>
              <w:t>℃</w:t>
            </w:r>
            <w:r>
              <w:rPr>
                <w:szCs w:val="21"/>
                <w:lang w:eastAsia="zh-CN"/>
              </w:rPr>
              <w:t>～26</w:t>
            </w:r>
            <w:r>
              <w:rPr>
                <w:rFonts w:hint="eastAsia"/>
                <w:szCs w:val="21"/>
                <w:lang w:eastAsia="zh-CN"/>
              </w:rPr>
              <w:t>℃</w:t>
            </w:r>
            <w:r>
              <w:rPr>
                <w:szCs w:val="21"/>
                <w:lang w:eastAsia="zh-CN"/>
              </w:rPr>
              <w:t xml:space="preserve">环境 </w:t>
            </w:r>
            <w:r>
              <w:rPr>
                <w:rFonts w:hint="eastAsia"/>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val="en-US" w:eastAsia="zh-CN"/>
              </w:rPr>
            </w:pPr>
            <w:r>
              <w:rPr>
                <w:lang w:eastAsia="zh-CN"/>
              </w:rPr>
              <w:t>工</w:t>
            </w:r>
            <w:r>
              <w:rPr>
                <w:szCs w:val="21"/>
                <w:lang w:eastAsia="zh-CN"/>
              </w:rPr>
              <w:t>作环境湿度： 45%～65%</w:t>
            </w:r>
            <w:r>
              <w:rPr>
                <w:rFonts w:hint="eastAsia"/>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val="en-US" w:eastAsia="zh-CN"/>
              </w:rPr>
            </w:pPr>
            <w:r>
              <w:rPr>
                <w:lang w:eastAsia="zh-CN"/>
              </w:rPr>
              <w:t>工作环境洁净级别：</w:t>
            </w:r>
            <w:r>
              <w:rPr>
                <w:rFonts w:hint="eastAsia"/>
                <w:lang w:val="en-US" w:eastAsia="zh-CN"/>
              </w:rPr>
              <w:t>D级。</w:t>
            </w:r>
          </w:p>
        </w:tc>
        <w:tc>
          <w:tcPr>
            <w:tcW w:w="2125" w:type="dxa"/>
            <w:vAlign w:val="center"/>
          </w:tcPr>
          <w:p>
            <w:pPr>
              <w:jc w:val="center"/>
              <w:rPr>
                <w:iCs/>
                <w:szCs w:val="21"/>
                <w:lang w:val="en-US" w:eastAsia="zh-CN"/>
              </w:rPr>
            </w:pPr>
            <w:r>
              <w:rPr>
                <w:rFonts w:hint="eastAsia"/>
                <w:iCs/>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val="en-US" w:eastAsia="zh-CN"/>
              </w:rPr>
            </w:pPr>
            <w:r>
              <w:rPr>
                <w:color w:val="000000"/>
                <w:lang w:eastAsia="zh-CN"/>
              </w:rPr>
              <w:t>交流电电</w:t>
            </w:r>
            <w:r>
              <w:rPr>
                <w:lang w:eastAsia="zh-CN"/>
              </w:rPr>
              <w:t>源：220±10%V，50±1Hz</w:t>
            </w:r>
            <w:r>
              <w:rPr>
                <w:rFonts w:hint="eastAsia"/>
                <w:lang w:eastAsia="zh-CN"/>
              </w:rPr>
              <w:t>。</w:t>
            </w:r>
          </w:p>
        </w:tc>
        <w:tc>
          <w:tcPr>
            <w:tcW w:w="2125" w:type="dxa"/>
            <w:vAlign w:val="center"/>
          </w:tcPr>
          <w:p>
            <w:pPr>
              <w:jc w:val="center"/>
              <w:rPr>
                <w:szCs w:val="21"/>
                <w:lang w:val="en-US" w:eastAsia="zh-CN"/>
              </w:rPr>
            </w:pPr>
            <w:r>
              <w:rPr>
                <w:rFonts w:hint="eastAsia"/>
                <w:iCs/>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i/>
                <w:color w:val="000000"/>
                <w:lang w:eastAsia="zh-CN"/>
              </w:rPr>
            </w:pPr>
            <w:r>
              <w:rPr>
                <w:rFonts w:hint="eastAsia" w:ascii="宋体" w:hAnsi="宋体" w:cs="宋体"/>
                <w:bCs/>
                <w:szCs w:val="21"/>
                <w:lang w:eastAsia="zh-CN"/>
              </w:rPr>
              <w:t>总体设计：</w:t>
            </w:r>
            <w:r>
              <w:rPr>
                <w:rFonts w:hint="eastAsia" w:ascii="宋体" w:hAnsi="宋体" w:cs="Arial"/>
                <w:szCs w:val="21"/>
                <w:lang w:eastAsia="zh-CN"/>
              </w:rPr>
              <w:t>设计结构应充分考虑其科学性和适用性，便于清洁消毒，符合卫生设计要求。</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val="en-US" w:eastAsia="zh-CN"/>
              </w:rPr>
            </w:pPr>
            <w:r>
              <w:rPr>
                <w:rFonts w:hint="eastAsia" w:ascii="宋体" w:hAnsi="宋体" w:cs="宋体"/>
                <w:color w:val="000000"/>
                <w:spacing w:val="-4"/>
                <w:szCs w:val="21"/>
                <w:lang w:val="en-US" w:eastAsia="zh-CN"/>
              </w:rPr>
              <w:t>框架、外壳、前封板等的材质为</w:t>
            </w:r>
            <w:r>
              <w:rPr>
                <w:rFonts w:hint="eastAsia" w:ascii="宋体" w:hAnsi="宋体" w:cs="宋体"/>
                <w:szCs w:val="21"/>
                <w:lang w:val="en-US" w:eastAsia="zh-CN"/>
              </w:rPr>
              <w:t>3</w:t>
            </w:r>
            <w:r>
              <w:rPr>
                <w:rFonts w:ascii="宋体" w:hAnsi="宋体" w:cs="宋体"/>
                <w:szCs w:val="21"/>
                <w:lang w:eastAsia="zh-CN"/>
              </w:rPr>
              <w:t>16</w:t>
            </w:r>
            <w:r>
              <w:rPr>
                <w:rFonts w:hint="eastAsia" w:ascii="宋体" w:hAnsi="宋体" w:cs="宋体"/>
                <w:szCs w:val="21"/>
                <w:lang w:val="en-US" w:eastAsia="zh-CN"/>
              </w:rPr>
              <w:t>不锈钢，内腔材质，316L不锈钢，清洗容积不小于1</w:t>
            </w:r>
            <w:r>
              <w:rPr>
                <w:rFonts w:ascii="宋体" w:hAnsi="宋体" w:cs="宋体"/>
                <w:szCs w:val="21"/>
                <w:lang w:eastAsia="zh-CN"/>
              </w:rPr>
              <w:t>200</w:t>
            </w:r>
            <w:r>
              <w:rPr>
                <w:rFonts w:hint="eastAsia" w:ascii="宋体" w:hAnsi="宋体" w:cs="宋体"/>
                <w:szCs w:val="21"/>
                <w:lang w:val="en-US" w:eastAsia="zh-CN"/>
              </w:rPr>
              <w:t>L；氩焊并抛光，底舱采用弧形和斜坡设计。</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eastAsia="zh-CN"/>
              </w:rPr>
            </w:pPr>
            <w:r>
              <w:rPr>
                <w:rFonts w:hint="eastAsia" w:ascii="宋体" w:hAnsi="宋体" w:cs="宋体"/>
                <w:szCs w:val="21"/>
                <w:lang w:val="en-US" w:eastAsia="zh-CN"/>
              </w:rPr>
              <w:t>清洗室要配备一定数量的旋转喷淋系统，保证清洗过程的覆盖率，其设计也要避免在清洗阶段产生颗粒的现象出现。 清洗室底部配备与装载物品清洗架相连接的供水管路，并采用可靠、方便的快捷连接接口</w:t>
            </w:r>
            <w:r>
              <w:rPr>
                <w:rFonts w:ascii="宋体" w:hAnsi="宋体" w:cs="宋体"/>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使用经验证的碱性和酸性清洗剂，能够有效的清除蛋白质残留，通过电导率，判定清洗的终点。</w:t>
            </w:r>
          </w:p>
        </w:tc>
        <w:tc>
          <w:tcPr>
            <w:tcW w:w="2125" w:type="dxa"/>
            <w:vAlign w:val="center"/>
          </w:tcPr>
          <w:p>
            <w:pPr>
              <w:jc w:val="center"/>
              <w:rPr>
                <w:i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宋体"/>
                <w:szCs w:val="21"/>
                <w:lang w:val="en-US" w:eastAsia="zh-CN"/>
              </w:rPr>
              <w:t>清洗室顶部装有</w:t>
            </w:r>
            <w:r>
              <w:rPr>
                <w:rFonts w:ascii="宋体" w:hAnsi="宋体" w:cs="宋体"/>
                <w:szCs w:val="21"/>
                <w:lang w:eastAsia="zh-CN"/>
              </w:rPr>
              <w:t>5900</w:t>
            </w:r>
            <w:r>
              <w:rPr>
                <w:rFonts w:hint="eastAsia" w:ascii="宋体" w:hAnsi="宋体" w:cs="宋体"/>
                <w:szCs w:val="21"/>
                <w:lang w:val="en-US"/>
              </w:rPr>
              <w:t>K</w:t>
            </w:r>
            <w:r>
              <w:rPr>
                <w:rFonts w:hint="eastAsia" w:ascii="宋体" w:hAnsi="宋体" w:cs="宋体"/>
                <w:szCs w:val="21"/>
                <w:lang w:val="en-US" w:eastAsia="zh-CN"/>
              </w:rPr>
              <w:t>照明灯一套，便于目视检查清洗状况</w:t>
            </w:r>
            <w:r>
              <w:rPr>
                <w:rFonts w:ascii="宋体" w:hAnsi="宋体" w:cs="宋体"/>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szCs w:val="21"/>
                <w:lang w:val="en-US"/>
              </w:rPr>
              <w:t>侧开</w:t>
            </w:r>
            <w:r>
              <w:rPr>
                <w:rFonts w:hint="eastAsia" w:ascii="宋体" w:hAnsi="宋体" w:cs="宋体"/>
                <w:szCs w:val="21"/>
                <w:lang w:val="en-US" w:eastAsia="zh-CN"/>
              </w:rPr>
              <w:t>门---采用钢化玻璃门，允许操作者在门关上的情况下，可以观察腔室内部情况；通过动态压紧一个硅树脂而确保清洗室的完全气密性和水密性</w:t>
            </w:r>
            <w:r>
              <w:rPr>
                <w:rFonts w:ascii="宋体" w:hAnsi="宋体" w:cs="宋体"/>
                <w:szCs w:val="21"/>
                <w:lang w:eastAsia="zh-CN"/>
              </w:rPr>
              <w:t>，</w:t>
            </w:r>
            <w:r>
              <w:rPr>
                <w:rFonts w:hint="eastAsia" w:ascii="宋体" w:hAnsi="宋体" w:cs="宋体"/>
                <w:szCs w:val="21"/>
                <w:lang w:val="en-US" w:eastAsia="zh-CN"/>
              </w:rPr>
              <w:t>保障操作人员的安全</w:t>
            </w:r>
            <w:r>
              <w:rPr>
                <w:rFonts w:ascii="宋体" w:hAnsi="宋体" w:cs="宋体"/>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en-US"/>
              </w:rPr>
            </w:pPr>
            <w:r>
              <w:rPr>
                <w:rFonts w:hint="eastAsia" w:ascii="宋体" w:hAnsi="宋体" w:cs="宋体"/>
                <w:color w:val="000000"/>
                <w:spacing w:val="-4"/>
                <w:szCs w:val="21"/>
                <w:lang w:val="en-US" w:eastAsia="zh-CN"/>
              </w:rPr>
              <w:t>清洗管道</w:t>
            </w:r>
            <w:r>
              <w:rPr>
                <w:rFonts w:ascii="宋体" w:hAnsi="宋体" w:cs="宋体"/>
                <w:color w:val="000000"/>
                <w:spacing w:val="-4"/>
                <w:szCs w:val="21"/>
                <w:lang w:eastAsia="zh-CN"/>
              </w:rPr>
              <w:t>，</w:t>
            </w:r>
            <w:r>
              <w:rPr>
                <w:rFonts w:hint="eastAsia" w:ascii="宋体" w:hAnsi="宋体" w:cs="宋体"/>
                <w:color w:val="000000"/>
                <w:spacing w:val="-4"/>
                <w:szCs w:val="21"/>
                <w:lang w:val="en-US" w:eastAsia="zh-CN"/>
              </w:rPr>
              <w:t>内表面抛光至</w:t>
            </w:r>
            <w:r>
              <w:rPr>
                <w:rFonts w:hint="eastAsia" w:ascii="宋体" w:hAnsi="宋体" w:cs="宋体"/>
                <w:szCs w:val="21"/>
                <w:lang w:val="en-US" w:eastAsia="zh-CN"/>
              </w:rPr>
              <w:t>Ra≤</w:t>
            </w:r>
            <w:r>
              <w:rPr>
                <w:rFonts w:hint="eastAsia" w:ascii="宋体" w:hAnsi="宋体" w:cs="宋体"/>
                <w:color w:val="000000"/>
                <w:spacing w:val="-4"/>
                <w:szCs w:val="21"/>
                <w:lang w:val="en-US" w:eastAsia="zh-CN"/>
              </w:rPr>
              <w:t>0.</w:t>
            </w:r>
            <w:r>
              <w:rPr>
                <w:rFonts w:ascii="宋体" w:hAnsi="宋体" w:cs="宋体"/>
                <w:color w:val="000000"/>
                <w:spacing w:val="-4"/>
                <w:szCs w:val="21"/>
                <w:lang w:eastAsia="zh-CN"/>
              </w:rPr>
              <w:t>4</w:t>
            </w:r>
            <w:r>
              <w:rPr>
                <w:color w:val="000000"/>
                <w:sz w:val="18"/>
                <w:szCs w:val="18"/>
              </w:rPr>
              <w:t>μ</w:t>
            </w:r>
            <w:r>
              <w:rPr>
                <w:rFonts w:hint="eastAsia" w:ascii="宋体" w:hAnsi="宋体" w:cs="宋体"/>
                <w:color w:val="000000"/>
                <w:spacing w:val="-4"/>
                <w:szCs w:val="21"/>
                <w:lang w:val="en-US" w:eastAsia="zh-CN"/>
              </w:rPr>
              <w:t>m，管道焊</w:t>
            </w:r>
            <w:r>
              <w:rPr>
                <w:rFonts w:hint="eastAsia" w:ascii="宋体" w:hAnsi="宋体" w:cs="宋体"/>
                <w:color w:val="000000"/>
                <w:spacing w:val="2"/>
                <w:szCs w:val="21"/>
                <w:lang w:val="en-US" w:eastAsia="zh-CN"/>
              </w:rPr>
              <w:t>接工艺符合GTAW(自动轨迹焊)</w:t>
            </w:r>
            <w:r>
              <w:rPr>
                <w:rFonts w:hint="eastAsia" w:ascii="宋体" w:hAnsi="宋体" w:cs="宋体"/>
                <w:color w:val="000000"/>
                <w:szCs w:val="21"/>
                <w:lang w:val="en-US" w:eastAsia="zh-CN"/>
              </w:rPr>
              <w:t xml:space="preserve"> </w:t>
            </w:r>
            <w:r>
              <w:rPr>
                <w:rFonts w:hint="eastAsia" w:ascii="宋体" w:hAnsi="宋体" w:cs="宋体"/>
                <w:color w:val="000000"/>
                <w:spacing w:val="2"/>
                <w:szCs w:val="21"/>
                <w:lang w:val="en-US" w:eastAsia="zh-CN"/>
              </w:rPr>
              <w:t>标准，</w:t>
            </w:r>
            <w:r>
              <w:rPr>
                <w:rFonts w:hint="eastAsia" w:ascii="宋体" w:hAnsi="宋体" w:cs="宋体"/>
                <w:color w:val="000000"/>
                <w:spacing w:val="1"/>
                <w:szCs w:val="21"/>
                <w:lang w:val="en-US" w:eastAsia="zh-CN"/>
              </w:rPr>
              <w:t xml:space="preserve"> </w:t>
            </w:r>
            <w:r>
              <w:rPr>
                <w:rFonts w:hint="eastAsia" w:ascii="宋体" w:hAnsi="宋体" w:cs="宋体"/>
                <w:color w:val="000000"/>
                <w:spacing w:val="2"/>
                <w:szCs w:val="21"/>
                <w:lang w:val="en-US" w:eastAsia="zh-CN"/>
              </w:rPr>
              <w:t>并采用100%的氩气保护。管道设计用于满足GMP管道的要求：最小2%的坡度，</w:t>
            </w:r>
            <w:r>
              <w:rPr>
                <w:rFonts w:hint="eastAsia" w:ascii="宋体" w:hAnsi="宋体" w:cs="宋体"/>
                <w:color w:val="000000"/>
                <w:spacing w:val="1"/>
                <w:szCs w:val="21"/>
                <w:lang w:val="en-US" w:eastAsia="zh-CN"/>
              </w:rPr>
              <w:t xml:space="preserve"> </w:t>
            </w:r>
            <w:r>
              <w:rPr>
                <w:rFonts w:hint="eastAsia" w:ascii="宋体" w:hAnsi="宋体" w:cs="宋体"/>
                <w:color w:val="000000"/>
                <w:spacing w:val="2"/>
                <w:szCs w:val="21"/>
                <w:lang w:val="en-US" w:eastAsia="zh-CN"/>
              </w:rPr>
              <w:t>便于彻底排放；</w:t>
            </w:r>
            <w:r>
              <w:rPr>
                <w:rFonts w:hint="eastAsia" w:ascii="宋体" w:hAnsi="宋体" w:cs="宋体"/>
                <w:color w:val="000000"/>
                <w:spacing w:val="-4"/>
                <w:szCs w:val="21"/>
                <w:lang w:val="en-US" w:eastAsia="zh-CN"/>
              </w:rPr>
              <w:t>管道的设计符合3D原则，无死角</w:t>
            </w:r>
            <w:r>
              <w:rPr>
                <w:rFonts w:ascii="宋体" w:hAnsi="宋体" w:cs="宋体"/>
                <w:color w:val="000000"/>
                <w:spacing w:val="-4"/>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en-US"/>
              </w:rPr>
            </w:pPr>
            <w:r>
              <w:rPr>
                <w:rFonts w:hint="eastAsia" w:ascii="宋体" w:hAnsi="宋体" w:cs="宋体"/>
                <w:color w:val="000000"/>
                <w:spacing w:val="-4"/>
                <w:szCs w:val="21"/>
                <w:lang w:val="en-US" w:eastAsia="zh-CN"/>
              </w:rPr>
              <w:t>与清洗溶液接触的所有装载清洗物品的支架，都由耐腐蚀的316L不锈钢材质制成，其设计满足cGMP有关排放能力和卫生型设计方面的要求， 可将附件拆卸下来， 以便于检测和清洗。</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en-US" w:eastAsia="zh-CN"/>
              </w:rPr>
            </w:pPr>
            <w:r>
              <w:rPr>
                <w:rFonts w:hint="eastAsia" w:ascii="宋体" w:hAnsi="宋体" w:cs="宋体"/>
                <w:color w:val="000000"/>
                <w:spacing w:val="-4"/>
                <w:szCs w:val="21"/>
                <w:lang w:val="en-US" w:eastAsia="zh-CN"/>
              </w:rPr>
              <w:t>垫圈、密封硅橡胶和O型等密封使用医药级材料：无溶出，不脱落粒子。</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360" w:lineRule="auto"/>
              <w:rPr>
                <w:rFonts w:ascii="宋体"/>
                <w:sz w:val="21"/>
                <w:szCs w:val="21"/>
                <w:lang w:eastAsia="zh-CN"/>
              </w:rPr>
            </w:pPr>
            <w:r>
              <w:rPr>
                <w:rFonts w:hint="eastAsia" w:ascii="宋体" w:hAnsi="宋体"/>
                <w:color w:val="000000"/>
                <w:sz w:val="21"/>
                <w:szCs w:val="21"/>
                <w:lang w:eastAsia="zh-CN"/>
              </w:rPr>
              <w:t>标记：至少应有以下永久贴牢和清楚易认的标记：</w:t>
            </w:r>
            <w:r>
              <w:rPr>
                <w:rFonts w:ascii="宋体" w:hAnsi="宋体"/>
                <w:sz w:val="21"/>
                <w:szCs w:val="21"/>
                <w:lang w:eastAsia="zh-CN"/>
              </w:rPr>
              <w:t xml:space="preserve"> </w:t>
            </w:r>
          </w:p>
          <w:p>
            <w:pPr>
              <w:pStyle w:val="8"/>
              <w:spacing w:line="360" w:lineRule="auto"/>
              <w:rPr>
                <w:rFonts w:asci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1</w:t>
            </w:r>
            <w:r>
              <w:rPr>
                <w:rFonts w:hint="eastAsia" w:ascii="宋体" w:hAnsi="宋体"/>
                <w:color w:val="000000"/>
                <w:sz w:val="21"/>
                <w:szCs w:val="21"/>
                <w:lang w:eastAsia="zh-CN"/>
              </w:rPr>
              <w:t>）制造</w:t>
            </w:r>
            <w:r>
              <w:rPr>
                <w:rFonts w:ascii="宋体" w:hAnsi="宋体"/>
                <w:color w:val="000000"/>
                <w:sz w:val="21"/>
                <w:szCs w:val="21"/>
                <w:lang w:eastAsia="zh-CN"/>
              </w:rPr>
              <w:t>/</w:t>
            </w:r>
            <w:r>
              <w:rPr>
                <w:rFonts w:hint="eastAsia" w:ascii="宋体" w:hAnsi="宋体"/>
                <w:color w:val="000000"/>
                <w:sz w:val="21"/>
                <w:szCs w:val="21"/>
                <w:lang w:eastAsia="zh-CN"/>
              </w:rPr>
              <w:t>供应单位；</w:t>
            </w:r>
          </w:p>
          <w:p>
            <w:pPr>
              <w:pStyle w:val="8"/>
              <w:spacing w:line="360" w:lineRule="auto"/>
              <w:rPr>
                <w:rFonts w:asci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2</w:t>
            </w:r>
            <w:r>
              <w:rPr>
                <w:rFonts w:hint="eastAsia" w:ascii="宋体" w:hAnsi="宋体"/>
                <w:color w:val="000000"/>
                <w:sz w:val="21"/>
                <w:szCs w:val="21"/>
                <w:lang w:eastAsia="zh-CN"/>
              </w:rPr>
              <w:t>）产品注册号；</w:t>
            </w:r>
          </w:p>
          <w:p>
            <w:pPr>
              <w:pStyle w:val="8"/>
              <w:spacing w:line="360" w:lineRule="auto"/>
              <w:rPr>
                <w:rFonts w:asci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3</w:t>
            </w:r>
            <w:r>
              <w:rPr>
                <w:rFonts w:hint="eastAsia" w:ascii="宋体" w:hAnsi="宋体"/>
                <w:color w:val="000000"/>
                <w:sz w:val="21"/>
                <w:szCs w:val="21"/>
                <w:lang w:eastAsia="zh-CN"/>
              </w:rPr>
              <w:t>）型号标记；</w:t>
            </w:r>
          </w:p>
          <w:p>
            <w:pPr>
              <w:pStyle w:val="8"/>
              <w:spacing w:line="360" w:lineRule="auto"/>
              <w:rPr>
                <w:rFonts w:asci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4</w:t>
            </w:r>
            <w:r>
              <w:rPr>
                <w:rFonts w:hint="eastAsia" w:ascii="宋体" w:hAnsi="宋体"/>
                <w:color w:val="000000"/>
                <w:sz w:val="21"/>
                <w:szCs w:val="21"/>
                <w:lang w:eastAsia="zh-CN"/>
              </w:rPr>
              <w:t>）生产日期或编号；</w:t>
            </w:r>
          </w:p>
          <w:p>
            <w:pPr>
              <w:pStyle w:val="8"/>
              <w:spacing w:line="360" w:lineRule="auto"/>
              <w:rPr>
                <w:rFonts w:asci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5</w:t>
            </w:r>
            <w:r>
              <w:rPr>
                <w:rFonts w:hint="eastAsia" w:ascii="宋体" w:hAnsi="宋体"/>
                <w:color w:val="000000"/>
                <w:sz w:val="21"/>
                <w:szCs w:val="21"/>
                <w:lang w:eastAsia="zh-CN"/>
              </w:rPr>
              <w:t>）对设备必要的说明；</w:t>
            </w:r>
          </w:p>
          <w:p>
            <w:pPr>
              <w:pStyle w:val="8"/>
              <w:spacing w:line="360" w:lineRule="auto"/>
              <w:rPr>
                <w:rFonts w:ascii="宋体"/>
                <w:color w:val="000000"/>
                <w:sz w:val="21"/>
                <w:szCs w:val="21"/>
                <w:lang w:eastAsia="zh-CN"/>
              </w:rPr>
            </w:pPr>
            <w:r>
              <w:rPr>
                <w:rFonts w:hint="eastAsia" w:ascii="宋体" w:hAnsi="宋体"/>
                <w:color w:val="000000"/>
                <w:sz w:val="21"/>
                <w:szCs w:val="21"/>
                <w:lang w:eastAsia="zh-CN"/>
              </w:rPr>
              <w:t>（</w:t>
            </w:r>
            <w:r>
              <w:rPr>
                <w:rFonts w:ascii="宋体" w:hAnsi="宋体"/>
                <w:color w:val="000000"/>
                <w:sz w:val="21"/>
                <w:szCs w:val="21"/>
                <w:lang w:eastAsia="zh-CN"/>
              </w:rPr>
              <w:t>6</w:t>
            </w:r>
            <w:r>
              <w:rPr>
                <w:rFonts w:hint="eastAsia" w:ascii="宋体" w:hAnsi="宋体"/>
                <w:color w:val="000000"/>
                <w:sz w:val="21"/>
                <w:szCs w:val="21"/>
                <w:lang w:eastAsia="zh-CN"/>
              </w:rPr>
              <w:t>）必要的功能标识及说明；</w:t>
            </w:r>
          </w:p>
          <w:p>
            <w:pPr>
              <w:pStyle w:val="8"/>
              <w:spacing w:line="276" w:lineRule="auto"/>
              <w:rPr>
                <w:rFonts w:ascii="宋体" w:hAnsi="宋体"/>
                <w:sz w:val="21"/>
                <w:szCs w:val="21"/>
                <w:lang w:val="da-DK" w:eastAsia="zh-CN"/>
              </w:rPr>
            </w:pPr>
            <w:r>
              <w:rPr>
                <w:rFonts w:hint="eastAsia" w:ascii="宋体" w:hAnsi="宋体"/>
                <w:color w:val="000000"/>
                <w:sz w:val="21"/>
                <w:szCs w:val="21"/>
              </w:rPr>
              <w:t>（</w:t>
            </w:r>
            <w:r>
              <w:rPr>
                <w:rFonts w:ascii="宋体" w:hAnsi="宋体"/>
                <w:color w:val="000000"/>
                <w:sz w:val="21"/>
                <w:szCs w:val="21"/>
              </w:rPr>
              <w:t>7</w:t>
            </w:r>
            <w:r>
              <w:rPr>
                <w:rFonts w:hint="eastAsia" w:ascii="宋体" w:hAnsi="宋体"/>
                <w:color w:val="000000"/>
                <w:sz w:val="21"/>
                <w:szCs w:val="21"/>
              </w:rPr>
              <w:t>）安全标识</w:t>
            </w:r>
          </w:p>
        </w:tc>
        <w:tc>
          <w:tcPr>
            <w:tcW w:w="2125" w:type="dxa"/>
            <w:vAlign w:val="center"/>
          </w:tcPr>
          <w:p>
            <w:pPr>
              <w:jc w:val="center"/>
              <w:rPr>
                <w:iCs/>
                <w:szCs w:val="21"/>
                <w:lang w:val="en-US" w:eastAsia="zh-CN"/>
              </w:rPr>
            </w:pPr>
            <w:r>
              <w:rPr>
                <w:rFonts w:hint="eastAsia"/>
                <w:iCs/>
                <w:szCs w:val="21"/>
                <w:lang w:val="en-US" w:eastAsia="zh-CN"/>
              </w:rPr>
              <w:t>关键</w:t>
            </w:r>
          </w:p>
        </w:tc>
      </w:tr>
      <w:bookmarkEnd w:id="23"/>
      <w:bookmarkEnd w:id="24"/>
      <w:permEnd w:id="18"/>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19" w:edGrp="everyone"/>
            <w:permEnd w:id="1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0" w:edGrp="everyone"/>
          </w:p>
        </w:tc>
        <w:tc>
          <w:tcPr>
            <w:tcW w:w="9253" w:type="dxa"/>
            <w:gridSpan w:val="2"/>
            <w:vAlign w:val="center"/>
          </w:tcPr>
          <w:p>
            <w:pPr>
              <w:rPr>
                <w:iCs/>
                <w:szCs w:val="21"/>
                <w:lang w:val="en-US" w:eastAsia="zh-CN"/>
              </w:rPr>
            </w:pPr>
            <w:r>
              <w:rPr>
                <w:rFonts w:hint="eastAsia"/>
                <w:color w:val="000000"/>
                <w:szCs w:val="21"/>
                <w:lang w:eastAsia="zh-CN"/>
              </w:rPr>
              <w:t>N</w:t>
            </w:r>
            <w:r>
              <w:rPr>
                <w:color w:val="000000"/>
                <w:szCs w:val="21"/>
                <w:lang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1051" w:firstLineChars="0"/>
              <w:rPr>
                <w:rFonts w:ascii="Times New Roman" w:hAnsi="Times New Roman"/>
                <w:szCs w:val="21"/>
              </w:rPr>
            </w:pPr>
            <w:permStart w:id="21" w:edGrp="everyone"/>
          </w:p>
        </w:tc>
        <w:tc>
          <w:tcPr>
            <w:tcW w:w="7128" w:type="dxa"/>
            <w:vAlign w:val="center"/>
          </w:tcPr>
          <w:p>
            <w:pPr>
              <w:spacing w:line="276" w:lineRule="auto"/>
              <w:jc w:val="both"/>
              <w:rPr>
                <w:szCs w:val="21"/>
                <w:lang w:eastAsia="zh-CN"/>
              </w:rPr>
            </w:pPr>
            <w:r>
              <w:rPr>
                <w:rFonts w:hint="eastAsia"/>
                <w:color w:val="000000"/>
                <w:szCs w:val="21"/>
                <w:lang w:eastAsia="zh-CN"/>
              </w:rPr>
              <w:t>N</w:t>
            </w:r>
            <w:r>
              <w:rPr>
                <w:color w:val="000000"/>
                <w:szCs w:val="21"/>
                <w:lang w:eastAsia="zh-CN"/>
              </w:rPr>
              <w:t>A</w:t>
            </w:r>
          </w:p>
        </w:tc>
        <w:tc>
          <w:tcPr>
            <w:tcW w:w="2125" w:type="dxa"/>
            <w:vAlign w:val="center"/>
          </w:tcPr>
          <w:p>
            <w:pPr>
              <w:jc w:val="both"/>
              <w:rPr>
                <w:szCs w:val="21"/>
                <w:lang w:val="en-US" w:eastAsia="zh-CN"/>
              </w:rPr>
            </w:pP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i/>
                <w:szCs w:val="21"/>
                <w:lang w:val="en-US" w:eastAsia="zh-CN"/>
              </w:rPr>
            </w:pPr>
            <w:r>
              <w:rPr>
                <w:rFonts w:hint="eastAsia" w:ascii="宋体" w:hAnsi="宋体" w:cs="宋体"/>
                <w:szCs w:val="21"/>
                <w:lang w:val="en-US" w:eastAsia="zh-CN"/>
              </w:rPr>
              <w:t>双-循环泵结构设计，采用AISI 316制造高效节能的循环水泵，泵壳和叶轮经抛光处理达到Ra≤0.6μm的光滑度，消除残留的化学物质；循环量：小泵800L/min/泵、大泵1200L/min/泵，总循环量：2000L/min；</w:t>
            </w:r>
            <w:r>
              <w:rPr>
                <w:rFonts w:hint="eastAsia" w:ascii="宋体" w:hAnsi="宋体" w:cs="宋体"/>
                <w:szCs w:val="21"/>
                <w:lang w:val="en-US"/>
              </w:rPr>
              <w:t>循环泵采用瑞典Perfect或同档次品牌</w:t>
            </w:r>
            <w:r>
              <w:rPr>
                <w:rFonts w:ascii="宋体" w:hAnsi="宋体" w:cs="宋体"/>
                <w:szCs w:val="21"/>
                <w:lang w:val="en-US"/>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szCs w:val="21"/>
                <w:lang w:val="en-US" w:eastAsia="zh-CN"/>
              </w:rPr>
            </w:pPr>
            <w:r>
              <w:rPr>
                <w:rFonts w:hint="eastAsia" w:ascii="宋体" w:hAnsi="宋体" w:cs="宋体"/>
                <w:szCs w:val="21"/>
                <w:lang w:val="en-US" w:eastAsia="zh-CN"/>
              </w:rPr>
              <w:t>循环泵采用变频器控制，防止器皿在水泵启动瞬间被冲击</w:t>
            </w:r>
            <w:r>
              <w:rPr>
                <w:rFonts w:ascii="宋体" w:hAnsi="宋体" w:cs="宋体"/>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val="en-US" w:eastAsia="zh-CN"/>
              </w:rPr>
            </w:pPr>
            <w:r>
              <w:rPr>
                <w:rFonts w:hint="eastAsia" w:ascii="宋体" w:hAnsi="宋体" w:cs="宋体"/>
                <w:color w:val="000000"/>
                <w:spacing w:val="-4"/>
                <w:szCs w:val="21"/>
                <w:lang w:val="en-US" w:eastAsia="zh-CN"/>
              </w:rPr>
              <w:t>清洗机配有配备</w:t>
            </w:r>
            <w:r>
              <w:rPr>
                <w:rFonts w:hint="eastAsia" w:ascii="宋体" w:hAnsi="宋体" w:cs="宋体"/>
                <w:color w:val="000000"/>
                <w:spacing w:val="-4"/>
                <w:szCs w:val="21"/>
                <w:lang w:val="en-US"/>
              </w:rPr>
              <w:t>两种</w:t>
            </w:r>
            <w:r>
              <w:rPr>
                <w:rFonts w:hint="eastAsia" w:ascii="宋体" w:hAnsi="宋体" w:cs="宋体"/>
                <w:color w:val="000000"/>
                <w:spacing w:val="-4"/>
                <w:szCs w:val="21"/>
                <w:lang w:val="en-US" w:eastAsia="zh-CN"/>
              </w:rPr>
              <w:t>清洗液自动注入系统，包括：蠕动泵，清洗液采集管和低液位传感器，可自动控制清洗液用量，自动注入，和监控清洗液的液位。</w:t>
            </w:r>
          </w:p>
        </w:tc>
        <w:tc>
          <w:tcPr>
            <w:tcW w:w="2125" w:type="dxa"/>
            <w:vAlign w:val="center"/>
          </w:tcPr>
          <w:p>
            <w:pPr>
              <w:jc w:val="center"/>
              <w:rPr>
                <w:iCs/>
                <w:szCs w:val="21"/>
                <w:lang w:val="en-US" w:eastAsia="zh-CN"/>
              </w:rPr>
            </w:pPr>
            <w:r>
              <w:rPr>
                <w:rFonts w:hint="eastAsia"/>
                <w:iCs/>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rFonts w:ascii="宋体" w:hAnsi="宋体" w:cs="宋体"/>
                <w:color w:val="000000"/>
                <w:spacing w:val="-4"/>
                <w:szCs w:val="21"/>
                <w:lang w:val="en-US" w:eastAsia="zh-CN"/>
              </w:rPr>
            </w:pPr>
            <w:r>
              <w:rPr>
                <w:rFonts w:hint="eastAsia" w:ascii="宋体" w:hAnsi="宋体" w:cs="宋体"/>
                <w:color w:val="000000"/>
                <w:spacing w:val="-4"/>
                <w:szCs w:val="21"/>
                <w:lang w:val="en-US" w:eastAsia="zh-CN"/>
              </w:rPr>
              <w:t>清洗机带有一套HEPA过滤干燥系统</w:t>
            </w:r>
            <w:r>
              <w:rPr>
                <w:rFonts w:ascii="宋体" w:hAnsi="宋体" w:cs="宋体"/>
                <w:color w:val="000000"/>
                <w:spacing w:val="-4"/>
                <w:szCs w:val="21"/>
                <w:lang w:eastAsia="zh-CN"/>
              </w:rPr>
              <w:t>，</w:t>
            </w:r>
            <w:r>
              <w:rPr>
                <w:rFonts w:hint="eastAsia" w:ascii="宋体" w:hAnsi="宋体" w:cs="宋体"/>
                <w:color w:val="000000"/>
                <w:spacing w:val="-4"/>
                <w:szCs w:val="21"/>
                <w:lang w:val="en-US"/>
              </w:rPr>
              <w:t>等级为H</w:t>
            </w:r>
            <w:r>
              <w:rPr>
                <w:rFonts w:ascii="宋体" w:hAnsi="宋体" w:cs="宋体"/>
                <w:color w:val="000000"/>
                <w:spacing w:val="-4"/>
                <w:szCs w:val="21"/>
                <w:lang/>
              </w:rPr>
              <w:t>14</w:t>
            </w:r>
            <w:r>
              <w:rPr>
                <w:rFonts w:hint="eastAsia" w:ascii="宋体" w:hAnsi="宋体" w:cs="宋体"/>
                <w:color w:val="000000"/>
                <w:spacing w:val="-4"/>
                <w:szCs w:val="21"/>
                <w:lang w:val="en-US" w:eastAsia="zh-CN"/>
              </w:rPr>
              <w:t>， 双压缩风机烘干系统，热风循环量不低于145m³/h/风机，风机功率：700w，干燥空气通过注射清洗栏架直达器皿内部</w:t>
            </w:r>
            <w:r>
              <w:rPr>
                <w:rFonts w:ascii="宋体" w:hAnsi="宋体" w:cs="宋体"/>
                <w:color w:val="000000"/>
                <w:spacing w:val="-4"/>
                <w:szCs w:val="21"/>
                <w:lang w:val="en-US" w:eastAsia="zh-CN"/>
              </w:rPr>
              <w:t>。</w:t>
            </w:r>
            <w:r>
              <w:rPr>
                <w:rFonts w:hint="eastAsia" w:ascii="宋体" w:hAnsi="宋体" w:cs="宋体"/>
                <w:color w:val="000000"/>
                <w:spacing w:val="-4"/>
                <w:szCs w:val="21"/>
                <w:lang w:val="en-US" w:eastAsia="zh-CN"/>
              </w:rPr>
              <w:t>该系统配备压力传感器，实时监测空气压差状态，在与设定值不一致时发出报警信息，监控过滤器堵塞情况，提醒用户更换过滤器。HEPA过滤器有DOP测试端口</w:t>
            </w:r>
            <w:r>
              <w:rPr>
                <w:rFonts w:ascii="宋体" w:hAnsi="宋体" w:cs="宋体"/>
                <w:color w:val="000000"/>
                <w:spacing w:val="-4"/>
                <w:szCs w:val="21"/>
                <w:lang w:val="en-US" w:eastAsia="zh-CN"/>
              </w:rPr>
              <w:t>。</w:t>
            </w:r>
            <w:r>
              <w:rPr>
                <w:rFonts w:hint="eastAsia" w:ascii="宋体" w:hAnsi="宋体" w:cs="宋体"/>
                <w:color w:val="000000"/>
                <w:spacing w:val="-4"/>
                <w:szCs w:val="21"/>
                <w:lang w:val="en-US"/>
              </w:rPr>
              <w:t>压差传感器采用西门子或同档次品牌</w:t>
            </w:r>
            <w:r>
              <w:rPr>
                <w:rFonts w:ascii="宋体" w:hAnsi="宋体" w:cs="宋体"/>
                <w:color w:val="000000"/>
                <w:spacing w:val="-4"/>
                <w:szCs w:val="21"/>
                <w:lang w:val="en-US"/>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rFonts w:ascii="宋体" w:hAnsi="宋体" w:cs="宋体"/>
                <w:color w:val="000000"/>
                <w:spacing w:val="-4"/>
                <w:szCs w:val="21"/>
                <w:lang w:val="en-US" w:eastAsia="zh-CN"/>
              </w:rPr>
            </w:pPr>
            <w:r>
              <w:rPr>
                <w:rFonts w:hint="eastAsia" w:ascii="宋体" w:hAnsi="宋体" w:cs="宋体"/>
                <w:color w:val="000000"/>
                <w:spacing w:val="2"/>
                <w:szCs w:val="21"/>
                <w:lang w:val="en-US" w:eastAsia="zh-CN"/>
              </w:rPr>
              <w:t>清洗机</w:t>
            </w:r>
            <w:r>
              <w:rPr>
                <w:rFonts w:hint="eastAsia" w:ascii="宋体" w:hAnsi="宋体" w:cs="宋体"/>
                <w:color w:val="000000"/>
                <w:spacing w:val="2"/>
                <w:szCs w:val="21"/>
                <w:lang w:val="en-US"/>
              </w:rPr>
              <w:t>能实时</w:t>
            </w:r>
            <w:r>
              <w:rPr>
                <w:rFonts w:hint="eastAsia" w:ascii="宋体" w:hAnsi="宋体" w:cs="宋体"/>
                <w:color w:val="000000"/>
                <w:spacing w:val="-4"/>
                <w:szCs w:val="21"/>
                <w:lang w:val="en-US"/>
              </w:rPr>
              <w:t>监测清洗仓温度</w:t>
            </w:r>
            <w:r>
              <w:rPr>
                <w:rFonts w:hint="eastAsia" w:ascii="宋体" w:hAnsi="宋体" w:cs="宋体"/>
                <w:color w:val="000000"/>
                <w:spacing w:val="-4"/>
                <w:szCs w:val="21"/>
                <w:lang w:val="en-US" w:eastAsia="zh-CN"/>
              </w:rPr>
              <w:t>。</w:t>
            </w:r>
            <w:r>
              <w:rPr>
                <w:rFonts w:hint="eastAsia" w:ascii="宋体" w:hAnsi="宋体" w:cs="宋体"/>
                <w:color w:val="000000"/>
                <w:spacing w:val="-4"/>
                <w:szCs w:val="21"/>
                <w:lang w:val="en-US"/>
              </w:rPr>
              <w:t>温度传感器采用久茂或同档次品牌</w:t>
            </w:r>
            <w:r>
              <w:rPr>
                <w:rFonts w:ascii="宋体" w:hAnsi="宋体" w:cs="宋体"/>
                <w:color w:val="000000"/>
                <w:spacing w:val="-4"/>
                <w:szCs w:val="21"/>
                <w:lang w:val="en-US"/>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rFonts w:ascii="宋体" w:hAnsi="宋体" w:cs="宋体"/>
                <w:color w:val="000000"/>
                <w:spacing w:val="2"/>
                <w:szCs w:val="21"/>
                <w:lang w:val="en-US" w:eastAsia="zh-CN"/>
              </w:rPr>
            </w:pPr>
            <w:r>
              <w:rPr>
                <w:rFonts w:hint="eastAsia" w:ascii="宋体" w:hAnsi="宋体" w:cs="宋体"/>
                <w:spacing w:val="3"/>
                <w:szCs w:val="21"/>
                <w:lang w:val="en-US" w:eastAsia="zh-CN"/>
              </w:rPr>
              <w:t>应设置手动取样装置，对清洗后的排放水取样进行清洗验证。</w:t>
            </w:r>
            <w:r>
              <w:rPr>
                <w:rFonts w:hint="eastAsia" w:ascii="宋体" w:hAnsi="宋体" w:cs="宋体"/>
                <w:spacing w:val="2"/>
                <w:szCs w:val="21"/>
                <w:lang w:val="en-US" w:eastAsia="zh-CN"/>
              </w:rPr>
              <w:t>取样口：在水池内安装一个取样阀，以便对清洗水或冲洗水进行简便、安全的取样</w:t>
            </w:r>
            <w:r>
              <w:rPr>
                <w:rFonts w:hint="eastAsia" w:ascii="宋体" w:hAnsi="宋体" w:cs="宋体"/>
                <w:spacing w:val="-2"/>
                <w:szCs w:val="21"/>
                <w:lang w:val="en-US" w:eastAsia="zh-CN"/>
              </w:rPr>
              <w:t>316L不锈钢阀体。</w:t>
            </w:r>
          </w:p>
        </w:tc>
        <w:tc>
          <w:tcPr>
            <w:tcW w:w="2125" w:type="dxa"/>
            <w:vAlign w:val="center"/>
          </w:tcPr>
          <w:p>
            <w:pPr>
              <w:jc w:val="center"/>
              <w:rPr>
                <w:iCs/>
                <w:szCs w:val="21"/>
                <w:lang w:val="en-US" w:eastAsia="zh-CN"/>
              </w:rPr>
            </w:pPr>
            <w:r>
              <w:rPr>
                <w:rFonts w:hint="eastAsia"/>
                <w:iCs/>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rFonts w:ascii="宋体" w:hAnsi="宋体" w:cs="宋体"/>
                <w:color w:val="000000"/>
                <w:spacing w:val="2"/>
                <w:szCs w:val="21"/>
                <w:lang w:val="en-US" w:eastAsia="zh-CN"/>
              </w:rPr>
            </w:pPr>
            <w:r>
              <w:rPr>
                <w:rFonts w:hint="eastAsia" w:ascii="宋体" w:hAnsi="宋体" w:cs="宋体"/>
                <w:color w:val="000000"/>
                <w:spacing w:val="-4"/>
                <w:szCs w:val="21"/>
                <w:lang w:val="en-US" w:eastAsia="zh-CN"/>
              </w:rPr>
              <w:t>仪表的校正：校正的时间记录仪与标准时间指示装置之间的误差≤1%。</w:t>
            </w:r>
          </w:p>
        </w:tc>
        <w:tc>
          <w:tcPr>
            <w:tcW w:w="2125" w:type="dxa"/>
            <w:vAlign w:val="center"/>
          </w:tcPr>
          <w:p>
            <w:pPr>
              <w:jc w:val="center"/>
              <w:rPr>
                <w:iCs/>
                <w:szCs w:val="21"/>
                <w:lang w:val="en-US" w:eastAsia="zh-CN"/>
              </w:rPr>
            </w:pPr>
            <w:r>
              <w:rPr>
                <w:rFonts w:hint="eastAsia"/>
                <w:iCs/>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rFonts w:ascii="宋体" w:hAnsi="宋体" w:cs="宋体"/>
                <w:color w:val="000000"/>
                <w:spacing w:val="2"/>
                <w:szCs w:val="21"/>
                <w:lang w:val="en-US" w:eastAsia="zh-CN"/>
              </w:rPr>
            </w:pPr>
            <w:r>
              <w:rPr>
                <w:rFonts w:hint="eastAsia" w:ascii="宋体" w:hAnsi="宋体" w:cs="宋体"/>
                <w:color w:val="000000"/>
                <w:spacing w:val="-4"/>
                <w:szCs w:val="21"/>
                <w:lang w:val="en-US" w:eastAsia="zh-CN"/>
              </w:rPr>
              <w:t>西门子PLC控制系统S7-1200</w:t>
            </w:r>
            <w:r>
              <w:rPr>
                <w:rFonts w:hint="eastAsia" w:ascii="宋体" w:hAnsi="宋体" w:cs="宋体"/>
                <w:color w:val="000000"/>
                <w:spacing w:val="-4"/>
                <w:szCs w:val="21"/>
                <w:lang w:val="en-US"/>
              </w:rPr>
              <w:t>或同档次品牌</w:t>
            </w:r>
            <w:r>
              <w:rPr>
                <w:rFonts w:hint="eastAsia" w:ascii="宋体" w:hAnsi="宋体" w:cs="宋体"/>
                <w:color w:val="000000"/>
                <w:spacing w:val="-4"/>
                <w:szCs w:val="21"/>
                <w:lang w:val="en-US" w:eastAsia="zh-CN"/>
              </w:rPr>
              <w:t>，含有10个</w:t>
            </w:r>
            <w:r>
              <w:rPr>
                <w:rFonts w:hint="eastAsia" w:ascii="宋体" w:hAnsi="宋体" w:cs="宋体"/>
                <w:color w:val="000000"/>
                <w:spacing w:val="-4"/>
                <w:szCs w:val="21"/>
                <w:lang w:val="en-US"/>
              </w:rPr>
              <w:t>可自定义程序</w:t>
            </w:r>
            <w:r>
              <w:rPr>
                <w:rFonts w:ascii="宋体" w:hAnsi="宋体" w:cs="宋体"/>
                <w:color w:val="000000"/>
                <w:spacing w:val="-4"/>
                <w:szCs w:val="21"/>
                <w:lang w:val="en-US"/>
              </w:rPr>
              <w:t>，</w:t>
            </w:r>
            <w:r>
              <w:rPr>
                <w:rFonts w:hint="eastAsia" w:ascii="宋体" w:hAnsi="宋体" w:cs="宋体"/>
                <w:color w:val="000000"/>
                <w:spacing w:val="-4"/>
                <w:szCs w:val="21"/>
                <w:lang w:val="en-US" w:eastAsia="zh-CN"/>
              </w:rPr>
              <w:t>循环阶段次数、温度、清洗剂添加量、进水源和其他关键工艺参数也可以进行编程。一旦一个循环开始运行，编程好的循环参数值就会锁定，且直到循环完成而不能改变。</w:t>
            </w:r>
          </w:p>
        </w:tc>
        <w:tc>
          <w:tcPr>
            <w:tcW w:w="2125" w:type="dxa"/>
            <w:vAlign w:val="center"/>
          </w:tcPr>
          <w:p>
            <w:pPr>
              <w:jc w:val="center"/>
              <w:rPr>
                <w:iCs/>
                <w:szCs w:val="21"/>
                <w:lang w:val="en-US" w:eastAsia="zh-CN"/>
              </w:rPr>
            </w:pPr>
            <w:r>
              <w:rPr>
                <w:rFonts w:hint="eastAsia"/>
                <w:iCs/>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top"/>
          </w:tcPr>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清洗机需要配备一个电导率监</w:t>
            </w:r>
            <w:r>
              <w:rPr>
                <w:rFonts w:hint="eastAsia" w:ascii="宋体" w:hAnsi="宋体" w:cs="宋体"/>
                <w:spacing w:val="2"/>
                <w:szCs w:val="21"/>
                <w:lang w:val="en-US" w:eastAsia="zh-CN"/>
              </w:rPr>
              <w:t>控系统，通过最终冲洗水的电导率值自动决定最终冲洗次数</w:t>
            </w:r>
            <w:r>
              <w:rPr>
                <w:rFonts w:ascii="宋体" w:hAnsi="宋体" w:cs="宋体"/>
                <w:spacing w:val="2"/>
                <w:szCs w:val="21"/>
                <w:lang w:eastAsia="zh-CN"/>
              </w:rPr>
              <w:t>，</w:t>
            </w:r>
            <w:r>
              <w:rPr>
                <w:rFonts w:hint="eastAsia" w:ascii="宋体" w:hAnsi="宋体" w:cs="宋体"/>
                <w:spacing w:val="2"/>
                <w:szCs w:val="21"/>
                <w:lang w:val="en-US"/>
              </w:rPr>
              <w:t>采用梅特勒或同档次品牌</w:t>
            </w:r>
            <w:r>
              <w:rPr>
                <w:rFonts w:ascii="宋体" w:hAnsi="宋体" w:cs="宋体"/>
                <w:spacing w:val="2"/>
                <w:szCs w:val="21"/>
                <w:lang/>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top"/>
          </w:tcPr>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清洗机需要配备</w:t>
            </w:r>
            <w:r>
              <w:rPr>
                <w:rFonts w:hint="eastAsia" w:ascii="宋体" w:hAnsi="宋体" w:cs="宋体"/>
                <w:color w:val="000000"/>
                <w:spacing w:val="2"/>
                <w:szCs w:val="21"/>
                <w:lang w:val="en-US"/>
              </w:rPr>
              <w:t>两个</w:t>
            </w:r>
            <w:r>
              <w:rPr>
                <w:rFonts w:hint="eastAsia" w:ascii="宋体" w:hAnsi="宋体" w:cs="宋体"/>
                <w:color w:val="000000"/>
                <w:spacing w:val="2"/>
                <w:szCs w:val="21"/>
                <w:lang w:val="en-US" w:eastAsia="zh-CN"/>
              </w:rPr>
              <w:t>压力传感器</w:t>
            </w:r>
            <w:r>
              <w:rPr>
                <w:rFonts w:ascii="宋体" w:hAnsi="宋体" w:cs="宋体"/>
                <w:color w:val="000000"/>
                <w:spacing w:val="2"/>
                <w:szCs w:val="21"/>
                <w:lang w:eastAsia="zh-CN"/>
              </w:rPr>
              <w:t>，</w:t>
            </w:r>
            <w:r>
              <w:rPr>
                <w:rFonts w:hint="eastAsia" w:ascii="宋体" w:hAnsi="宋体" w:cs="宋体"/>
                <w:color w:val="000000"/>
                <w:spacing w:val="2"/>
                <w:szCs w:val="21"/>
                <w:lang w:val="en-US" w:eastAsia="zh-CN"/>
              </w:rPr>
              <w:t>用于监控</w:t>
            </w:r>
            <w:r>
              <w:rPr>
                <w:rFonts w:hint="eastAsia" w:ascii="宋体" w:hAnsi="宋体" w:cs="宋体"/>
                <w:color w:val="000000"/>
                <w:spacing w:val="2"/>
                <w:szCs w:val="21"/>
                <w:lang w:val="en-US"/>
              </w:rPr>
              <w:t>管道与</w:t>
            </w:r>
            <w:r>
              <w:rPr>
                <w:rFonts w:hint="eastAsia" w:ascii="宋体" w:hAnsi="宋体" w:cs="宋体"/>
                <w:color w:val="000000"/>
                <w:spacing w:val="2"/>
                <w:szCs w:val="21"/>
                <w:lang w:val="en-US" w:eastAsia="zh-CN"/>
              </w:rPr>
              <w:t>泵的压力，以保证准备的工艺控制。如果泵压力太低</w:t>
            </w:r>
            <w:r>
              <w:rPr>
                <w:rFonts w:hint="eastAsia" w:ascii="宋体" w:hAnsi="宋体" w:cs="宋体"/>
                <w:spacing w:val="2"/>
                <w:szCs w:val="21"/>
                <w:lang w:val="en-US" w:eastAsia="zh-CN"/>
              </w:rPr>
              <w:t>或太高或传感器出现故障，将发出报警</w:t>
            </w:r>
            <w:r>
              <w:rPr>
                <w:rFonts w:ascii="宋体" w:hAnsi="宋体" w:cs="宋体"/>
                <w:spacing w:val="2"/>
                <w:szCs w:val="21"/>
                <w:lang w:eastAsia="zh-CN"/>
              </w:rPr>
              <w:t>。</w:t>
            </w:r>
            <w:r>
              <w:rPr>
                <w:rFonts w:hint="eastAsia" w:ascii="宋体" w:hAnsi="宋体" w:cs="宋体"/>
                <w:spacing w:val="2"/>
                <w:szCs w:val="21"/>
                <w:lang w:val="en-US"/>
              </w:rPr>
              <w:t>压力传感器采用久茂或同档次品牌</w:t>
            </w:r>
            <w:r>
              <w:rPr>
                <w:rFonts w:ascii="宋体" w:hAnsi="宋体" w:cs="宋体"/>
                <w:spacing w:val="2"/>
                <w:szCs w:val="21"/>
                <w:lang/>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rFonts w:ascii="宋体" w:hAnsi="宋体" w:cs="宋体"/>
                <w:color w:val="000000"/>
                <w:spacing w:val="2"/>
                <w:szCs w:val="21"/>
                <w:lang w:val="en-US"/>
              </w:rPr>
            </w:pPr>
            <w:r>
              <w:rPr>
                <w:rFonts w:hint="eastAsia" w:ascii="宋体" w:hAnsi="宋体" w:cs="宋体"/>
                <w:color w:val="000000"/>
                <w:spacing w:val="2"/>
                <w:szCs w:val="21"/>
                <w:lang w:val="en-US" w:eastAsia="zh-CN"/>
              </w:rPr>
              <w:t>设备空载运行噪音：≤75db(A)</w:t>
            </w:r>
            <w:r>
              <w:rPr>
                <w:rFonts w:ascii="宋体" w:hAnsi="宋体" w:cs="宋体"/>
                <w:color w:val="000000"/>
                <w:spacing w:val="2"/>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spacing w:line="276" w:lineRule="auto"/>
              <w:jc w:val="both"/>
              <w:rPr>
                <w:rFonts w:ascii="宋体" w:hAnsi="宋体" w:cs="宋体"/>
                <w:color w:val="000000"/>
                <w:spacing w:val="2"/>
                <w:szCs w:val="21"/>
                <w:lang w:val="en-US" w:eastAsia="zh-CN"/>
              </w:rPr>
            </w:pPr>
            <w:r>
              <w:rPr>
                <w:rFonts w:hint="eastAsia" w:ascii="宋体" w:hAnsi="宋体" w:cs="宋体"/>
                <w:szCs w:val="21"/>
                <w:lang w:val="en-US" w:eastAsia="zh-CN"/>
              </w:rPr>
              <w:t>使用经验证的清洗剂，清洗剂无残留，清洗剂对制品无其他影响。</w:t>
            </w:r>
          </w:p>
        </w:tc>
        <w:tc>
          <w:tcPr>
            <w:tcW w:w="2125" w:type="dxa"/>
            <w:vAlign w:val="center"/>
          </w:tcPr>
          <w:p>
            <w:pPr>
              <w:jc w:val="center"/>
              <w:rPr>
                <w:iCs/>
                <w:szCs w:val="21"/>
                <w:lang w:val="en-US" w:eastAsia="zh-CN"/>
              </w:rPr>
            </w:pP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szCs w:val="21"/>
                <w:lang w:eastAsia="zh-CN"/>
              </w:rPr>
            </w:pPr>
            <w:r>
              <w:rPr>
                <w:rFonts w:hint="eastAsia" w:ascii="宋体" w:hAnsi="宋体" w:cs="宋体"/>
                <w:szCs w:val="21"/>
                <w:lang w:val="en-US" w:eastAsia="zh-CN"/>
              </w:rPr>
              <w:t>仪器应采用</w:t>
            </w:r>
            <w:r>
              <w:rPr>
                <w:rFonts w:hint="eastAsia" w:ascii="宋体" w:hAnsi="宋体" w:cs="宋体"/>
                <w:szCs w:val="21"/>
                <w:lang w:val="en-US"/>
              </w:rPr>
              <w:t>侧部</w:t>
            </w:r>
            <w:r>
              <w:rPr>
                <w:rFonts w:hint="eastAsia" w:ascii="宋体" w:hAnsi="宋体" w:cs="宋体"/>
                <w:szCs w:val="21"/>
                <w:lang w:val="en-US" w:eastAsia="zh-CN"/>
              </w:rPr>
              <w:t>供水方式为清洗篮架供水，在每次循环后，排净管路中水</w:t>
            </w:r>
            <w:r>
              <w:rPr>
                <w:rFonts w:ascii="宋体" w:hAnsi="宋体" w:cs="宋体"/>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en-US" w:eastAsia="zh-CN"/>
              </w:rPr>
            </w:pPr>
            <w:r>
              <w:rPr>
                <w:rFonts w:hint="eastAsia" w:ascii="宋体" w:hAnsi="宋体" w:cs="宋体"/>
                <w:spacing w:val="3"/>
                <w:szCs w:val="21"/>
                <w:lang w:val="en-US" w:eastAsia="zh-CN"/>
              </w:rPr>
              <w:t>清洗架能满足清洗需求，一天内能满足200个1000ml离心杯、120个500ml离心杯、120个250ml的清洗</w:t>
            </w:r>
            <w:r>
              <w:rPr>
                <w:rFonts w:ascii="宋体" w:hAnsi="宋体" w:cs="宋体"/>
                <w:spacing w:val="3"/>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widowControl w:val="0"/>
              <w:spacing w:line="360" w:lineRule="auto"/>
              <w:rPr>
                <w:rFonts w:ascii="宋体" w:hAnsi="宋体" w:cs="宋体"/>
                <w:kern w:val="2"/>
                <w:szCs w:val="21"/>
                <w:lang w:val="en-US" w:eastAsia="zh-CN"/>
              </w:rPr>
            </w:pPr>
            <w:r>
              <w:rPr>
                <w:rFonts w:hint="eastAsia" w:ascii="宋体" w:hAnsi="宋体" w:cs="宋体"/>
                <w:color w:val="000000"/>
                <w:spacing w:val="2"/>
                <w:szCs w:val="21"/>
                <w:lang w:val="en-US" w:eastAsia="zh-CN"/>
              </w:rPr>
              <w:t>维修间应容易进入，控制模块置于前面板，供电和控制单元严格分开，有存放清洗液空间。</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widowControl w:val="0"/>
              <w:spacing w:line="360" w:lineRule="auto"/>
              <w:rPr>
                <w:rFonts w:ascii="宋体" w:hAnsi="宋体" w:cs="宋体"/>
                <w:kern w:val="2"/>
                <w:szCs w:val="21"/>
                <w:lang w:val="en-US" w:eastAsia="zh-CN"/>
              </w:rPr>
            </w:pPr>
            <w:r>
              <w:rPr>
                <w:rFonts w:hint="eastAsia" w:ascii="宋体" w:hAnsi="宋体" w:cs="宋体"/>
                <w:color w:val="000000"/>
                <w:spacing w:val="2"/>
                <w:szCs w:val="21"/>
                <w:lang w:val="en-US" w:eastAsia="zh-CN"/>
              </w:rPr>
              <w:t>设备外表面应全部包裹，不得有触摸死角，设备设有检修门，便于开启或拆卸进行设备外置维修</w:t>
            </w:r>
            <w:r>
              <w:rPr>
                <w:rFonts w:ascii="宋体" w:hAnsi="宋体" w:cs="宋体"/>
                <w:color w:val="000000"/>
                <w:spacing w:val="2"/>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pacing w:val="3"/>
                <w:szCs w:val="21"/>
                <w:lang w:val="en-US" w:eastAsia="zh-CN"/>
              </w:rPr>
            </w:pPr>
            <w:r>
              <w:rPr>
                <w:rFonts w:hint="eastAsia" w:ascii="宋体" w:hAnsi="宋体" w:cs="宋体"/>
                <w:color w:val="000000"/>
                <w:spacing w:val="2"/>
                <w:szCs w:val="21"/>
                <w:lang w:val="en-US" w:eastAsia="zh-CN"/>
              </w:rPr>
              <w:t>应对设备的异常和偏离情况进行报警，能够实现自动声音报警，在显示屏显示报警信息</w:t>
            </w:r>
            <w:r>
              <w:rPr>
                <w:rFonts w:ascii="宋体" w:hAnsi="宋体" w:cs="宋体"/>
                <w:color w:val="000000"/>
                <w:spacing w:val="2"/>
                <w:szCs w:val="21"/>
                <w:lang w:eastAsia="zh-CN"/>
              </w:rPr>
              <w:t>，</w:t>
            </w:r>
            <w:r>
              <w:rPr>
                <w:rFonts w:hint="eastAsia" w:ascii="宋体" w:hAnsi="宋体" w:cs="宋体"/>
                <w:color w:val="000000"/>
                <w:spacing w:val="2"/>
                <w:szCs w:val="21"/>
                <w:lang w:val="en-US"/>
              </w:rPr>
              <w:t>包括报警代码</w:t>
            </w:r>
            <w:r>
              <w:rPr>
                <w:rFonts w:ascii="宋体" w:hAnsi="宋体" w:cs="宋体"/>
                <w:color w:val="000000"/>
                <w:spacing w:val="2"/>
                <w:szCs w:val="21"/>
                <w:lang/>
              </w:rPr>
              <w:t>、</w:t>
            </w:r>
            <w:r>
              <w:rPr>
                <w:rFonts w:hint="eastAsia" w:ascii="宋体" w:hAnsi="宋体" w:cs="宋体"/>
                <w:color w:val="000000"/>
                <w:spacing w:val="2"/>
                <w:szCs w:val="21"/>
                <w:lang w:val="en-US"/>
              </w:rPr>
              <w:t>报警时间及报警解除时间</w:t>
            </w:r>
            <w:r>
              <w:rPr>
                <w:rFonts w:hint="eastAsia" w:ascii="宋体" w:hAnsi="宋体" w:cs="宋体"/>
                <w:color w:val="000000"/>
                <w:spacing w:val="2"/>
                <w:szCs w:val="21"/>
                <w:lang w:val="en-US" w:eastAsia="zh-CN"/>
              </w:rPr>
              <w:t>并自动打印记录</w:t>
            </w:r>
            <w:r>
              <w:rPr>
                <w:rFonts w:ascii="宋体" w:hAnsi="宋体" w:cs="宋体"/>
                <w:color w:val="000000"/>
                <w:spacing w:val="2"/>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pacing w:val="3"/>
                <w:szCs w:val="21"/>
                <w:lang w:val="en-US" w:eastAsia="zh-CN"/>
              </w:rPr>
            </w:pPr>
            <w:r>
              <w:rPr>
                <w:rFonts w:hint="eastAsia" w:ascii="宋体" w:hAnsi="宋体" w:cs="宋体"/>
                <w:color w:val="000000"/>
                <w:spacing w:val="2"/>
                <w:szCs w:val="21"/>
                <w:lang w:val="en-US" w:eastAsia="zh-CN"/>
              </w:rPr>
              <w:t>清洗机需配有相应的传感器检测清洗室中喷淋臂的旋转动作，如果其中一个喷淋臂停止旋转，将发出报警，并且重新开启清洁程序</w:t>
            </w:r>
            <w:r>
              <w:rPr>
                <w:rFonts w:ascii="宋体" w:hAnsi="宋体" w:cs="宋体"/>
                <w:color w:val="000000"/>
                <w:spacing w:val="2"/>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与PLC功能有关的电气和机械设计符合一般的故障安全原则。该原则确保当某一部件出现机械故障或出现回路故障时，将采用PLC对清洗机进行自动控制，使其处于安全状态</w:t>
            </w:r>
            <w:r>
              <w:rPr>
                <w:rFonts w:ascii="宋体" w:hAnsi="宋体" w:cs="宋体"/>
                <w:color w:val="000000"/>
                <w:spacing w:val="2"/>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所有设备应配有主断电器（控制柜）和紧急停止按钮，经主断电器或急停装置可立即切断设备电源使设备停止运行</w:t>
            </w:r>
            <w:r>
              <w:rPr>
                <w:rFonts w:ascii="宋体" w:hAnsi="宋体" w:cs="宋体"/>
                <w:color w:val="000000"/>
                <w:spacing w:val="2"/>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设备应有保温层，有良好的隔热效果，保温层应密封良好</w:t>
            </w:r>
            <w:r>
              <w:rPr>
                <w:rFonts w:ascii="宋体" w:hAnsi="宋体" w:cs="宋体"/>
                <w:color w:val="000000"/>
                <w:spacing w:val="2"/>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清洗机的制造符合建筑抗震设计规范</w:t>
            </w:r>
            <w:r>
              <w:rPr>
                <w:rFonts w:ascii="宋体" w:hAnsi="宋体" w:cs="宋体"/>
                <w:color w:val="000000"/>
                <w:spacing w:val="2"/>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w:t>
            </w:r>
          </w:p>
        </w:tc>
        <w:tc>
          <w:tcPr>
            <w:tcW w:w="7128" w:type="dxa"/>
            <w:vAlign w:val="top"/>
          </w:tcPr>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清洗机上应带有警告和提示标签，提醒操作人员和维修人员应注意的事项</w:t>
            </w:r>
            <w:r>
              <w:rPr>
                <w:rFonts w:ascii="宋体" w:hAnsi="宋体" w:cs="宋体"/>
                <w:color w:val="000000"/>
                <w:spacing w:val="2"/>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34"/>
    </w:tbl>
    <w:p>
      <w:pPr>
        <w:pStyle w:val="30"/>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717202"/>
      <w:bookmarkStart w:id="30" w:name="_Toc483227237"/>
      <w:bookmarkStart w:id="31" w:name="_Toc482370071"/>
      <w:bookmarkStart w:id="32" w:name="_Toc482370767"/>
      <w:bookmarkStart w:id="33" w:name="_Toc482370359"/>
      <w:bookmarkStart w:id="34" w:name="_Toc483400317"/>
      <w:bookmarkStart w:id="35" w:name="_Toc481702480"/>
      <w:bookmarkStart w:id="36" w:name="_Toc482359946"/>
      <w:bookmarkStart w:id="37" w:name="_Toc482360291"/>
      <w:bookmarkStart w:id="38" w:name="_Toc482370151"/>
      <w:bookmarkStart w:id="39" w:name="_Toc482369815"/>
      <w:bookmarkStart w:id="40" w:name="_Toc482625289"/>
      <w:r>
        <w:rPr>
          <w:rFonts w:ascii="Times New Roman" w:hAnsi="Times New Roman"/>
          <w:b/>
        </w:rPr>
        <w:t>电气、自动控制要求</w:t>
      </w:r>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5" w:edGrp="everyone"/>
            <w:permEnd w:id="3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36" w:edGrp="everyone"/>
          </w:p>
        </w:tc>
        <w:tc>
          <w:tcPr>
            <w:tcW w:w="9253" w:type="dxa"/>
            <w:gridSpan w:val="2"/>
            <w:vAlign w:val="center"/>
          </w:tcPr>
          <w:p>
            <w:pPr>
              <w:rPr>
                <w:iCs/>
                <w:szCs w:val="21"/>
                <w:lang w:val="en-US" w:eastAsia="zh-CN"/>
              </w:rPr>
            </w:pPr>
            <w:r>
              <w:rPr>
                <w:rFonts w:hint="eastAsia" w:cs="宋体"/>
                <w:bCs/>
                <w:color w:val="000000"/>
                <w:szCs w:val="21"/>
                <w:lang w:eastAsia="zh-CN"/>
              </w:rPr>
              <w:t>N/</w:t>
            </w:r>
            <w:r>
              <w:rPr>
                <w:rFonts w:cs="宋体"/>
                <w:bCs/>
                <w:color w:val="000000"/>
                <w:szCs w:val="21"/>
                <w:lang w:eastAsia="zh-CN"/>
              </w:rPr>
              <w:t>A</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top"/>
          </w:tcPr>
          <w:p>
            <w:pPr>
              <w:rPr>
                <w:szCs w:val="21"/>
                <w:lang w:val="en-US" w:eastAsia="zh-CN"/>
              </w:rPr>
            </w:pPr>
            <w:r>
              <w:rPr>
                <w:rFonts w:hint="eastAsia" w:ascii="宋体" w:hAnsi="宋体" w:cs="宋体"/>
                <w:color w:val="000000"/>
                <w:spacing w:val="2"/>
                <w:szCs w:val="21"/>
                <w:lang w:val="en-US" w:eastAsia="zh-CN"/>
              </w:rPr>
              <w:t>控制系统应能产生批记录内容并通过装载端的一台打印机可将所有相关的循环数据和异常警报打印机记录下来，记录方式便于阅读和保存，不得使用热敏纸打印</w:t>
            </w:r>
            <w:r>
              <w:rPr>
                <w:rFonts w:ascii="宋体" w:hAnsi="宋体" w:cs="宋体"/>
                <w:color w:val="000000"/>
                <w:spacing w:val="2"/>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rFonts w:ascii="宋体" w:hAnsi="宋体" w:cs="宋体"/>
                <w:color w:val="000000"/>
                <w:spacing w:val="2"/>
                <w:szCs w:val="21"/>
                <w:lang w:val="en-US" w:eastAsia="zh-CN"/>
              </w:rPr>
            </w:pPr>
            <w:r>
              <w:rPr>
                <w:rFonts w:ascii="宋体" w:hAnsi="宋体" w:eastAsia="宋体"/>
                <w:szCs w:val="21"/>
                <w:lang w:eastAsia="zh-CN"/>
              </w:rPr>
              <w:t>端口和协议免费开放，满足信息化数据的采集要求，预留物理远传接口，优先预留以太网口和RS485接口</w:t>
            </w:r>
            <w:r>
              <w:rPr>
                <w:rFonts w:hint="eastAsia" w:ascii="宋体" w:hAnsi="宋体" w:eastAsia="宋体"/>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szCs w:val="21"/>
                <w:lang w:eastAsia="zh-CN"/>
              </w:rPr>
            </w:pPr>
            <w:r>
              <w:rPr>
                <w:rFonts w:hint="eastAsia" w:ascii="宋体" w:hAnsi="宋体" w:cs="宋体"/>
                <w:color w:val="000000"/>
                <w:spacing w:val="2"/>
                <w:szCs w:val="21"/>
                <w:lang w:val="en-US" w:eastAsia="zh-CN"/>
              </w:rPr>
              <w:t>供应商应该给出人机界面和控制系统的详细描述，应能提供所有必要条件的详细信息和版本号，包括正常操作的详细内容</w:t>
            </w:r>
            <w:r>
              <w:rPr>
                <w:rFonts w:ascii="宋体" w:hAnsi="宋体" w:cs="宋体"/>
                <w:color w:val="000000"/>
                <w:spacing w:val="2"/>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在装载端和卸载端要求分别安装一个控制面板，两侧的显示屏实时显示相同的信息，并具有如下不同的配置和功能：</w:t>
            </w:r>
          </w:p>
          <w:p>
            <w:pPr>
              <w:numPr>
                <w:ilvl w:val="0"/>
                <w:numId w:val="10"/>
              </w:num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装载边的主控制面板：</w:t>
            </w:r>
          </w:p>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1.1可以进行程序的设定和修改</w:t>
            </w:r>
          </w:p>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1.2可以进行维护和计量</w:t>
            </w:r>
          </w:p>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1.3显示循环状态和报警信息</w:t>
            </w:r>
          </w:p>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1.4一个打印机</w:t>
            </w:r>
          </w:p>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1.5声光报警装置</w:t>
            </w:r>
          </w:p>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1.6一个紧急停车按钮</w:t>
            </w:r>
          </w:p>
          <w:p>
            <w:pPr>
              <w:rPr>
                <w:szCs w:val="21"/>
                <w:lang w:eastAsia="zh-CN"/>
              </w:rPr>
            </w:pPr>
            <w:r>
              <w:rPr>
                <w:rFonts w:hint="eastAsia" w:ascii="宋体" w:hAnsi="宋体" w:cs="宋体"/>
                <w:color w:val="000000"/>
                <w:spacing w:val="2"/>
                <w:szCs w:val="21"/>
                <w:lang w:val="en-US" w:eastAsia="zh-CN"/>
              </w:rPr>
              <w:t>1.7电导率验证系统</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rFonts w:ascii="宋体" w:hAnsi="宋体" w:cs="宋体"/>
                <w:color w:val="000000"/>
                <w:spacing w:val="2"/>
                <w:szCs w:val="21"/>
                <w:lang w:val="en-US" w:eastAsia="zh-CN"/>
              </w:rPr>
            </w:pPr>
            <w:r>
              <w:rPr>
                <w:rFonts w:hint="eastAsia" w:ascii="宋体" w:hAnsi="宋体" w:cs="宋体"/>
                <w:color w:val="000000"/>
                <w:spacing w:val="2"/>
                <w:szCs w:val="21"/>
                <w:lang w:val="en-US" w:eastAsia="zh-CN"/>
              </w:rPr>
              <w:t>具备审计追踪功能，记录储量应至少</w:t>
            </w:r>
            <w:r>
              <w:rPr>
                <w:rFonts w:hint="eastAsia" w:ascii="宋体" w:hAnsi="宋体" w:cs="宋体"/>
                <w:color w:val="000000"/>
                <w:spacing w:val="2"/>
                <w:szCs w:val="21"/>
                <w:lang w:val="en-US"/>
              </w:rPr>
              <w:t>为</w:t>
            </w:r>
            <w:r>
              <w:rPr>
                <w:rFonts w:hint="eastAsia" w:ascii="宋体" w:hAnsi="宋体" w:cs="宋体"/>
                <w:color w:val="000000"/>
                <w:spacing w:val="2"/>
                <w:szCs w:val="21"/>
                <w:lang w:val="en-US" w:eastAsia="zh-CN"/>
              </w:rPr>
              <w:t>5</w:t>
            </w:r>
            <w:r>
              <w:rPr>
                <w:rFonts w:ascii="宋体" w:hAnsi="宋体" w:cs="宋体"/>
                <w:color w:val="000000"/>
                <w:spacing w:val="2"/>
                <w:szCs w:val="21"/>
                <w:lang/>
              </w:rPr>
              <w:t>000</w:t>
            </w:r>
            <w:r>
              <w:rPr>
                <w:rFonts w:hint="eastAsia" w:ascii="宋体" w:hAnsi="宋体" w:cs="宋体"/>
                <w:color w:val="000000"/>
                <w:spacing w:val="2"/>
                <w:szCs w:val="21"/>
                <w:lang w:val="en-US"/>
              </w:rPr>
              <w:t>条</w:t>
            </w:r>
            <w:r>
              <w:rPr>
                <w:rFonts w:ascii="宋体" w:hAnsi="宋体" w:cs="宋体"/>
                <w:color w:val="000000"/>
                <w:spacing w:val="2"/>
                <w:szCs w:val="21"/>
                <w:lang/>
              </w:rPr>
              <w:t>，</w:t>
            </w:r>
            <w:r>
              <w:rPr>
                <w:rFonts w:hint="eastAsia" w:ascii="宋体" w:hAnsi="宋体" w:cs="宋体"/>
                <w:color w:val="000000"/>
                <w:spacing w:val="2"/>
                <w:szCs w:val="21"/>
                <w:lang w:val="en-US" w:eastAsia="zh-CN"/>
              </w:rPr>
              <w:t>能满足每半年备份。</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具有电子签名功能，符合计算机系统验证要求。</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60" w:lineRule="auto"/>
              <w:jc w:val="both"/>
              <w:rPr>
                <w:rFonts w:ascii="宋体" w:hAnsi="宋体"/>
                <w:szCs w:val="21"/>
                <w:lang w:val="en-US" w:eastAsia="zh-CN"/>
              </w:rPr>
            </w:pPr>
            <w:r>
              <w:rPr>
                <w:rFonts w:hint="eastAsia" w:ascii="宋体" w:hAnsi="宋体"/>
                <w:szCs w:val="21"/>
                <w:lang w:eastAsia="zh-CN"/>
              </w:rPr>
              <w:t>具有实时打印功能，</w:t>
            </w:r>
            <w:r>
              <w:rPr>
                <w:rFonts w:ascii="宋体" w:hAnsi="宋体"/>
                <w:szCs w:val="21"/>
                <w:lang w:eastAsia="zh-CN"/>
              </w:rPr>
              <w:t>屏幕显示的结果</w:t>
            </w:r>
            <w:r>
              <w:rPr>
                <w:rFonts w:hint="eastAsia" w:ascii="宋体" w:hAnsi="宋体"/>
                <w:szCs w:val="21"/>
                <w:lang w:eastAsia="zh-CN"/>
              </w:rPr>
              <w:t>、存储的记录</w:t>
            </w:r>
            <w:r>
              <w:rPr>
                <w:rFonts w:ascii="宋体" w:hAnsi="宋体"/>
                <w:szCs w:val="21"/>
                <w:lang w:eastAsia="zh-CN"/>
              </w:rPr>
              <w:t>与打印报告应是一致的</w:t>
            </w:r>
            <w:r>
              <w:rPr>
                <w:rFonts w:hint="eastAsia" w:ascii="宋体" w:hAnsi="宋体"/>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可查询储存的历史数据，历史数据可用U盘导出，导出数据为不可修改模式。</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至少具有三级用户权限管理，可根据用户密码等级确定是否可改变工艺参数。</w:t>
            </w:r>
          </w:p>
        </w:tc>
        <w:tc>
          <w:tcPr>
            <w:tcW w:w="2125" w:type="dxa"/>
            <w:vAlign w:val="center"/>
          </w:tcPr>
          <w:p>
            <w:pPr>
              <w:jc w:val="center"/>
              <w:rPr>
                <w:iCs/>
                <w:szCs w:val="21"/>
                <w:lang w:val="en-US" w:eastAsia="zh-CN"/>
              </w:rPr>
            </w:pPr>
            <w:r>
              <w:rPr>
                <w:rFonts w:hint="eastAsia"/>
                <w:iCs/>
                <w:szCs w:val="21"/>
                <w:lang w:val="en-US" w:eastAsia="zh-CN"/>
              </w:rPr>
              <w:t>关键</w:t>
            </w:r>
          </w:p>
        </w:tc>
      </w:tr>
      <w:permEnd w:id="37"/>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8" w:edGrp="everyone"/>
            <w:permEnd w:id="38"/>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851"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szCs w:val="21"/>
                <w:lang w:eastAsia="zh-CN"/>
              </w:rPr>
              <w:t>N</w:t>
            </w:r>
            <w:r>
              <w:rPr>
                <w:rFonts w:hint="eastAsia"/>
                <w:szCs w:val="21"/>
                <w:lang w:val="en-US" w:eastAsia="zh-CN"/>
              </w:rPr>
              <w:t>/</w:t>
            </w:r>
            <w:r>
              <w:rPr>
                <w:szCs w:val="21"/>
                <w:lang w:eastAsia="zh-CN"/>
              </w:rPr>
              <w:t>A</w:t>
            </w:r>
          </w:p>
        </w:tc>
        <w:tc>
          <w:tcPr>
            <w:tcW w:w="2125" w:type="dxa"/>
            <w:vAlign w:val="center"/>
          </w:tcPr>
          <w:p>
            <w:pPr>
              <w:jc w:val="both"/>
              <w:rPr>
                <w:szCs w:val="21"/>
                <w:lang w:eastAsia="zh-CN"/>
              </w:rPr>
            </w:pP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ermStart w:id="40" w:edGrp="everyone"/>
            <w:permEnd w:id="40"/>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921" w:firstLineChars="0"/>
              <w:rPr>
                <w:rFonts w:ascii="Times New Roman" w:hAnsi="Times New Roman"/>
                <w:szCs w:val="21"/>
              </w:rPr>
            </w:pPr>
            <w:permStart w:id="41" w:edGrp="everyone"/>
          </w:p>
        </w:tc>
        <w:tc>
          <w:tcPr>
            <w:tcW w:w="7128" w:type="dxa"/>
            <w:vAlign w:val="center"/>
          </w:tcPr>
          <w:p>
            <w:pPr>
              <w:jc w:val="both"/>
              <w:rPr>
                <w:szCs w:val="21"/>
                <w:lang w:eastAsia="zh-CN"/>
              </w:rPr>
            </w:pPr>
            <w:r>
              <w:rPr>
                <w:szCs w:val="21"/>
                <w:lang w:eastAsia="zh-CN"/>
              </w:rPr>
              <w:t>N</w:t>
            </w:r>
            <w:r>
              <w:rPr>
                <w:rFonts w:hint="eastAsia"/>
                <w:szCs w:val="21"/>
                <w:lang w:val="en-US" w:eastAsia="zh-CN"/>
              </w:rPr>
              <w:t>/</w:t>
            </w:r>
            <w:r>
              <w:rPr>
                <w:szCs w:val="21"/>
                <w:lang w:eastAsia="zh-CN"/>
              </w:rPr>
              <w:t>A</w:t>
            </w:r>
          </w:p>
        </w:tc>
        <w:tc>
          <w:tcPr>
            <w:tcW w:w="2125" w:type="dxa"/>
            <w:vAlign w:val="center"/>
          </w:tcPr>
          <w:p>
            <w:pPr>
              <w:jc w:val="both"/>
              <w:rPr>
                <w:szCs w:val="21"/>
                <w:lang w:eastAsia="zh-CN"/>
              </w:rPr>
            </w:pPr>
          </w:p>
        </w:tc>
      </w:tr>
      <w:permEnd w:id="41"/>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2" w:edGrp="everyone"/>
            <w:permEnd w:id="4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jc w:val="both"/>
              <w:rPr>
                <w:szCs w:val="21"/>
                <w:lang w:eastAsia="zh-CN"/>
              </w:rPr>
            </w:pPr>
            <w:r>
              <w:rPr>
                <w:szCs w:val="21"/>
                <w:lang w:val="en-US" w:eastAsia="zh-CN"/>
              </w:rPr>
              <w:t>投标文件</w:t>
            </w:r>
            <w:r>
              <w:rPr>
                <w:rFonts w:hint="eastAsia"/>
                <w:szCs w:val="21"/>
                <w:lang w:val="en-US" w:eastAsia="zh-CN"/>
              </w:rPr>
              <w:t>、FAT文件</w:t>
            </w:r>
            <w:r>
              <w:rPr>
                <w:szCs w:val="21"/>
                <w:lang w:val="en-US" w:eastAsia="zh-CN"/>
              </w:rPr>
              <w:t>、合同及订单。</w:t>
            </w:r>
          </w:p>
        </w:tc>
        <w:tc>
          <w:tcPr>
            <w:tcW w:w="2125" w:type="dxa"/>
            <w:vAlign w:val="center"/>
          </w:tcPr>
          <w:p>
            <w:pPr>
              <w:jc w:val="center"/>
              <w:rPr>
                <w:iCs/>
                <w:szCs w:val="21"/>
                <w:lang w:val="en-US" w:eastAsia="zh-CN"/>
              </w:rPr>
            </w:pPr>
            <w:r>
              <w:rPr>
                <w:rFonts w:hint="eastAsia"/>
                <w:iCs/>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jc w:val="both"/>
              <w:rPr>
                <w:lang w:eastAsia="zh-CN"/>
              </w:rPr>
            </w:pPr>
            <w:r>
              <w:rPr>
                <w:szCs w:val="21"/>
                <w:lang w:val="en-US" w:eastAsia="zh-CN"/>
              </w:rPr>
              <w:t>卖方发运清单及相关检验报告。</w:t>
            </w:r>
          </w:p>
        </w:tc>
        <w:tc>
          <w:tcPr>
            <w:tcW w:w="2125" w:type="dxa"/>
            <w:vAlign w:val="center"/>
          </w:tcPr>
          <w:p>
            <w:pPr>
              <w:jc w:val="center"/>
              <w:rPr>
                <w:iCs/>
                <w:szCs w:val="21"/>
                <w:lang w:val="en-US" w:eastAsia="zh-CN"/>
              </w:rPr>
            </w:pPr>
            <w:r>
              <w:rPr>
                <w:rFonts w:hint="eastAsia"/>
                <w:iCs/>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5" w:edGrp="everyone"/>
          </w:p>
        </w:tc>
        <w:tc>
          <w:tcPr>
            <w:tcW w:w="7128" w:type="dxa"/>
            <w:vAlign w:val="center"/>
          </w:tcPr>
          <w:p>
            <w:pPr>
              <w:jc w:val="both"/>
              <w:rPr>
                <w:szCs w:val="21"/>
                <w:lang w:eastAsia="zh-CN"/>
              </w:rPr>
            </w:pPr>
            <w:r>
              <w:rPr>
                <w:rFonts w:hint="eastAsia" w:ascii="宋体" w:hAnsi="宋体" w:cs="宋体"/>
                <w:color w:val="000000"/>
                <w:lang w:eastAsia="zh-CN"/>
              </w:rPr>
              <w:t>设计选型文件：设备详细</w:t>
            </w:r>
            <w:r>
              <w:rPr>
                <w:rFonts w:hint="eastAsia"/>
                <w:color w:val="000000"/>
                <w:szCs w:val="21"/>
                <w:lang w:eastAsia="zh-CN"/>
              </w:rPr>
              <w:t>设计说明、功能说明、配置清单与说明</w:t>
            </w:r>
            <w:r>
              <w:rPr>
                <w:rFonts w:hint="eastAsia" w:ascii="宋体" w:hAnsi="宋体" w:cs="宋体"/>
                <w:color w:val="000000"/>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6" w:edGrp="everyone"/>
          </w:p>
        </w:tc>
        <w:tc>
          <w:tcPr>
            <w:tcW w:w="7128" w:type="dxa"/>
            <w:vAlign w:val="center"/>
          </w:tcPr>
          <w:p>
            <w:pPr>
              <w:jc w:val="both"/>
              <w:rPr>
                <w:szCs w:val="21"/>
                <w:lang w:eastAsia="zh-CN"/>
              </w:rPr>
            </w:pPr>
            <w:r>
              <w:rPr>
                <w:rFonts w:hint="eastAsia"/>
                <w:szCs w:val="21"/>
                <w:lang w:eastAsia="zh-CN"/>
              </w:rPr>
              <w:t>到厂资料：装箱单、合格证、用户安装/操作/维护手册、备件清单、功能设计说明、不锈钢材质报告。</w:t>
            </w:r>
          </w:p>
        </w:tc>
        <w:tc>
          <w:tcPr>
            <w:tcW w:w="2125" w:type="dxa"/>
            <w:vAlign w:val="center"/>
          </w:tcPr>
          <w:p>
            <w:pPr>
              <w:jc w:val="center"/>
              <w:rPr>
                <w:iCs/>
                <w:szCs w:val="21"/>
                <w:lang w:val="en-US" w:eastAsia="zh-CN"/>
              </w:rPr>
            </w:pPr>
            <w:r>
              <w:rPr>
                <w:rFonts w:hint="eastAsia"/>
                <w:iCs/>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7" w:edGrp="everyone"/>
          </w:p>
        </w:tc>
        <w:tc>
          <w:tcPr>
            <w:tcW w:w="7128" w:type="dxa"/>
            <w:vAlign w:val="center"/>
          </w:tcPr>
          <w:p>
            <w:pPr>
              <w:jc w:val="both"/>
              <w:rPr>
                <w:szCs w:val="21"/>
                <w:lang w:eastAsia="zh-CN"/>
              </w:rPr>
            </w:pPr>
            <w:r>
              <w:rPr>
                <w:rFonts w:hint="eastAsia"/>
                <w:szCs w:val="21"/>
                <w:lang w:eastAsia="zh-CN"/>
              </w:rPr>
              <w:t>图纸：电子秤尺寸、电气图、</w:t>
            </w:r>
            <w:r>
              <w:rPr>
                <w:rFonts w:hint="eastAsia"/>
                <w:color w:val="000000"/>
                <w:szCs w:val="21"/>
                <w:lang w:eastAsia="zh-CN"/>
              </w:rPr>
              <w:t>实物图、各种验证、维修等活动所需的电子版及打印版设备布局图</w:t>
            </w:r>
            <w:r>
              <w:rPr>
                <w:rFonts w:hint="eastAsia"/>
                <w:szCs w:val="21"/>
                <w:lang w:eastAsia="zh-CN"/>
              </w:rPr>
              <w:t>等。</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投标文件、合同及订单。</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卖方发运清单及相关检验报告</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系统功能配置清单及说明，包含各组件名称、编号、型号、规格、品牌、材质等。</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设备厂家文件：出厂测试合格证、各关键组件说明书、相关检测报告、各种标示。</w:t>
            </w:r>
            <w:r>
              <w:rPr>
                <w:rFonts w:hint="eastAsia"/>
                <w:szCs w:val="21"/>
                <w:lang w:eastAsia="zh-CN"/>
              </w:rPr>
              <w:tab/>
            </w:r>
            <w:r>
              <w:rPr>
                <w:rFonts w:hint="eastAsia"/>
                <w:szCs w:val="21"/>
                <w:lang w:eastAsia="zh-CN"/>
              </w:rPr>
              <w:t>提交文件时限要求：不晚于IQ开始前</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设备操作手册（SOP）：语言为中文，应说明校准周期。</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计量校准证书。提交文件时限要求：不晚于IQ开始前。</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各种必要的合格证，包括部件合格证、材质证书等。提交文件时限要求：设备开箱验收。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调试文件：调试计划、调试方案、设备测试记录，检测清单，测试报告，调试总结报告、现场验收报告等。</w:t>
            </w:r>
            <w:r>
              <w:rPr>
                <w:rFonts w:hint="eastAsia"/>
                <w:szCs w:val="21"/>
                <w:lang w:val="en-US" w:eastAsia="zh-CN"/>
              </w:rPr>
              <w:tab/>
            </w:r>
            <w:r>
              <w:rPr>
                <w:rFonts w:hint="eastAsia"/>
                <w:szCs w:val="21"/>
                <w:lang w:val="en-US" w:eastAsia="zh-CN"/>
              </w:rPr>
              <w:t>提交文件时限要求：不晚于IQ开始前</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验证文件：</w:t>
            </w:r>
            <w:r>
              <w:rPr>
                <w:rFonts w:hint="eastAsia"/>
                <w:szCs w:val="21"/>
                <w:lang w:val="en-US" w:eastAsia="zh-CN"/>
              </w:rPr>
              <w:tab/>
            </w:r>
          </w:p>
          <w:p>
            <w:pPr>
              <w:rPr>
                <w:szCs w:val="21"/>
                <w:lang w:val="en-US" w:eastAsia="zh-CN"/>
              </w:rPr>
            </w:pPr>
            <w:r>
              <w:rPr>
                <w:rFonts w:hint="eastAsia"/>
                <w:szCs w:val="21"/>
                <w:lang w:val="en-US" w:eastAsia="zh-CN"/>
              </w:rPr>
              <w:t>（1）验证计划</w:t>
            </w:r>
            <w:r>
              <w:rPr>
                <w:rFonts w:hint="eastAsia"/>
                <w:szCs w:val="21"/>
                <w:lang w:val="en-US" w:eastAsia="zh-CN"/>
              </w:rPr>
              <w:tab/>
            </w:r>
            <w:r>
              <w:rPr>
                <w:rFonts w:hint="eastAsia"/>
                <w:szCs w:val="21"/>
                <w:lang w:val="en-US" w:eastAsia="zh-CN"/>
              </w:rPr>
              <w:t>提交文件时限要求： 设计阶段，设计确认开始前</w:t>
            </w:r>
          </w:p>
          <w:p>
            <w:pPr>
              <w:rPr>
                <w:szCs w:val="21"/>
                <w:lang w:val="en-US" w:eastAsia="zh-CN"/>
              </w:rPr>
            </w:pPr>
            <w:r>
              <w:rPr>
                <w:rFonts w:hint="eastAsia"/>
                <w:szCs w:val="21"/>
                <w:lang w:val="en-US" w:eastAsia="zh-CN"/>
              </w:rPr>
              <w:t>（2）满足GMP和GAMP5等相关法规的评估文件</w:t>
            </w:r>
          </w:p>
          <w:p>
            <w:pPr>
              <w:rPr>
                <w:szCs w:val="21"/>
                <w:lang w:val="en-US" w:eastAsia="zh-CN"/>
              </w:rPr>
            </w:pPr>
            <w:r>
              <w:rPr>
                <w:rFonts w:hint="eastAsia"/>
                <w:szCs w:val="21"/>
                <w:lang w:val="en-US" w:eastAsia="zh-CN"/>
              </w:rPr>
              <w:t>（</w:t>
            </w:r>
            <w:r>
              <w:rPr>
                <w:szCs w:val="21"/>
                <w:lang w:val="en-US" w:eastAsia="zh-CN"/>
              </w:rPr>
              <w:t>3</w:t>
            </w:r>
            <w:r>
              <w:rPr>
                <w:rFonts w:hint="eastAsia"/>
                <w:szCs w:val="21"/>
                <w:lang w:val="en-US" w:eastAsia="zh-CN"/>
              </w:rPr>
              <w:t>）安装确认及文件（IQ）；</w:t>
            </w:r>
            <w:r>
              <w:rPr>
                <w:rFonts w:hint="eastAsia"/>
                <w:szCs w:val="21"/>
                <w:lang w:val="en-US" w:eastAsia="zh-CN"/>
              </w:rPr>
              <w:tab/>
            </w:r>
            <w:r>
              <w:rPr>
                <w:rFonts w:hint="eastAsia"/>
                <w:szCs w:val="21"/>
                <w:lang w:val="en-US" w:eastAsia="zh-CN"/>
              </w:rPr>
              <w:t>提交文件时限要求：OQ开始前完成审批并提交</w:t>
            </w:r>
          </w:p>
          <w:p>
            <w:pPr>
              <w:rPr>
                <w:szCs w:val="21"/>
                <w:lang w:val="en-US" w:eastAsia="zh-CN"/>
              </w:rPr>
            </w:pPr>
            <w:r>
              <w:rPr>
                <w:rFonts w:hint="eastAsia"/>
                <w:szCs w:val="21"/>
                <w:lang w:val="en-US" w:eastAsia="zh-CN"/>
              </w:rPr>
              <w:t>（</w:t>
            </w:r>
            <w:r>
              <w:rPr>
                <w:szCs w:val="21"/>
                <w:lang w:val="en-US" w:eastAsia="zh-CN"/>
              </w:rPr>
              <w:t>4</w:t>
            </w:r>
            <w:r>
              <w:rPr>
                <w:rFonts w:hint="eastAsia"/>
                <w:szCs w:val="21"/>
                <w:lang w:val="en-US" w:eastAsia="zh-CN"/>
              </w:rPr>
              <w:t>）运行确认及文件（OQ）；</w:t>
            </w:r>
            <w:r>
              <w:rPr>
                <w:rFonts w:hint="eastAsia"/>
                <w:szCs w:val="21"/>
                <w:lang w:val="en-US" w:eastAsia="zh-CN"/>
              </w:rPr>
              <w:tab/>
            </w:r>
            <w:r>
              <w:rPr>
                <w:rFonts w:hint="eastAsia"/>
                <w:szCs w:val="21"/>
                <w:lang w:val="en-US" w:eastAsia="zh-CN"/>
              </w:rPr>
              <w:t>提交文件时限要求：IQ批准后开始执行，PQ开始前完成审批并提交</w:t>
            </w:r>
          </w:p>
          <w:p>
            <w:pPr>
              <w:rPr>
                <w:szCs w:val="21"/>
                <w:lang w:val="en-US" w:eastAsia="zh-CN"/>
              </w:rPr>
            </w:pPr>
            <w:r>
              <w:rPr>
                <w:rFonts w:hint="eastAsia"/>
                <w:szCs w:val="21"/>
                <w:lang w:val="en-US" w:eastAsia="zh-CN"/>
              </w:rPr>
              <w:t>（</w:t>
            </w:r>
            <w:r>
              <w:rPr>
                <w:szCs w:val="21"/>
                <w:lang w:val="en-US" w:eastAsia="zh-CN"/>
              </w:rPr>
              <w:t>5</w:t>
            </w:r>
            <w:r>
              <w:rPr>
                <w:rFonts w:hint="eastAsia"/>
                <w:szCs w:val="21"/>
                <w:lang w:val="en-US" w:eastAsia="zh-CN"/>
              </w:rPr>
              <w:t>）设备生产商负责制定设备验证计划、评估文件、IQ/OQ验证文件，并负责验证工作的实施，该验证文件作为设备必备文件。</w:t>
            </w:r>
            <w:r>
              <w:rPr>
                <w:rFonts w:hint="eastAsia"/>
                <w:szCs w:val="21"/>
                <w:lang w:val="en-US" w:eastAsia="zh-CN"/>
              </w:rPr>
              <w:tab/>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设备交付计划表。</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szCs w:val="21"/>
                <w:lang w:val="en-US" w:eastAsia="zh-CN"/>
              </w:rPr>
            </w:pPr>
            <w:r>
              <w:rPr>
                <w:rFonts w:hint="eastAsia"/>
                <w:szCs w:val="21"/>
                <w:lang w:val="en-US" w:eastAsia="zh-CN"/>
              </w:rPr>
              <w:t>使用操作说明书及维护保养说明（即运行及维护手册）3份。</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szCs w:val="21"/>
                <w:lang w:val="en-US" w:eastAsia="zh-CN"/>
              </w:rPr>
            </w:pPr>
            <w:r>
              <w:rPr>
                <w:rFonts w:hint="eastAsia"/>
                <w:szCs w:val="21"/>
                <w:lang w:val="en-US" w:eastAsia="zh-CN"/>
              </w:rPr>
              <w:t>提供设备及其零部件使用寿命清单。</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szCs w:val="21"/>
                <w:lang w:val="en-US" w:eastAsia="zh-CN"/>
              </w:rPr>
            </w:pPr>
            <w:r>
              <w:rPr>
                <w:rFonts w:hint="eastAsia"/>
                <w:szCs w:val="21"/>
                <w:lang w:val="en-US" w:eastAsia="zh-CN"/>
              </w:rPr>
              <w:t>应有针对每一部件所作序号的简明图册，以便于维修人员查找和辩识。</w:t>
            </w:r>
          </w:p>
          <w:p>
            <w:pPr>
              <w:rPr>
                <w:szCs w:val="21"/>
                <w:lang w:val="en-US" w:eastAsia="zh-CN"/>
              </w:rPr>
            </w:pP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上述条款规定的文件需提供电子版，并在设备开箱验收时将最终批准的电子版及纸质版全套资料交工程技术部存档。</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项目质量计划</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permEnd w:id="47"/>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8" w:edGrp="everyone"/>
            <w:permEnd w:id="48"/>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color w:val="0070C0"/>
                <w:szCs w:val="21"/>
                <w:lang w:eastAsia="zh-CN"/>
              </w:rPr>
            </w:pPr>
            <w:r>
              <w:rPr>
                <w:rFonts w:hint="eastAsia"/>
                <w:szCs w:val="21"/>
                <w:lang w:val="en-US" w:eastAsia="zh-CN"/>
              </w:rPr>
              <w:t>到货后进行SAT时，</w:t>
            </w:r>
            <w:r>
              <w:rPr>
                <w:lang w:eastAsia="zh-CN"/>
              </w:rPr>
              <w:t>设备供应商应免费对设备使用方人员进行全面培训，包括对生产操作人员及设备维护、维修人员，并填写培训记录。</w:t>
            </w:r>
          </w:p>
        </w:tc>
        <w:tc>
          <w:tcPr>
            <w:tcW w:w="2125" w:type="dxa"/>
            <w:vAlign w:val="center"/>
          </w:tcPr>
          <w:p>
            <w:pPr>
              <w:jc w:val="center"/>
              <w:rPr>
                <w:iCs/>
                <w:szCs w:val="21"/>
                <w:lang w:val="en-US" w:eastAsia="zh-CN"/>
              </w:rPr>
            </w:pPr>
            <w:r>
              <w:rPr>
                <w:rFonts w:hint="eastAsia"/>
                <w:iCs/>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0" w:edGrp="everyone"/>
          </w:p>
        </w:tc>
        <w:tc>
          <w:tcPr>
            <w:tcW w:w="7128" w:type="dxa"/>
            <w:vAlign w:val="center"/>
          </w:tcPr>
          <w:p>
            <w:pPr>
              <w:spacing w:line="276" w:lineRule="auto"/>
              <w:jc w:val="both"/>
              <w:rPr>
                <w:color w:val="0070C0"/>
                <w:szCs w:val="21"/>
                <w:lang w:eastAsia="zh-CN"/>
              </w:rPr>
            </w:pPr>
            <w:r>
              <w:rPr>
                <w:lang w:eastAsia="zh-CN"/>
              </w:rPr>
              <w:t>生产操作人员培训包括设备结构原理、性能、操作、清洗消毒、</w:t>
            </w:r>
            <w:r>
              <w:rPr>
                <w:rFonts w:hint="eastAsia"/>
                <w:lang w:val="en-US" w:eastAsia="zh-CN"/>
              </w:rPr>
              <w:t>校准等</w:t>
            </w:r>
            <w:r>
              <w:rPr>
                <w:lang w:eastAsia="zh-CN"/>
              </w:rPr>
              <w:t>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center"/>
              <w:rPr>
                <w:iCs/>
                <w:szCs w:val="21"/>
                <w:lang w:val="en-US" w:eastAsia="zh-CN"/>
              </w:rPr>
            </w:pPr>
            <w:r>
              <w:rPr>
                <w:rFonts w:hint="eastAsia"/>
                <w:iCs/>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1" w:edGrp="everyone"/>
          </w:p>
        </w:tc>
        <w:tc>
          <w:tcPr>
            <w:tcW w:w="7128" w:type="dxa"/>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val="en-US" w:eastAsia="zh-CN"/>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center"/>
              <w:rPr>
                <w:iCs/>
                <w:szCs w:val="21"/>
                <w:lang w:val="en-US" w:eastAsia="zh-CN"/>
              </w:rPr>
            </w:pPr>
            <w:r>
              <w:rPr>
                <w:rFonts w:hint="eastAsia"/>
                <w:iCs/>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ermStart w:id="53" w:edGrp="everyone"/>
          </w:p>
        </w:tc>
        <w:tc>
          <w:tcPr>
            <w:tcW w:w="7128" w:type="dxa"/>
            <w:vAlign w:val="center"/>
          </w:tcPr>
          <w:p>
            <w:pPr>
              <w:spacing w:line="276" w:lineRule="auto"/>
              <w:jc w:val="both"/>
              <w:rPr>
                <w:szCs w:val="21"/>
                <w:lang w:eastAsia="zh-CN"/>
              </w:rPr>
            </w:pPr>
            <w:r>
              <w:rPr>
                <w:rFonts w:hint="eastAsia"/>
                <w:szCs w:val="21"/>
                <w:lang w:val="en-US" w:eastAsia="zh-CN"/>
              </w:rPr>
              <w:t>验证包括 IQ、OQ、</w:t>
            </w:r>
            <w:r>
              <w:rPr>
                <w:szCs w:val="21"/>
                <w:lang w:val="en-US" w:eastAsia="zh-CN"/>
              </w:rPr>
              <w:t>PQ</w:t>
            </w:r>
            <w:r>
              <w:rPr>
                <w:rFonts w:hint="eastAsia"/>
                <w:szCs w:val="21"/>
                <w:lang w:val="en-US" w:eastAsia="zh-CN"/>
              </w:rPr>
              <w:t>。</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rPr>
                <w:lang w:eastAsia="zh-CN"/>
              </w:rPr>
            </w:pPr>
            <w:r>
              <w:rPr>
                <w:rFonts w:hint="eastAsia" w:ascii="宋体" w:hAnsi="宋体" w:cs="宋体"/>
                <w:color w:val="000000"/>
                <w:szCs w:val="21"/>
                <w:lang w:val="en-US" w:eastAsia="zh-CN"/>
              </w:rPr>
              <w:t xml:space="preserve">各验证工作开始前验证方案需经过本公司相关部门审核，并经质量保证 </w:t>
            </w:r>
          </w:p>
          <w:p>
            <w:pPr>
              <w:spacing w:line="276" w:lineRule="auto"/>
              <w:jc w:val="both"/>
              <w:rPr>
                <w:szCs w:val="21"/>
                <w:lang w:eastAsia="zh-CN"/>
              </w:rPr>
            </w:pPr>
            <w:r>
              <w:rPr>
                <w:rFonts w:hint="eastAsia" w:ascii="宋体" w:hAnsi="宋体" w:cs="宋体"/>
                <w:color w:val="000000"/>
                <w:szCs w:val="21"/>
                <w:lang w:val="en-US" w:eastAsia="zh-CN"/>
              </w:rPr>
              <w:t>部批准。</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spacing w:line="276" w:lineRule="auto"/>
              <w:jc w:val="both"/>
              <w:rPr>
                <w:szCs w:val="21"/>
                <w:lang w:eastAsia="zh-CN"/>
              </w:rPr>
            </w:pPr>
            <w:r>
              <w:rPr>
                <w:rFonts w:hint="eastAsia" w:ascii="宋体" w:hAnsi="宋体" w:cs="宋体"/>
                <w:color w:val="000000"/>
                <w:szCs w:val="21"/>
                <w:lang w:val="en-US" w:eastAsia="zh-CN"/>
              </w:rPr>
              <w:t>验证工作应按时保质完成，供应商需提供验证工作计划表。</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spacing w:line="276" w:lineRule="auto"/>
              <w:jc w:val="both"/>
              <w:rPr>
                <w:szCs w:val="21"/>
                <w:lang w:eastAsia="zh-CN"/>
              </w:rPr>
            </w:pPr>
            <w:r>
              <w:rPr>
                <w:rFonts w:hint="eastAsia" w:ascii="宋体" w:hAnsi="宋体" w:cs="宋体"/>
                <w:color w:val="000000"/>
                <w:szCs w:val="21"/>
                <w:lang w:val="en-US" w:eastAsia="zh-CN"/>
              </w:rPr>
              <w:t>验证项目应包含法规要求的测试项目，以及本公司提出的测试项目。</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rPr>
                <w:lang w:eastAsia="zh-CN"/>
              </w:rPr>
            </w:pPr>
            <w:r>
              <w:rPr>
                <w:rFonts w:hint="eastAsia" w:ascii="宋体" w:hAnsi="宋体" w:cs="宋体"/>
                <w:color w:val="000000"/>
                <w:szCs w:val="21"/>
                <w:lang w:val="en-US" w:eastAsia="zh-CN"/>
              </w:rPr>
              <w:t xml:space="preserve">验证工作完成后，验证记录经本公司相关部门审核，并经质量保证部批 </w:t>
            </w:r>
          </w:p>
          <w:p>
            <w:pPr>
              <w:spacing w:line="276" w:lineRule="auto"/>
              <w:jc w:val="both"/>
              <w:rPr>
                <w:szCs w:val="21"/>
                <w:lang w:eastAsia="zh-CN"/>
              </w:rPr>
            </w:pPr>
            <w:r>
              <w:rPr>
                <w:rFonts w:hint="eastAsia" w:ascii="宋体" w:hAnsi="宋体" w:cs="宋体"/>
                <w:color w:val="000000"/>
                <w:szCs w:val="21"/>
                <w:lang w:val="en-US" w:eastAsia="zh-CN"/>
              </w:rPr>
              <w:t>准。</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rPr>
                <w:lang w:eastAsia="zh-CN"/>
              </w:rPr>
            </w:pPr>
            <w:r>
              <w:rPr>
                <w:rFonts w:hint="eastAsia" w:ascii="宋体" w:hAnsi="宋体" w:cs="宋体"/>
                <w:color w:val="000000"/>
                <w:szCs w:val="21"/>
                <w:lang w:val="en-US" w:eastAsia="zh-CN"/>
              </w:rPr>
              <w:t>设备</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等验证工作必须在供应商、我公司操作人员及我公司 </w:t>
            </w:r>
          </w:p>
          <w:p>
            <w:pPr>
              <w:rPr>
                <w:rFonts w:ascii="宋体" w:hAnsi="宋体" w:cs="宋体"/>
                <w:color w:val="000000"/>
                <w:szCs w:val="21"/>
                <w:lang w:val="en-US" w:eastAsia="zh-CN"/>
              </w:rPr>
            </w:pPr>
            <w:r>
              <w:rPr>
                <w:rFonts w:hint="eastAsia" w:ascii="宋体" w:hAnsi="宋体" w:cs="宋体"/>
                <w:color w:val="000000"/>
                <w:szCs w:val="21"/>
                <w:lang w:val="en-US" w:eastAsia="zh-CN"/>
              </w:rPr>
              <w:t>验证人员在场的情况下进行。</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rPr>
                <w:lang w:eastAsia="zh-CN"/>
              </w:rPr>
            </w:pPr>
            <w:r>
              <w:rPr>
                <w:rFonts w:hint="eastAsia" w:ascii="宋体" w:hAnsi="宋体" w:cs="宋体"/>
                <w:color w:val="000000"/>
                <w:szCs w:val="21"/>
                <w:lang w:val="en-US" w:eastAsia="zh-CN"/>
              </w:rPr>
              <w:t>设备完成</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等验证，且验证合格之后才能签署《设备开箱验 </w:t>
            </w:r>
          </w:p>
          <w:p>
            <w:pPr>
              <w:rPr>
                <w:rFonts w:ascii="宋体" w:hAnsi="宋体" w:cs="宋体"/>
                <w:color w:val="000000"/>
                <w:szCs w:val="21"/>
                <w:lang w:val="en-US" w:eastAsia="zh-CN"/>
              </w:rPr>
            </w:pPr>
            <w:r>
              <w:rPr>
                <w:rFonts w:hint="eastAsia" w:ascii="宋体" w:hAnsi="宋体" w:cs="宋体"/>
                <w:color w:val="000000"/>
                <w:szCs w:val="21"/>
                <w:lang w:val="en-US" w:eastAsia="zh-CN"/>
              </w:rPr>
              <w:t>收单》。</w:t>
            </w:r>
          </w:p>
        </w:tc>
        <w:tc>
          <w:tcPr>
            <w:tcW w:w="2125" w:type="dxa"/>
            <w:vAlign w:val="center"/>
          </w:tcPr>
          <w:p>
            <w:pPr>
              <w:jc w:val="center"/>
              <w:rPr>
                <w:szCs w:val="21"/>
                <w:lang w:eastAsia="zh-CN"/>
              </w:rPr>
            </w:pPr>
            <w:r>
              <w:rPr>
                <w:rFonts w:hint="eastAsia"/>
                <w:iCs/>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ermStart w:id="54" w:edGrp="everyone"/>
            <w:permEnd w:id="54"/>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szCs w:val="21"/>
                <w:lang w:eastAsia="zh-CN"/>
              </w:rPr>
            </w:pPr>
            <w:r>
              <w:rPr>
                <w:rFonts w:hint="eastAsia" w:ascii="宋体" w:hAnsi="宋体" w:cs="宋体"/>
                <w:color w:val="000000"/>
                <w:spacing w:val="2"/>
                <w:szCs w:val="21"/>
                <w:lang w:val="en-US" w:eastAsia="zh-CN"/>
              </w:rPr>
              <w:t>合同签订后6个月内发货。</w:t>
            </w:r>
          </w:p>
        </w:tc>
        <w:tc>
          <w:tcPr>
            <w:tcW w:w="2125" w:type="dxa"/>
            <w:vAlign w:val="center"/>
          </w:tcPr>
          <w:p>
            <w:pPr>
              <w:jc w:val="center"/>
              <w:rPr>
                <w:iCs/>
                <w:szCs w:val="21"/>
                <w:lang w:val="en-US" w:eastAsia="zh-CN"/>
              </w:rPr>
            </w:pPr>
            <w:r>
              <w:rPr>
                <w:rFonts w:hint="eastAsia"/>
                <w:iCs/>
                <w:szCs w:val="21"/>
                <w:lang w:val="en-US"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color w:val="000000"/>
                <w:sz w:val="24"/>
                <w:lang w:eastAsia="zh-CN"/>
              </w:rPr>
            </w:pPr>
            <w:r>
              <w:rPr>
                <w:rFonts w:hint="eastAsia"/>
                <w:szCs w:val="21"/>
                <w:lang w:eastAsia="zh-CN"/>
              </w:rPr>
              <w:t>设备保质期从确认验收的合格开始计算。</w:t>
            </w:r>
          </w:p>
        </w:tc>
        <w:tc>
          <w:tcPr>
            <w:tcW w:w="2125" w:type="dxa"/>
            <w:vAlign w:val="center"/>
          </w:tcPr>
          <w:p>
            <w:pPr>
              <w:jc w:val="center"/>
              <w:rPr>
                <w:iCs/>
                <w:szCs w:val="21"/>
                <w:lang w:val="en-US" w:eastAsia="zh-CN"/>
              </w:rPr>
            </w:pPr>
            <w:r>
              <w:rPr>
                <w:rFonts w:hint="eastAsia"/>
                <w:iCs/>
                <w:szCs w:val="21"/>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7" w:edGrp="everyone"/>
          </w:p>
        </w:tc>
        <w:tc>
          <w:tcPr>
            <w:tcW w:w="7128" w:type="dxa"/>
            <w:vAlign w:val="center"/>
          </w:tcPr>
          <w:p>
            <w:pPr>
              <w:spacing w:line="276" w:lineRule="auto"/>
              <w:jc w:val="both"/>
              <w:rPr>
                <w:szCs w:val="21"/>
                <w:lang w:eastAsia="zh-CN"/>
              </w:rPr>
            </w:pPr>
            <w:r>
              <w:rPr>
                <w:rFonts w:hint="eastAsia"/>
                <w:szCs w:val="21"/>
                <w:lang w:eastAsia="zh-CN"/>
              </w:rPr>
              <w:t>设备质保期为</w:t>
            </w:r>
            <w:r>
              <w:rPr>
                <w:rFonts w:hint="eastAsia"/>
                <w:szCs w:val="21"/>
                <w:lang w:val="en-US" w:eastAsia="zh-CN"/>
              </w:rPr>
              <w:t>2</w:t>
            </w:r>
            <w:r>
              <w:rPr>
                <w:rFonts w:hint="eastAsia"/>
                <w:szCs w:val="21"/>
                <w:lang w:eastAsia="zh-CN"/>
              </w:rPr>
              <w:t>年，</w:t>
            </w:r>
            <w:r>
              <w:rPr>
                <w:rFonts w:hint="eastAsia"/>
                <w:szCs w:val="21"/>
                <w:lang w:val="en-US" w:eastAsia="zh-CN"/>
              </w:rPr>
              <w:t>2</w:t>
            </w:r>
            <w:r>
              <w:rPr>
                <w:rFonts w:hint="eastAsia"/>
                <w:szCs w:val="21"/>
                <w:lang w:eastAsia="zh-CN"/>
              </w:rPr>
              <w:t>年内免费保修，</w:t>
            </w:r>
            <w:r>
              <w:rPr>
                <w:rFonts w:hint="eastAsia"/>
                <w:szCs w:val="21"/>
                <w:lang w:val="en-US" w:eastAsia="zh-CN"/>
              </w:rPr>
              <w:t>2</w:t>
            </w:r>
            <w:r>
              <w:rPr>
                <w:rFonts w:hint="eastAsia"/>
                <w:szCs w:val="21"/>
                <w:lang w:eastAsia="zh-CN"/>
              </w:rPr>
              <w:t>年后应提供良好的售后服务。</w:t>
            </w:r>
          </w:p>
        </w:tc>
        <w:tc>
          <w:tcPr>
            <w:tcW w:w="2125" w:type="dxa"/>
            <w:vAlign w:val="center"/>
          </w:tcPr>
          <w:p>
            <w:pPr>
              <w:jc w:val="center"/>
              <w:rPr>
                <w:iCs/>
                <w:szCs w:val="21"/>
                <w:lang w:val="en-US" w:eastAsia="zh-CN"/>
              </w:rPr>
            </w:pPr>
            <w:r>
              <w:rPr>
                <w:rFonts w:hint="eastAsia"/>
                <w:iCs/>
                <w:szCs w:val="21"/>
                <w:lang w:val="en-US"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8" w:edGrp="everyone"/>
          </w:p>
        </w:tc>
        <w:tc>
          <w:tcPr>
            <w:tcW w:w="7128" w:type="dxa"/>
            <w:vAlign w:val="center"/>
          </w:tcPr>
          <w:p>
            <w:pPr>
              <w:spacing w:line="276" w:lineRule="auto"/>
              <w:jc w:val="both"/>
              <w:rPr>
                <w:szCs w:val="21"/>
                <w:lang w:eastAsia="zh-CN"/>
              </w:rPr>
            </w:pPr>
            <w:r>
              <w:rPr>
                <w:rFonts w:hint="eastAsia" w:ascii="宋体" w:hAnsi="宋体"/>
                <w:szCs w:val="21"/>
                <w:lang w:eastAsia="zh-CN"/>
              </w:rPr>
              <w:t>售后服务必须响应及时，要求设备出现须厂家维修的故障后，应在</w:t>
            </w:r>
            <w:r>
              <w:rPr>
                <w:rFonts w:ascii="宋体" w:hAnsi="宋体"/>
                <w:szCs w:val="21"/>
                <w:lang w:eastAsia="zh-CN"/>
              </w:rPr>
              <w:t>1小时</w:t>
            </w:r>
            <w:r>
              <w:rPr>
                <w:rFonts w:hint="eastAsia" w:ascii="宋体" w:hAnsi="宋体"/>
                <w:szCs w:val="21"/>
                <w:lang w:eastAsia="zh-CN"/>
              </w:rPr>
              <w:t>内明确答复，当电话沟通无法解决时，须4小时内及时派人至现场解决。</w:t>
            </w:r>
          </w:p>
        </w:tc>
        <w:tc>
          <w:tcPr>
            <w:tcW w:w="2125" w:type="dxa"/>
            <w:vAlign w:val="center"/>
          </w:tcPr>
          <w:p>
            <w:pPr>
              <w:jc w:val="center"/>
              <w:rPr>
                <w:iCs/>
                <w:szCs w:val="21"/>
                <w:lang w:val="en-US" w:eastAsia="zh-CN"/>
              </w:rPr>
            </w:pPr>
            <w:r>
              <w:rPr>
                <w:rFonts w:hint="eastAsia"/>
                <w:iCs/>
                <w:szCs w:val="21"/>
                <w:lang w:val="en-US"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9" w:edGrp="everyone"/>
          </w:p>
        </w:tc>
        <w:tc>
          <w:tcPr>
            <w:tcW w:w="7128" w:type="dxa"/>
            <w:vAlign w:val="center"/>
          </w:tcPr>
          <w:p>
            <w:pPr>
              <w:spacing w:line="276" w:lineRule="auto"/>
              <w:jc w:val="both"/>
              <w:rPr>
                <w:rFonts w:ascii="宋体" w:hAnsi="宋体" w:cs="Arial"/>
                <w:color w:val="000000"/>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r>
              <w:rPr>
                <w:rFonts w:hint="eastAsia"/>
                <w:sz w:val="18"/>
                <w:szCs w:val="18"/>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0" w:edGrp="everyone"/>
          </w:p>
        </w:tc>
        <w:tc>
          <w:tcPr>
            <w:tcW w:w="7128" w:type="dxa"/>
            <w:vAlign w:val="center"/>
          </w:tcPr>
          <w:p>
            <w:pPr>
              <w:spacing w:line="276" w:lineRule="auto"/>
              <w:jc w:val="both"/>
              <w:rPr>
                <w:szCs w:val="21"/>
                <w:lang w:val="en-US" w:eastAsia="zh-CN"/>
              </w:rPr>
            </w:pPr>
            <w:r>
              <w:rPr>
                <w:rFonts w:hint="eastAsia"/>
                <w:szCs w:val="21"/>
                <w:lang w:eastAsia="zh-CN"/>
              </w:rPr>
              <w:t>货物到达买方使用现场后，由买卖双方共同验收，卖方工程师免费为买方提供安装。</w:t>
            </w:r>
          </w:p>
        </w:tc>
        <w:tc>
          <w:tcPr>
            <w:tcW w:w="2125" w:type="dxa"/>
            <w:vAlign w:val="center"/>
          </w:tcPr>
          <w:p>
            <w:pPr>
              <w:jc w:val="center"/>
              <w:rPr>
                <w:iCs/>
                <w:szCs w:val="21"/>
                <w:lang w:val="en-US" w:eastAsia="zh-CN"/>
              </w:rPr>
            </w:pPr>
            <w:r>
              <w:rPr>
                <w:rFonts w:hint="eastAsia"/>
                <w:iCs/>
                <w:szCs w:val="21"/>
                <w:lang w:val="en-US" w:eastAsia="zh-CN"/>
              </w:rPr>
              <w:t>关键</w:t>
            </w:r>
          </w:p>
        </w:tc>
      </w:tr>
      <w:permEnd w:id="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61" w:edGrp="everyone"/>
          </w:p>
        </w:tc>
        <w:tc>
          <w:tcPr>
            <w:tcW w:w="7128" w:type="dxa"/>
            <w:vAlign w:val="center"/>
          </w:tcPr>
          <w:p>
            <w:pPr>
              <w:spacing w:line="276" w:lineRule="auto"/>
              <w:jc w:val="both"/>
              <w:rPr>
                <w:szCs w:val="21"/>
                <w:lang w:eastAsia="zh-CN"/>
              </w:rPr>
            </w:pPr>
            <w:r>
              <w:rPr>
                <w:rFonts w:hint="eastAsia"/>
                <w:szCs w:val="21"/>
                <w:lang w:eastAsia="zh-CN"/>
              </w:rPr>
              <w:t>供应商进厂施工需遵守安全和安装规定。</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szCs w:val="21"/>
                <w:lang w:eastAsia="zh-CN"/>
              </w:rPr>
              <w:t>确认调试验收合格后，买卖双方签订验收报告。</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szCs w:val="21"/>
                <w:lang w:eastAsia="zh-CN"/>
              </w:rPr>
              <w:t>确认验收合格应包含所有附件及备件。</w:t>
            </w:r>
          </w:p>
        </w:tc>
        <w:tc>
          <w:tcPr>
            <w:tcW w:w="2125" w:type="dxa"/>
            <w:vAlign w:val="center"/>
          </w:tcPr>
          <w:p>
            <w:pPr>
              <w:jc w:val="center"/>
              <w:rPr>
                <w:iCs/>
                <w:szCs w:val="21"/>
                <w:lang w:val="en-US" w:eastAsia="zh-CN"/>
              </w:rPr>
            </w:pPr>
            <w:r>
              <w:rPr>
                <w:rFonts w:hint="eastAsia"/>
                <w:iCs/>
                <w:szCs w:val="21"/>
                <w:lang w:val="en-US" w:eastAsia="zh-CN"/>
              </w:rPr>
              <w:t>关键</w:t>
            </w:r>
          </w:p>
        </w:tc>
      </w:tr>
      <w:permEnd w:id="61"/>
    </w:tbl>
    <w:p/>
    <w:p>
      <w:pPr>
        <w:pStyle w:val="30"/>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rPr>
          <w:iCs/>
          <w:szCs w:val="21"/>
          <w:lang w:val="en-US" w:eastAsia="zh-CN"/>
        </w:rPr>
      </w:pPr>
      <w:permStart w:id="62" w:edGrp="everyone"/>
      <w:r>
        <w:rPr>
          <w:rFonts w:hint="eastAsia"/>
          <w:szCs w:val="21"/>
          <w:lang w:val="en-US" w:eastAsia="zh-CN"/>
        </w:rPr>
        <w:t>N/A</w:t>
      </w:r>
      <w:permEnd w:id="62"/>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558765827">
    <w:nsid w:val="D41E7503"/>
    <w:multiLevelType w:val="singleLevel"/>
    <w:tmpl w:val="D41E7503"/>
    <w:lvl w:ilvl="0" w:tentative="1">
      <w:start w:val="1"/>
      <w:numFmt w:val="decimal"/>
      <w:suff w:val="nothing"/>
      <w:lvlText w:val="%1、"/>
      <w:lvlJc w:val="left"/>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554"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3558765827"/>
  </w:num>
  <w:num w:numId="11">
    <w:abstractNumId w:val="196115971"/>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5E5"/>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683"/>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151"/>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33F2"/>
    <w:rsid w:val="003C558E"/>
    <w:rsid w:val="003C6ECF"/>
    <w:rsid w:val="003C73BC"/>
    <w:rsid w:val="003D2243"/>
    <w:rsid w:val="003D2292"/>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17B25"/>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E72E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263BA"/>
    <w:rsid w:val="00530B8F"/>
    <w:rsid w:val="00531434"/>
    <w:rsid w:val="00531754"/>
    <w:rsid w:val="00534840"/>
    <w:rsid w:val="00534D08"/>
    <w:rsid w:val="00536973"/>
    <w:rsid w:val="00536C6B"/>
    <w:rsid w:val="00544652"/>
    <w:rsid w:val="00545A98"/>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11D8"/>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4F"/>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2FB5"/>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4C94"/>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2CA1"/>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2A15"/>
    <w:rsid w:val="008E41D3"/>
    <w:rsid w:val="008E43F1"/>
    <w:rsid w:val="008E594F"/>
    <w:rsid w:val="008E7312"/>
    <w:rsid w:val="008F297F"/>
    <w:rsid w:val="008F447E"/>
    <w:rsid w:val="00904BA9"/>
    <w:rsid w:val="00904E7E"/>
    <w:rsid w:val="00907D11"/>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05E"/>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8A6"/>
    <w:rsid w:val="00980AB3"/>
    <w:rsid w:val="009848CB"/>
    <w:rsid w:val="00984D10"/>
    <w:rsid w:val="00985369"/>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878CB"/>
    <w:rsid w:val="00A90009"/>
    <w:rsid w:val="00A91F02"/>
    <w:rsid w:val="00A927A4"/>
    <w:rsid w:val="00A94CC0"/>
    <w:rsid w:val="00A9534A"/>
    <w:rsid w:val="00A957FA"/>
    <w:rsid w:val="00A968DC"/>
    <w:rsid w:val="00A96A52"/>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1375"/>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12F7"/>
    <w:rsid w:val="00B74791"/>
    <w:rsid w:val="00B766C5"/>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47BF"/>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C75C5"/>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3685"/>
    <w:rsid w:val="00DB5BBA"/>
    <w:rsid w:val="00DC03DB"/>
    <w:rsid w:val="00DC1206"/>
    <w:rsid w:val="00DC2BE8"/>
    <w:rsid w:val="00DC2BEC"/>
    <w:rsid w:val="00DC3256"/>
    <w:rsid w:val="00DC35A6"/>
    <w:rsid w:val="00DC469D"/>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D778B"/>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62D2DA2"/>
    <w:rsid w:val="074D0BAA"/>
    <w:rsid w:val="076C501A"/>
    <w:rsid w:val="09C4662B"/>
    <w:rsid w:val="0B5C45DF"/>
    <w:rsid w:val="0E467394"/>
    <w:rsid w:val="0F5F286F"/>
    <w:rsid w:val="15AF4FCD"/>
    <w:rsid w:val="16FB7F2B"/>
    <w:rsid w:val="17123175"/>
    <w:rsid w:val="17A849B3"/>
    <w:rsid w:val="19625EAC"/>
    <w:rsid w:val="1BBD1D2F"/>
    <w:rsid w:val="1C726834"/>
    <w:rsid w:val="1E8408FB"/>
    <w:rsid w:val="233E0715"/>
    <w:rsid w:val="24426659"/>
    <w:rsid w:val="25060193"/>
    <w:rsid w:val="250C51B0"/>
    <w:rsid w:val="268D7671"/>
    <w:rsid w:val="2693165E"/>
    <w:rsid w:val="29A023AD"/>
    <w:rsid w:val="35FE3298"/>
    <w:rsid w:val="36EC4283"/>
    <w:rsid w:val="39624025"/>
    <w:rsid w:val="3AEF0E50"/>
    <w:rsid w:val="3E96640F"/>
    <w:rsid w:val="40284C7E"/>
    <w:rsid w:val="426C30F9"/>
    <w:rsid w:val="4498210F"/>
    <w:rsid w:val="4AC943EC"/>
    <w:rsid w:val="4BB20C2B"/>
    <w:rsid w:val="4D16074A"/>
    <w:rsid w:val="4E213A31"/>
    <w:rsid w:val="50613319"/>
    <w:rsid w:val="514D211B"/>
    <w:rsid w:val="52FC7720"/>
    <w:rsid w:val="540D0530"/>
    <w:rsid w:val="5C6D544A"/>
    <w:rsid w:val="5EC4613C"/>
    <w:rsid w:val="630262D1"/>
    <w:rsid w:val="6532347A"/>
    <w:rsid w:val="69BA5D6E"/>
    <w:rsid w:val="6D2A0827"/>
    <w:rsid w:val="76980A7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0"/>
  </w:style>
  <w:style w:type="paragraph" w:styleId="8">
    <w:name w:val="Body Text 3"/>
    <w:basedOn w:val="1"/>
    <w:link w:val="48"/>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99"/>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3"/>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正文文本 31"/>
    <w:basedOn w:val="1"/>
    <w:qFormat/>
    <w:uiPriority w:val="0"/>
    <w:pPr>
      <w:adjustRightInd/>
    </w:pPr>
    <w:rPr>
      <w:sz w:val="28"/>
    </w:rPr>
  </w:style>
  <w:style w:type="character" w:customStyle="1" w:styleId="37">
    <w:name w:val="页眉 Char"/>
    <w:link w:val="15"/>
    <w:qFormat/>
    <w:uiPriority w:val="0"/>
    <w:rPr>
      <w:rFonts w:eastAsia="宋体"/>
      <w:sz w:val="24"/>
      <w:lang w:eastAsia="en-US" w:bidi="ar-SA"/>
    </w:rPr>
  </w:style>
  <w:style w:type="character" w:customStyle="1" w:styleId="38">
    <w:name w:val="批注文字 Char"/>
    <w:link w:val="7"/>
    <w:semiHidden/>
    <w:qFormat/>
    <w:uiPriority w:val="0"/>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qFormat/>
    <w:uiPriority w:val="0"/>
    <w:rPr/>
  </w:style>
  <w:style w:type="character" w:customStyle="1" w:styleId="42">
    <w:name w:val="numbering blue Zchn"/>
    <w:link w:val="32"/>
    <w:qFormat/>
    <w:uiPriority w:val="0"/>
    <w:rPr>
      <w:rFonts w:ascii="Arial" w:hAnsi="Arial" w:eastAsia="PMingLiU"/>
      <w:color w:val="0070C0"/>
      <w:lang w:eastAsia="zh-TW"/>
    </w:rPr>
  </w:style>
  <w:style w:type="character" w:customStyle="1" w:styleId="43">
    <w:name w:val="Text Char"/>
    <w:link w:val="34"/>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19"/>
    <w:qFormat/>
    <w:uiPriority w:val="0"/>
    <w:rPr/>
  </w:style>
  <w:style w:type="character" w:customStyle="1" w:styleId="46">
    <w:name w:val="标题 Char"/>
    <w:link w:val="18"/>
    <w:qFormat/>
    <w:uiPriority w:val="0"/>
    <w:rPr>
      <w:rFonts w:ascii="Calibri Light" w:hAnsi="Calibri Light" w:cs="Times New Roman"/>
      <w:b/>
      <w:bCs/>
      <w:sz w:val="32"/>
      <w:szCs w:val="32"/>
      <w:lang w:eastAsia="en-US"/>
    </w:rPr>
  </w:style>
  <w:style w:type="character" w:customStyle="1" w:styleId="47">
    <w:name w:val="Footer Char"/>
    <w:basedOn w:val="19"/>
    <w:semiHidden/>
    <w:qFormat/>
    <w:locked/>
    <w:uiPriority w:val="0"/>
    <w:rPr>
      <w:rFonts w:cs="Times New Roman"/>
      <w:sz w:val="18"/>
      <w:szCs w:val="18"/>
    </w:rPr>
  </w:style>
  <w:style w:type="character" w:customStyle="1" w:styleId="48">
    <w:name w:val="正文文本 3 Char"/>
    <w:basedOn w:val="19"/>
    <w:link w:val="8"/>
    <w:qFormat/>
    <w:uiPriority w:val="0"/>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1050</Words>
  <Characters>5986</Characters>
  <Lines>49</Lines>
  <Paragraphs>14</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2017-06-22T01:53:00Z</cp:lastPrinted>
  <dcterms:modified xsi:type="dcterms:W3CDTF">2022-01-06T07:17:21Z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07704AE4C46B4401A637DEECDF04E8F8</vt:lpwstr>
  </property>
</Properties>
</file>