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400307"/>
      <w:bookmarkStart w:id="1" w:name="_Toc483666358"/>
      <w:bookmarkStart w:id="2" w:name="_Toc484532399"/>
      <w:bookmarkStart w:id="3" w:name="_Toc483227223"/>
      <w:bookmarkStart w:id="4" w:name="_Toc482717189"/>
    </w:p>
    <w:p>
      <w:pPr>
        <w:spacing w:after="158" w:afterLines="50"/>
        <w:jc w:val="center"/>
        <w:rPr>
          <w:b/>
          <w:szCs w:val="21"/>
          <w:lang w:eastAsia="zh-CN"/>
        </w:rPr>
      </w:pPr>
      <w:permStart w:id="0" w:edGrp="everyone"/>
      <w:r>
        <w:rPr>
          <w:rFonts w:hint="eastAsia"/>
          <w:b/>
          <w:sz w:val="28"/>
          <w:szCs w:val="28"/>
          <w:lang w:val="en-US" w:eastAsia="zh-CN"/>
        </w:rPr>
        <w:t>联合疫苗楼百日咳车间电子天平</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10</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lang w:val="en-US" w:eastAsia="zh-CN"/>
        </w:rPr>
      </w:pPr>
      <w:r>
        <w:rPr>
          <w:lang w:val="en-US" w:eastAsia="zh-CN"/>
        </w:rPr>
        <w:br w:type="page"/>
      </w:r>
      <w:bookmarkStart w:id="5" w:name="_Toc522107734"/>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716115"/>
      <w:bookmarkStart w:id="7" w:name="_Toc52210773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2370349"/>
      <w:bookmarkStart w:id="9" w:name="_Toc482370757"/>
      <w:bookmarkStart w:id="10" w:name="_Toc482369805"/>
      <w:bookmarkStart w:id="11" w:name="_Toc482370061"/>
      <w:bookmarkStart w:id="12" w:name="_Toc482370141"/>
      <w:bookmarkStart w:id="13" w:name="_Toc482625279"/>
      <w:bookmarkStart w:id="14" w:name="_Toc482360281"/>
      <w:bookmarkStart w:id="15" w:name="_Toc481702475"/>
      <w:bookmarkStart w:id="16" w:name="_Toc482359936"/>
      <w:r>
        <w:rPr>
          <w:szCs w:val="21"/>
          <w:lang w:eastAsia="zh-CN"/>
        </w:rPr>
        <w:t>本文件的目的是描述武汉生物制品研究所有限责任公司</w:t>
      </w:r>
      <w:permStart w:id="3" w:edGrp="everyone"/>
      <w:r>
        <w:rPr>
          <w:rFonts w:hint="eastAsia"/>
          <w:szCs w:val="21"/>
          <w:lang w:eastAsia="zh-CN"/>
        </w:rPr>
        <w:t>联合疫苗楼百日咳车间电子天平</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联合疫苗楼百日咳车间电子天平</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《药品生产质量管理规范》（2010版）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《药品GMP指南》 （2011版）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国家标准及欧盟现行版 GMP 相关法规要求和准则</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color w:val="000000"/>
          <w:szCs w:val="21"/>
          <w:lang w:eastAsia="zh-CN"/>
        </w:rPr>
      </w:pPr>
      <w:permStart w:id="6" w:edGrp="everyone"/>
      <w:r>
        <w:rPr>
          <w:rFonts w:hint="eastAsia"/>
          <w:color w:val="000000"/>
          <w:szCs w:val="21"/>
          <w:lang w:eastAsia="zh-CN"/>
        </w:rPr>
        <w:t>电气安全应符合GB4793.1和GB4793.4的要求。</w:t>
      </w:r>
    </w:p>
    <w:permEnd w:id="6"/>
    <w:p>
      <w:pPr>
        <w:pStyle w:val="34"/>
        <w:spacing w:before="0" w:line="360" w:lineRule="auto"/>
        <w:ind w:left="357"/>
        <w:jc w:val="left"/>
        <w:rPr>
          <w:i/>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1" w:name="_Toc522716119"/>
      <w:bookmarkStart w:id="22" w:name="_Toc522107739"/>
      <w:r>
        <w:rPr>
          <w:rFonts w:ascii="Times New Roman" w:hAnsi="Times New Roman"/>
          <w:b/>
        </w:rPr>
        <w:t>系统描述</w:t>
      </w:r>
      <w:bookmarkEnd w:id="21"/>
      <w:bookmarkEnd w:id="22"/>
    </w:p>
    <w:p>
      <w:pPr>
        <w:pStyle w:val="34"/>
        <w:spacing w:before="0" w:line="360" w:lineRule="auto"/>
        <w:ind w:left="357"/>
        <w:jc w:val="left"/>
        <w:rPr>
          <w:i/>
          <w:color w:val="4472C4"/>
          <w:szCs w:val="21"/>
          <w:lang w:eastAsia="zh-CN"/>
        </w:rPr>
      </w:pPr>
      <w:permStart w:id="7" w:edGrp="everyone"/>
      <w:r>
        <w:rPr>
          <w:rFonts w:hint="eastAsia"/>
          <w:color w:val="000000"/>
          <w:szCs w:val="21"/>
          <w:lang w:eastAsia="zh-CN"/>
        </w:rPr>
        <w:t>联合疫苗楼百日咳疫苗原液车间配液间需要购买2台I</w:t>
      </w:r>
      <w:r>
        <w:rPr>
          <w:color w:val="000000"/>
          <w:szCs w:val="21"/>
          <w:lang w:eastAsia="zh-CN"/>
        </w:rPr>
        <w:t>I级</w:t>
      </w:r>
      <w:r>
        <w:rPr>
          <w:rFonts w:hint="eastAsia"/>
          <w:color w:val="000000"/>
          <w:szCs w:val="21"/>
          <w:lang w:eastAsia="zh-CN"/>
        </w:rPr>
        <w:t>3kg工业天平，用于配液过程中物料的称量</w:t>
      </w:r>
      <w:r>
        <w:rPr>
          <w:i/>
          <w:color w:val="4472C4"/>
          <w:szCs w:val="21"/>
          <w:lang w:eastAsia="zh-CN"/>
        </w:rPr>
        <w:t>。</w:t>
      </w:r>
      <w:permEnd w:id="7"/>
    </w:p>
    <w:p>
      <w:pPr>
        <w:pStyle w:val="30"/>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ermStart w:id="8" w:edGrp="everyone"/>
      <w:permEnd w:id="8"/>
      <w:bookmarkStart w:id="48" w:name="_GoBack"/>
      <w:bookmarkEnd w:id="4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9" w:edGrp="everyone"/>
          </w:p>
        </w:tc>
        <w:tc>
          <w:tcPr>
            <w:tcW w:w="7128" w:type="dxa"/>
            <w:vAlign w:val="center"/>
          </w:tcPr>
          <w:p>
            <w:pPr>
              <w:spacing w:line="276" w:lineRule="auto"/>
              <w:jc w:val="both"/>
              <w:rPr>
                <w:i/>
                <w:color w:val="0070C0"/>
                <w:szCs w:val="21"/>
                <w:lang w:val="en-US" w:eastAsia="zh-CN"/>
              </w:rPr>
            </w:pPr>
            <w:r>
              <w:rPr>
                <w:rFonts w:hint="eastAsia"/>
                <w:iCs/>
                <w:szCs w:val="21"/>
                <w:lang w:val="en-US" w:eastAsia="zh-CN"/>
              </w:rPr>
              <w:t>联合疫苗楼百日咳疫苗原液车间配液间。</w:t>
            </w:r>
          </w:p>
        </w:tc>
        <w:tc>
          <w:tcPr>
            <w:tcW w:w="2125" w:type="dxa"/>
            <w:vAlign w:val="center"/>
          </w:tcPr>
          <w:p>
            <w:pPr>
              <w:jc w:val="center"/>
              <w:rPr>
                <w:i/>
                <w:szCs w:val="21"/>
                <w:lang w:eastAsia="zh-CN"/>
              </w:rPr>
            </w:pPr>
            <w:r>
              <w:rPr>
                <w:rFonts w:hint="eastAsia"/>
                <w:iCs/>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Cs/>
                <w:szCs w:val="21"/>
                <w:lang w:val="en-US" w:eastAsia="zh-CN"/>
              </w:rPr>
            </w:pPr>
            <w:r>
              <w:rPr>
                <w:rFonts w:hint="eastAsia"/>
                <w:szCs w:val="21"/>
                <w:lang w:eastAsia="zh-CN"/>
              </w:rPr>
              <w:t>配液间</w:t>
            </w:r>
            <w:r>
              <w:rPr>
                <w:rFonts w:hint="eastAsia" w:cs="宋体"/>
                <w:szCs w:val="21"/>
                <w:lang w:val="da-DK" w:eastAsia="zh-CN"/>
              </w:rPr>
              <w:t>工业</w:t>
            </w:r>
            <w:r>
              <w:rPr>
                <w:rFonts w:hint="eastAsia" w:cs="宋体"/>
                <w:szCs w:val="21"/>
                <w:lang w:val="en-US" w:eastAsia="zh-CN"/>
              </w:rPr>
              <w:t>天平（0-3kg）2</w:t>
            </w:r>
            <w:r>
              <w:rPr>
                <w:rFonts w:hint="eastAsia" w:cs="宋体"/>
                <w:szCs w:val="21"/>
                <w:lang w:val="da-DK" w:eastAsia="zh-CN"/>
              </w:rPr>
              <w:t>台，称台可用台面尺寸不低于2</w:t>
            </w:r>
            <w:r>
              <w:rPr>
                <w:rFonts w:cs="宋体"/>
                <w:szCs w:val="21"/>
                <w:lang w:val="da-DK" w:eastAsia="zh-CN"/>
              </w:rPr>
              <w:t>40</w:t>
            </w:r>
            <w:r>
              <w:rPr>
                <w:rFonts w:hint="eastAsia" w:cs="宋体"/>
                <w:szCs w:val="21"/>
                <w:lang w:val="da-DK" w:eastAsia="zh-CN"/>
              </w:rPr>
              <w:t>*</w:t>
            </w:r>
            <w:r>
              <w:rPr>
                <w:rFonts w:cs="宋体"/>
                <w:szCs w:val="21"/>
                <w:lang w:val="da-DK" w:eastAsia="zh-CN"/>
              </w:rPr>
              <w:t>300mm</w:t>
            </w:r>
            <w:r>
              <w:rPr>
                <w:rFonts w:hint="eastAsia" w:cs="宋体"/>
                <w:szCs w:val="21"/>
                <w:lang w:val="da-DK" w:eastAsia="zh-CN"/>
              </w:rPr>
              <w:t>；防护等级不低于IP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Cs/>
                <w:szCs w:val="21"/>
                <w:lang w:val="en-US" w:eastAsia="zh-CN"/>
              </w:rPr>
            </w:pPr>
            <w:r>
              <w:rPr>
                <w:rFonts w:hint="eastAsia"/>
                <w:iCs/>
                <w:szCs w:val="21"/>
                <w:lang w:val="en-US" w:eastAsia="zh-CN"/>
              </w:rPr>
              <w:t>设备的形式尺寸应符合制造商说明书及技术文件规定的要求。</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val="en-US" w:eastAsia="zh-CN"/>
              </w:rPr>
            </w:pPr>
            <w:r>
              <w:rPr>
                <w:rFonts w:hint="eastAsia"/>
                <w:iCs/>
                <w:szCs w:val="21"/>
                <w:lang w:val="en-US" w:eastAsia="zh-CN"/>
              </w:rPr>
              <w:t>供应商必须给出设备选型方案及相应附件选型方案，并交给我公司使用部门及工程类部门审核。</w:t>
            </w:r>
          </w:p>
        </w:tc>
        <w:tc>
          <w:tcPr>
            <w:tcW w:w="2125" w:type="dxa"/>
            <w:vAlign w:val="center"/>
          </w:tcPr>
          <w:p>
            <w:pPr>
              <w:jc w:val="center"/>
              <w:rPr>
                <w:iCs/>
                <w:szCs w:val="21"/>
                <w:lang w:val="en-US" w:eastAsia="zh-CN"/>
              </w:rPr>
            </w:pPr>
            <w:r>
              <w:rPr>
                <w:rFonts w:hint="eastAsia"/>
                <w:iCs/>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0"/>
                <w:numId w:val="7"/>
              </w:numPr>
              <w:ind w:left="470" w:firstLine="1011" w:firstLineChars="0"/>
              <w:rPr>
                <w:rFonts w:ascii="Times New Roman" w:hAnsi="Times New Roman"/>
                <w:szCs w:val="21"/>
              </w:rPr>
            </w:pPr>
            <w:permStart w:id="12" w:edGrp="everyone"/>
          </w:p>
        </w:tc>
        <w:tc>
          <w:tcPr>
            <w:tcW w:w="7128" w:type="dxa"/>
            <w:vAlign w:val="center"/>
          </w:tcPr>
          <w:p>
            <w:pPr>
              <w:spacing w:line="276" w:lineRule="auto"/>
              <w:jc w:val="both"/>
              <w:rPr>
                <w:i/>
                <w:color w:val="0070C0"/>
                <w:szCs w:val="21"/>
                <w:lang w:val="en-US" w:eastAsia="zh-CN"/>
              </w:rPr>
            </w:pPr>
            <w:r>
              <w:rPr>
                <w:rFonts w:hint="eastAsia"/>
                <w:iCs/>
                <w:szCs w:val="21"/>
                <w:lang w:val="en-US" w:eastAsia="zh-CN"/>
              </w:rPr>
              <w:t>N/A</w:t>
            </w:r>
          </w:p>
        </w:tc>
        <w:tc>
          <w:tcPr>
            <w:tcW w:w="2125" w:type="dxa"/>
            <w:vAlign w:val="center"/>
          </w:tcPr>
          <w:p>
            <w:pPr>
              <w:jc w:val="both"/>
              <w:rPr>
                <w:szCs w:val="21"/>
                <w:lang w:eastAsia="zh-CN"/>
              </w:rPr>
            </w:pP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0"/>
                <w:numId w:val="7"/>
              </w:numPr>
              <w:ind w:left="470" w:firstLine="881" w:firstLineChars="0"/>
              <w:rPr>
                <w:rFonts w:ascii="Times New Roman" w:hAnsi="Times New Roman"/>
                <w:szCs w:val="21"/>
              </w:rPr>
            </w:pPr>
            <w:permStart w:id="13" w:edGrp="everyone"/>
          </w:p>
        </w:tc>
        <w:tc>
          <w:tcPr>
            <w:tcW w:w="7128" w:type="dxa"/>
            <w:vAlign w:val="center"/>
          </w:tcPr>
          <w:p>
            <w:pPr>
              <w:spacing w:line="276" w:lineRule="auto"/>
              <w:jc w:val="both"/>
              <w:rPr>
                <w:i/>
                <w:szCs w:val="21"/>
                <w:lang w:eastAsia="zh-CN"/>
              </w:rPr>
            </w:pPr>
            <w:r>
              <w:rPr>
                <w:rFonts w:hint="eastAsia"/>
                <w:iCs/>
                <w:szCs w:val="21"/>
                <w:lang w:val="en-US" w:eastAsia="zh-CN"/>
              </w:rPr>
              <w:t>N/A</w:t>
            </w:r>
          </w:p>
        </w:tc>
        <w:tc>
          <w:tcPr>
            <w:tcW w:w="2125" w:type="dxa"/>
            <w:vAlign w:val="center"/>
          </w:tcPr>
          <w:p>
            <w:pPr>
              <w:jc w:val="both"/>
              <w:rPr>
                <w:szCs w:val="21"/>
                <w:lang w:eastAsia="zh-CN"/>
              </w:rPr>
            </w:pP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ermStart w:id="14" w:edGrp="everyone"/>
            <w:permEnd w:id="14"/>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val="en-US" w:eastAsia="zh-CN"/>
              </w:rPr>
            </w:pPr>
            <w:r>
              <w:rPr>
                <w:szCs w:val="21"/>
                <w:lang w:eastAsia="zh-CN"/>
              </w:rPr>
              <w:t>工作环境温度： 18</w:t>
            </w:r>
            <w:r>
              <w:rPr>
                <w:rFonts w:hint="eastAsia"/>
                <w:szCs w:val="21"/>
                <w:lang w:eastAsia="zh-CN"/>
              </w:rPr>
              <w:t>℃</w:t>
            </w:r>
            <w:r>
              <w:rPr>
                <w:szCs w:val="21"/>
                <w:lang w:eastAsia="zh-CN"/>
              </w:rPr>
              <w:t>～26</w:t>
            </w:r>
            <w:r>
              <w:rPr>
                <w:rFonts w:hint="eastAsia"/>
                <w:szCs w:val="21"/>
                <w:lang w:eastAsia="zh-CN"/>
              </w:rPr>
              <w:t>℃</w:t>
            </w:r>
            <w:r>
              <w:rPr>
                <w:szCs w:val="21"/>
                <w:lang w:eastAsia="zh-CN"/>
              </w:rPr>
              <w:t xml:space="preserve">环境 </w:t>
            </w:r>
            <w:r>
              <w:rPr>
                <w:rFonts w:hint="eastAsia"/>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val="en-US" w:eastAsia="zh-CN"/>
              </w:rPr>
            </w:pPr>
            <w:r>
              <w:rPr>
                <w:lang w:eastAsia="zh-CN"/>
              </w:rPr>
              <w:t>工</w:t>
            </w:r>
            <w:r>
              <w:rPr>
                <w:szCs w:val="21"/>
                <w:lang w:eastAsia="zh-CN"/>
              </w:rPr>
              <w:t>作环境湿度： 45%～65%</w:t>
            </w:r>
            <w:r>
              <w:rPr>
                <w:rFonts w:hint="eastAsia"/>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val="en-US" w:eastAsia="zh-CN"/>
              </w:rPr>
            </w:pPr>
            <w:r>
              <w:rPr>
                <w:lang w:eastAsia="zh-CN"/>
              </w:rPr>
              <w:t>工作环境洁净级别：</w:t>
            </w:r>
            <w:r>
              <w:rPr>
                <w:rFonts w:hint="eastAsia"/>
                <w:lang w:val="en-US" w:eastAsia="zh-CN"/>
              </w:rPr>
              <w:t>D级。</w:t>
            </w:r>
          </w:p>
        </w:tc>
        <w:tc>
          <w:tcPr>
            <w:tcW w:w="2125" w:type="dxa"/>
            <w:vAlign w:val="center"/>
          </w:tcPr>
          <w:p>
            <w:pPr>
              <w:jc w:val="center"/>
              <w:rPr>
                <w:iCs/>
                <w:szCs w:val="21"/>
                <w:lang w:val="en-US" w:eastAsia="zh-CN"/>
              </w:rPr>
            </w:pPr>
            <w:r>
              <w:rPr>
                <w:rFonts w:hint="eastAsia"/>
                <w:iCs/>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val="en-US" w:eastAsia="zh-CN"/>
              </w:rPr>
            </w:pPr>
            <w:r>
              <w:rPr>
                <w:color w:val="000000"/>
                <w:lang w:eastAsia="zh-CN"/>
              </w:rPr>
              <w:t>交流电电</w:t>
            </w:r>
            <w:r>
              <w:rPr>
                <w:lang w:eastAsia="zh-CN"/>
              </w:rPr>
              <w:t>源：220±10%V，50±1Hz</w:t>
            </w:r>
            <w:r>
              <w:rPr>
                <w:rFonts w:hint="eastAsia"/>
                <w:lang w:eastAsia="zh-CN"/>
              </w:rPr>
              <w:t>。</w:t>
            </w:r>
          </w:p>
        </w:tc>
        <w:tc>
          <w:tcPr>
            <w:tcW w:w="2125" w:type="dxa"/>
            <w:vAlign w:val="center"/>
          </w:tcPr>
          <w:p>
            <w:pPr>
              <w:jc w:val="center"/>
              <w:rPr>
                <w:szCs w:val="21"/>
                <w:lang w:val="en-US" w:eastAsia="zh-CN"/>
              </w:rPr>
            </w:pPr>
            <w:r>
              <w:rPr>
                <w:rFonts w:hint="eastAsia"/>
                <w:iCs/>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i/>
                <w:color w:val="000000"/>
                <w:lang w:eastAsia="zh-CN"/>
              </w:rPr>
            </w:pPr>
            <w:r>
              <w:rPr>
                <w:rFonts w:hint="eastAsia" w:ascii="宋体" w:hAnsi="宋体" w:cs="宋体"/>
                <w:bCs/>
                <w:szCs w:val="21"/>
                <w:lang w:eastAsia="zh-CN"/>
              </w:rPr>
              <w:t>总体设计：</w:t>
            </w:r>
            <w:r>
              <w:rPr>
                <w:rFonts w:hint="eastAsia" w:ascii="宋体" w:hAnsi="宋体" w:cs="Arial"/>
                <w:szCs w:val="21"/>
                <w:lang w:eastAsia="zh-CN"/>
              </w:rPr>
              <w:t>设计结构应充分考虑其科学性和适用性，便于清洁消毒，符合卫生设计要求。</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val="en-US" w:eastAsia="zh-CN"/>
              </w:rPr>
            </w:pPr>
            <w:r>
              <w:rPr>
                <w:rFonts w:hint="eastAsia" w:ascii="宋体" w:hAnsi="宋体" w:cs="宋体"/>
                <w:bCs/>
                <w:szCs w:val="21"/>
                <w:lang w:val="en-US" w:eastAsia="zh-CN"/>
              </w:rPr>
              <w:t>整秤材质：为304不锈钢或更高等级的不锈钢，表面易于清洁，无卫生死角，耐高盐腐蚀。</w:t>
            </w:r>
            <w:r>
              <w:rPr>
                <w:rFonts w:hint="eastAsia" w:ascii="宋体" w:hAnsi="宋体" w:cs="宋体"/>
                <w:szCs w:val="21"/>
                <w:lang w:eastAsia="zh-CN"/>
              </w:rPr>
              <w:t>台面316</w:t>
            </w:r>
            <w:r>
              <w:rPr>
                <w:rFonts w:ascii="宋体" w:hAnsi="宋体" w:cs="宋体"/>
                <w:szCs w:val="21"/>
                <w:lang w:eastAsia="zh-CN"/>
              </w:rPr>
              <w:t>L</w:t>
            </w:r>
            <w:r>
              <w:rPr>
                <w:rFonts w:hint="eastAsia" w:ascii="宋体" w:hAnsi="宋体" w:cs="宋体"/>
                <w:szCs w:val="21"/>
                <w:lang w:eastAsia="zh-CN"/>
              </w:rPr>
              <w:t>材质。</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eastAsia="zh-CN"/>
              </w:rPr>
            </w:pPr>
            <w:r>
              <w:rPr>
                <w:rFonts w:hint="eastAsia" w:ascii="宋体" w:hAnsi="宋体" w:cs="Arial"/>
                <w:color w:val="000000"/>
                <w:szCs w:val="21"/>
                <w:lang w:eastAsia="zh-CN"/>
              </w:rPr>
              <w:t>密封性：操控按钮均具有较好密封性，可以阻止粉尘、水和湿气进入其中。</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szCs w:val="21"/>
                <w:lang w:eastAsia="zh-CN"/>
              </w:rPr>
              <w:t>秤脚：卫生秤脚</w:t>
            </w:r>
            <w:r>
              <w:rPr>
                <w:rFonts w:hint="eastAsia" w:cs="宋体"/>
                <w:szCs w:val="21"/>
                <w:lang w:eastAsia="zh-CN"/>
              </w:rPr>
              <w:t>隐藏式螺纹设计，结构</w:t>
            </w:r>
            <w:r>
              <w:rPr>
                <w:rFonts w:hint="eastAsia"/>
                <w:szCs w:val="21"/>
                <w:lang w:eastAsia="zh-CN"/>
              </w:rPr>
              <w:t>敞开式设计，无</w:t>
            </w:r>
            <w:r>
              <w:rPr>
                <w:rFonts w:hint="eastAsia" w:cs="宋体"/>
                <w:szCs w:val="21"/>
                <w:lang w:eastAsia="zh-CN"/>
              </w:rPr>
              <w:t>卫生死角，方便清洁。</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ascii="宋体" w:hAnsi="宋体"/>
                <w:szCs w:val="21"/>
                <w:lang w:val="da-DK" w:eastAsia="zh-CN"/>
              </w:rPr>
              <w:t>工业</w:t>
            </w:r>
            <w:r>
              <w:rPr>
                <w:rFonts w:hint="eastAsia" w:ascii="宋体" w:hAnsi="宋体"/>
                <w:szCs w:val="21"/>
                <w:lang w:val="da-DK" w:eastAsia="zh-CN"/>
              </w:rPr>
              <w:t>天平称重传感器采用</w:t>
            </w:r>
            <w:r>
              <w:rPr>
                <w:rFonts w:ascii="宋体" w:hAnsi="宋体"/>
                <w:szCs w:val="21"/>
                <w:lang w:val="da-DK" w:eastAsia="zh-CN"/>
              </w:rPr>
              <w:t>IP68</w:t>
            </w:r>
            <w:r>
              <w:rPr>
                <w:rFonts w:hint="eastAsia" w:ascii="宋体" w:hAnsi="宋体"/>
                <w:szCs w:val="21"/>
                <w:lang w:val="da-DK" w:eastAsia="zh-CN"/>
              </w:rPr>
              <w:t>电磁力补偿技术不锈钢材质。称重仪表为防尘式不锈钢外壳，防护等级I</w:t>
            </w:r>
            <w:r>
              <w:rPr>
                <w:rFonts w:ascii="宋体" w:hAnsi="宋体"/>
                <w:szCs w:val="21"/>
                <w:lang w:val="da-DK" w:eastAsia="zh-CN"/>
              </w:rPr>
              <w:t>P68&amp;IP69K</w:t>
            </w:r>
            <w:r>
              <w:rPr>
                <w:rFonts w:hint="eastAsia" w:ascii="宋体" w:hAnsi="宋体"/>
                <w:szCs w:val="21"/>
                <w:lang w:val="da-DK"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sz w:val="21"/>
                <w:szCs w:val="21"/>
                <w:lang w:val="da-DK" w:eastAsia="zh-CN"/>
              </w:rPr>
            </w:pPr>
            <w:r>
              <w:rPr>
                <w:rFonts w:hint="eastAsia" w:ascii="宋体" w:hAnsi="宋体"/>
                <w:sz w:val="21"/>
                <w:szCs w:val="21"/>
                <w:lang w:val="da-DK" w:eastAsia="zh-CN"/>
              </w:rPr>
              <w:t>供应商提供的本系统上应有铭牌，其铭牌至少包括：</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产品品牌和型号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称量最大重量</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检定e值</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称重设备精度等级</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制造厂名称</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出厂编号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制造日期</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cs="Arial"/>
                <w:color w:val="000000"/>
                <w:sz w:val="21"/>
                <w:szCs w:val="21"/>
                <w:lang w:eastAsia="zh-CN"/>
              </w:rPr>
            </w:pPr>
            <w:r>
              <w:rPr>
                <w:rFonts w:ascii="宋体" w:hAnsi="宋体" w:cs="Arial"/>
                <w:color w:val="000000"/>
                <w:sz w:val="21"/>
                <w:szCs w:val="21"/>
                <w:lang w:eastAsia="zh-CN"/>
              </w:rPr>
              <w:t>本</w:t>
            </w:r>
            <w:r>
              <w:rPr>
                <w:rFonts w:hint="eastAsia" w:ascii="宋体" w:hAnsi="宋体" w:cs="Arial"/>
                <w:color w:val="000000"/>
                <w:sz w:val="21"/>
                <w:szCs w:val="21"/>
                <w:lang w:eastAsia="zh-CN"/>
              </w:rPr>
              <w:t>套系统</w:t>
            </w:r>
            <w:r>
              <w:rPr>
                <w:rFonts w:ascii="宋体" w:hAnsi="宋体" w:cs="Arial"/>
                <w:color w:val="000000"/>
                <w:sz w:val="21"/>
                <w:szCs w:val="21"/>
                <w:lang w:eastAsia="zh-CN"/>
              </w:rPr>
              <w:t>必须附有检验合格证，合格证上至少应包括如下内容：</w:t>
            </w:r>
          </w:p>
          <w:p>
            <w:pPr>
              <w:pStyle w:val="8"/>
              <w:numPr>
                <w:ilvl w:val="0"/>
                <w:numId w:val="9"/>
              </w:numPr>
              <w:spacing w:line="276" w:lineRule="auto"/>
              <w:rPr>
                <w:rFonts w:ascii="宋体" w:hAnsi="宋体" w:cs="Arial"/>
                <w:color w:val="000000"/>
                <w:sz w:val="21"/>
                <w:szCs w:val="21"/>
                <w:lang w:eastAsia="zh-CN"/>
              </w:rPr>
            </w:pPr>
            <w:r>
              <w:rPr>
                <w:rFonts w:ascii="宋体" w:hAnsi="宋体" w:cs="Arial"/>
                <w:color w:val="000000"/>
                <w:sz w:val="21"/>
                <w:szCs w:val="21"/>
                <w:lang w:eastAsia="zh-CN"/>
              </w:rPr>
              <w:t>产品名称</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型号</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制造厂名</w:t>
            </w:r>
          </w:p>
          <w:p>
            <w:pPr>
              <w:pStyle w:val="8"/>
              <w:numPr>
                <w:ilvl w:val="0"/>
                <w:numId w:val="9"/>
              </w:numPr>
              <w:spacing w:line="276" w:lineRule="auto"/>
              <w:rPr>
                <w:rFonts w:ascii="宋体" w:hAnsi="宋体"/>
                <w:sz w:val="21"/>
                <w:szCs w:val="21"/>
                <w:lang w:val="da-DK" w:eastAsia="zh-CN"/>
              </w:rPr>
            </w:pPr>
            <w:r>
              <w:rPr>
                <w:rFonts w:ascii="宋体" w:hAnsi="宋体" w:cs="Arial"/>
                <w:sz w:val="21"/>
                <w:szCs w:val="21"/>
                <w:lang w:eastAsia="zh-CN"/>
              </w:rPr>
              <w:t>检验员号</w:t>
            </w:r>
          </w:p>
          <w:p>
            <w:pPr>
              <w:pStyle w:val="8"/>
              <w:numPr>
                <w:ilvl w:val="0"/>
                <w:numId w:val="9"/>
              </w:numPr>
              <w:spacing w:line="276" w:lineRule="auto"/>
              <w:rPr>
                <w:color w:val="0070C0"/>
                <w:sz w:val="21"/>
                <w:szCs w:val="21"/>
              </w:rPr>
            </w:pPr>
            <w:r>
              <w:rPr>
                <w:rFonts w:ascii="宋体" w:hAnsi="宋体" w:cs="Arial"/>
                <w:sz w:val="21"/>
                <w:szCs w:val="21"/>
                <w:lang w:eastAsia="zh-CN"/>
              </w:rPr>
              <w:t>检验日期</w:t>
            </w:r>
          </w:p>
        </w:tc>
        <w:tc>
          <w:tcPr>
            <w:tcW w:w="2125" w:type="dxa"/>
            <w:vAlign w:val="center"/>
          </w:tcPr>
          <w:p>
            <w:pPr>
              <w:jc w:val="center"/>
              <w:rPr>
                <w:szCs w:val="21"/>
                <w:lang w:val="en-US" w:eastAsia="zh-CN"/>
              </w:rPr>
            </w:pPr>
            <w:r>
              <w:rPr>
                <w:rFonts w:hint="eastAsia"/>
                <w:iCs/>
                <w:szCs w:val="21"/>
                <w:lang w:val="en-US" w:eastAsia="zh-CN"/>
              </w:rPr>
              <w:t>关键</w:t>
            </w:r>
          </w:p>
        </w:tc>
      </w:tr>
      <w:bookmarkEnd w:id="24"/>
      <w:bookmarkEnd w:id="25"/>
      <w:permEnd w:id="19"/>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0" w:edGrp="everyone"/>
            <w:permEnd w:id="2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1" w:edGrp="everyone"/>
          </w:p>
        </w:tc>
        <w:tc>
          <w:tcPr>
            <w:tcW w:w="9253" w:type="dxa"/>
            <w:gridSpan w:val="2"/>
            <w:vAlign w:val="center"/>
          </w:tcPr>
          <w:p>
            <w:pPr>
              <w:rPr>
                <w:iCs/>
                <w:szCs w:val="21"/>
                <w:lang w:val="en-US" w:eastAsia="zh-CN"/>
              </w:rPr>
            </w:pPr>
            <w:r>
              <w:rPr>
                <w:rFonts w:hint="eastAsia"/>
                <w:color w:val="000000"/>
                <w:szCs w:val="21"/>
                <w:lang w:eastAsia="zh-CN"/>
              </w:rPr>
              <w:t>N</w:t>
            </w:r>
            <w:r>
              <w:rPr>
                <w:color w:val="000000"/>
                <w:szCs w:val="21"/>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0"/>
                <w:numId w:val="7"/>
              </w:numPr>
              <w:ind w:left="470" w:firstLine="1051" w:firstLineChars="0"/>
              <w:rPr>
                <w:rFonts w:ascii="Times New Roman" w:hAnsi="Times New Roman"/>
                <w:szCs w:val="21"/>
              </w:rPr>
            </w:pPr>
            <w:permStart w:id="22" w:edGrp="everyone"/>
          </w:p>
        </w:tc>
        <w:tc>
          <w:tcPr>
            <w:tcW w:w="7128" w:type="dxa"/>
            <w:vAlign w:val="center"/>
          </w:tcPr>
          <w:p>
            <w:pPr>
              <w:spacing w:line="276" w:lineRule="auto"/>
              <w:jc w:val="both"/>
              <w:rPr>
                <w:szCs w:val="21"/>
                <w:lang w:eastAsia="zh-CN"/>
              </w:rPr>
            </w:pPr>
            <w:r>
              <w:rPr>
                <w:rFonts w:hint="eastAsia"/>
                <w:color w:val="000000"/>
                <w:szCs w:val="21"/>
                <w:lang w:eastAsia="zh-CN"/>
              </w:rPr>
              <w:t>N</w:t>
            </w:r>
            <w:r>
              <w:rPr>
                <w:color w:val="000000"/>
                <w:szCs w:val="21"/>
                <w:lang w:eastAsia="zh-CN"/>
              </w:rPr>
              <w:t>A</w:t>
            </w:r>
          </w:p>
        </w:tc>
        <w:tc>
          <w:tcPr>
            <w:tcW w:w="2125" w:type="dxa"/>
            <w:vAlign w:val="center"/>
          </w:tcPr>
          <w:p>
            <w:pPr>
              <w:jc w:val="both"/>
              <w:rPr>
                <w:szCs w:val="21"/>
                <w:lang w:val="en-US" w:eastAsia="zh-CN"/>
              </w:rPr>
            </w:pP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i/>
                <w:szCs w:val="21"/>
                <w:lang w:val="en-US" w:eastAsia="zh-CN"/>
              </w:rPr>
            </w:pPr>
            <w:r>
              <w:rPr>
                <w:rFonts w:hint="eastAsia"/>
                <w:szCs w:val="21"/>
                <w:lang w:val="en-US" w:eastAsia="zh-CN"/>
              </w:rPr>
              <w:t>配液间配置高精度工业天平2台，满足URS</w:t>
            </w:r>
            <w:r>
              <w:rPr>
                <w:szCs w:val="21"/>
                <w:lang w:val="en-US" w:eastAsia="zh-CN"/>
              </w:rPr>
              <w:t>20</w:t>
            </w:r>
            <w:r>
              <w:rPr>
                <w:rFonts w:hint="eastAsia"/>
                <w:szCs w:val="21"/>
                <w:lang w:val="en-US" w:eastAsia="zh-CN"/>
              </w:rPr>
              <w:t>-URS</w:t>
            </w:r>
            <w:r>
              <w:rPr>
                <w:szCs w:val="21"/>
                <w:lang w:val="en-US" w:eastAsia="zh-CN"/>
              </w:rPr>
              <w:t>30</w:t>
            </w:r>
            <w:r>
              <w:rPr>
                <w:rFonts w:hint="eastAsia"/>
                <w:szCs w:val="21"/>
                <w:lang w:val="en-US" w:eastAsia="zh-CN"/>
              </w:rPr>
              <w:t xml:space="preserve"> 的要求。</w:t>
            </w:r>
          </w:p>
        </w:tc>
        <w:tc>
          <w:tcPr>
            <w:tcW w:w="2125" w:type="dxa"/>
            <w:vAlign w:val="center"/>
          </w:tcPr>
          <w:p>
            <w:pPr>
              <w:jc w:val="center"/>
              <w:rPr>
                <w:iCs/>
                <w:szCs w:val="21"/>
                <w:lang w:val="en-US" w:eastAsia="zh-CN"/>
              </w:rPr>
            </w:pPr>
            <w:r>
              <w:rPr>
                <w:rFonts w:hint="eastAsia"/>
                <w:iCs/>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szCs w:val="21"/>
                <w:lang w:val="en-US" w:eastAsia="zh-CN"/>
              </w:rPr>
            </w:pPr>
            <w:r>
              <w:rPr>
                <w:rFonts w:hint="eastAsia"/>
                <w:szCs w:val="21"/>
                <w:lang w:val="en-US" w:eastAsia="zh-CN"/>
              </w:rPr>
              <w:t>量程：0-3000g。</w:t>
            </w:r>
          </w:p>
        </w:tc>
        <w:tc>
          <w:tcPr>
            <w:tcW w:w="2125" w:type="dxa"/>
            <w:vAlign w:val="center"/>
          </w:tcPr>
          <w:p>
            <w:pPr>
              <w:jc w:val="center"/>
              <w:rPr>
                <w:iCs/>
                <w:szCs w:val="21"/>
                <w:lang w:val="en-US" w:eastAsia="zh-CN"/>
              </w:rPr>
            </w:pPr>
            <w:r>
              <w:rPr>
                <w:rFonts w:hint="eastAsia"/>
                <w:iCs/>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szCs w:val="21"/>
                <w:lang w:val="en-US" w:eastAsia="zh-CN"/>
              </w:rPr>
            </w:pPr>
            <w:r>
              <w:rPr>
                <w:rFonts w:hint="eastAsia" w:cs="宋体"/>
                <w:szCs w:val="21"/>
                <w:lang w:val="da-DK" w:eastAsia="zh-CN"/>
              </w:rPr>
              <w:t>检定精度等级</w:t>
            </w:r>
            <w:r>
              <w:rPr>
                <w:rFonts w:hint="eastAsia" w:cs="宋体"/>
                <w:szCs w:val="21"/>
                <w:lang w:val="en-US" w:eastAsia="zh-CN"/>
              </w:rPr>
              <w:t>30000e</w:t>
            </w:r>
            <w:r>
              <w:rPr>
                <w:rFonts w:hint="eastAsia" w:cs="宋体"/>
                <w:szCs w:val="21"/>
                <w:lang w:val="da-DK"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szCs w:val="21"/>
                <w:lang w:val="en-US" w:eastAsia="zh-CN"/>
              </w:rPr>
            </w:pPr>
            <w:r>
              <w:rPr>
                <w:rFonts w:hint="eastAsia" w:cs="宋体"/>
                <w:szCs w:val="21"/>
                <w:lang w:val="da-DK" w:eastAsia="zh-CN"/>
              </w:rPr>
              <w:t>检定分度值e=</w:t>
            </w:r>
            <w:r>
              <w:rPr>
                <w:rFonts w:hint="eastAsia" w:cs="宋体"/>
                <w:szCs w:val="21"/>
                <w:lang w:val="en-US" w:eastAsia="zh-CN"/>
              </w:rPr>
              <w:t>0.1g，显示分度值d=0.01g</w:t>
            </w:r>
            <w:r>
              <w:rPr>
                <w:rFonts w:hint="eastAsia" w:cs="宋体"/>
                <w:szCs w:val="21"/>
                <w:lang w:val="da-DK"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szCs w:val="21"/>
                <w:lang w:val="en-US" w:eastAsia="zh-CN"/>
              </w:rPr>
            </w:pPr>
            <w:r>
              <w:rPr>
                <w:rFonts w:hint="eastAsia" w:ascii="宋体" w:hAnsi="宋体" w:cs="Arial"/>
                <w:szCs w:val="21"/>
                <w:lang w:eastAsia="zh-CN"/>
              </w:rPr>
              <w:t>不锈钢外壳彩色TFT显示仪表（320x240像素），支持至少中、英文两种语言显示、输入及打印，显示仪表必须支持直接输入中文，并打印中文。</w:t>
            </w:r>
          </w:p>
        </w:tc>
        <w:tc>
          <w:tcPr>
            <w:tcW w:w="2125" w:type="dxa"/>
            <w:vAlign w:val="center"/>
          </w:tcPr>
          <w:p>
            <w:pPr>
              <w:jc w:val="center"/>
              <w:rPr>
                <w:iCs/>
                <w:szCs w:val="21"/>
                <w:lang w:val="en-US" w:eastAsia="zh-CN"/>
              </w:rPr>
            </w:pPr>
            <w:r>
              <w:rPr>
                <w:rFonts w:hint="eastAsia"/>
                <w:iCs/>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rFonts w:cs="宋体"/>
                <w:szCs w:val="21"/>
                <w:lang w:val="en-US" w:eastAsia="zh-CN"/>
              </w:rPr>
            </w:pPr>
            <w:r>
              <w:rPr>
                <w:rFonts w:hint="eastAsia" w:cs="宋体"/>
                <w:szCs w:val="21"/>
                <w:lang w:val="en-US" w:eastAsia="zh-CN"/>
              </w:rPr>
              <w:t>秤体内置电磁力补偿技术传感器，内置校准砝码，自动检测，维护方便。</w:t>
            </w:r>
          </w:p>
        </w:tc>
        <w:tc>
          <w:tcPr>
            <w:tcW w:w="2125" w:type="dxa"/>
            <w:vAlign w:val="center"/>
          </w:tcPr>
          <w:p>
            <w:pPr>
              <w:jc w:val="center"/>
              <w:rPr>
                <w:iCs/>
                <w:szCs w:val="21"/>
                <w:lang w:val="en-US" w:eastAsia="zh-CN"/>
              </w:rPr>
            </w:pPr>
            <w:r>
              <w:rPr>
                <w:rFonts w:hint="eastAsia"/>
                <w:iCs/>
                <w:szCs w:val="21"/>
                <w:lang w:val="en-US"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9" w:edGrp="everyone"/>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满足G</w:t>
            </w:r>
            <w:r>
              <w:rPr>
                <w:rFonts w:ascii="宋体" w:hAnsi="宋体" w:cs="宋体"/>
                <w:szCs w:val="21"/>
                <w:lang w:val="da-DK" w:eastAsia="zh-CN"/>
              </w:rPr>
              <w:t>MP</w:t>
            </w:r>
            <w:r>
              <w:rPr>
                <w:rFonts w:hint="eastAsia" w:ascii="宋体" w:hAnsi="宋体" w:cs="宋体"/>
                <w:szCs w:val="21"/>
                <w:lang w:val="da-DK" w:eastAsia="zh-CN"/>
              </w:rPr>
              <w:t>和WHO法规洁净区要求。</w:t>
            </w:r>
          </w:p>
        </w:tc>
        <w:tc>
          <w:tcPr>
            <w:tcW w:w="2125" w:type="dxa"/>
            <w:vAlign w:val="center"/>
          </w:tcPr>
          <w:p>
            <w:pPr>
              <w:jc w:val="center"/>
              <w:rPr>
                <w:iCs/>
                <w:szCs w:val="21"/>
                <w:lang w:val="en-US" w:eastAsia="zh-CN"/>
              </w:rPr>
            </w:pPr>
            <w:r>
              <w:rPr>
                <w:rFonts w:hint="eastAsia"/>
                <w:iCs/>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0" w:edGrp="everyone"/>
          </w:p>
        </w:tc>
        <w:tc>
          <w:tcPr>
            <w:tcW w:w="7128" w:type="dxa"/>
            <w:vAlign w:val="center"/>
          </w:tcPr>
          <w:p>
            <w:pPr>
              <w:spacing w:line="276" w:lineRule="auto"/>
              <w:jc w:val="both"/>
              <w:rPr>
                <w:rFonts w:ascii="宋体" w:hAnsi="宋体" w:cs="宋体"/>
                <w:szCs w:val="21"/>
                <w:lang w:val="da-DK" w:eastAsia="zh-CN"/>
              </w:rPr>
            </w:pPr>
            <w:r>
              <w:rPr>
                <w:rFonts w:hint="eastAsia" w:ascii="宋体" w:hAnsi="宋体" w:cs="Arial"/>
                <w:color w:val="000000"/>
                <w:szCs w:val="21"/>
                <w:lang w:eastAsia="zh-CN"/>
              </w:rPr>
              <w:t>投标文件中提供该产品型号对应的CPA型式批准证书。（进口计量设备提供进口CPA型式批准证书和国家计量院精度测试报告）</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Arial"/>
                <w:color w:val="000000"/>
                <w:szCs w:val="21"/>
                <w:lang w:eastAsia="zh-CN"/>
              </w:rPr>
              <w:t>质量标准：</w:t>
            </w:r>
            <w:r>
              <w:rPr>
                <w:rFonts w:ascii="宋体" w:hAnsi="宋体" w:cs="Arial"/>
                <w:color w:val="000000"/>
                <w:szCs w:val="21"/>
                <w:lang w:eastAsia="zh-CN"/>
              </w:rPr>
              <w:t>GB/T7723-2008《固定式电子衡器》、CMC《中华人民共和国制造计量器具许可证》 、国际法制计量OIML R76标准规范要求</w:t>
            </w:r>
            <w:r>
              <w:rPr>
                <w:rFonts w:hint="eastAsia" w:ascii="宋体" w:hAnsi="宋体" w:cs="Arial"/>
                <w:color w:val="000000"/>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Arial"/>
                <w:color w:val="000000"/>
                <w:szCs w:val="21"/>
                <w:lang w:eastAsia="zh-CN"/>
              </w:rPr>
              <w:t>安全标准：</w:t>
            </w:r>
            <w:r>
              <w:rPr>
                <w:rFonts w:ascii="宋体" w:hAnsi="宋体" w:cs="Arial"/>
                <w:color w:val="000000"/>
                <w:szCs w:val="21"/>
                <w:lang w:eastAsia="zh-CN"/>
              </w:rPr>
              <w:t>达到CE标准要求和国内EHS要求</w:t>
            </w:r>
            <w:r>
              <w:rPr>
                <w:rFonts w:hint="eastAsia" w:ascii="宋体" w:hAnsi="宋体" w:cs="Arial"/>
                <w:color w:val="000000"/>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Arial"/>
                <w:color w:val="000000"/>
                <w:szCs w:val="21"/>
                <w:lang w:eastAsia="zh-CN"/>
              </w:rPr>
              <w:t>电线及电缆标准：</w:t>
            </w:r>
            <w:r>
              <w:rPr>
                <w:rFonts w:ascii="宋体" w:hAnsi="宋体" w:cs="Arial"/>
                <w:color w:val="000000"/>
                <w:szCs w:val="21"/>
                <w:lang w:eastAsia="zh-CN"/>
              </w:rPr>
              <w:t>所有电气设备的电线和电缆必须依据IEC标准</w:t>
            </w:r>
            <w:r>
              <w:rPr>
                <w:rFonts w:hint="eastAsia" w:ascii="宋体" w:hAnsi="宋体" w:cs="Arial"/>
                <w:color w:val="000000"/>
                <w:szCs w:val="21"/>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Arial"/>
                <w:color w:val="000000"/>
                <w:szCs w:val="21"/>
                <w:lang w:eastAsia="zh-CN"/>
              </w:rPr>
              <w:t>供应商必须提供设备所有安装服务。</w:t>
            </w:r>
          </w:p>
        </w:tc>
        <w:tc>
          <w:tcPr>
            <w:tcW w:w="2125" w:type="dxa"/>
            <w:vAlign w:val="center"/>
          </w:tcPr>
          <w:p>
            <w:pPr>
              <w:jc w:val="center"/>
              <w:rPr>
                <w:iCs/>
                <w:szCs w:val="21"/>
                <w:lang w:val="en-US" w:eastAsia="zh-CN"/>
              </w:rPr>
            </w:pPr>
            <w:r>
              <w:rPr>
                <w:rFonts w:hint="eastAsia"/>
                <w:iCs/>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spacing w:line="276" w:lineRule="auto"/>
              <w:jc w:val="both"/>
              <w:rPr>
                <w:szCs w:val="21"/>
                <w:lang w:eastAsia="zh-CN"/>
              </w:rPr>
            </w:pPr>
            <w:r>
              <w:rPr>
                <w:rFonts w:hint="eastAsia" w:cs="宋体"/>
                <w:szCs w:val="21"/>
                <w:lang w:eastAsia="zh-CN"/>
              </w:rPr>
              <w:t>具备全量程去皮功能。</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en-US" w:eastAsia="zh-CN"/>
              </w:rPr>
            </w:pPr>
            <w:r>
              <w:rPr>
                <w:rFonts w:hint="eastAsia" w:cs="宋体"/>
                <w:szCs w:val="21"/>
                <w:lang w:val="en-US" w:eastAsia="zh-CN"/>
              </w:rPr>
              <w:t>具备减量法称重功能。</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en-US" w:eastAsia="zh-CN"/>
              </w:rPr>
            </w:pPr>
            <w:r>
              <w:rPr>
                <w:rFonts w:hint="eastAsia" w:cs="宋体"/>
                <w:szCs w:val="21"/>
                <w:lang w:val="en-US" w:eastAsia="zh-CN"/>
              </w:rPr>
              <w:t>具备累计加量功能。</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bCs/>
                <w:color w:val="000000"/>
                <w:szCs w:val="21"/>
                <w:lang w:eastAsia="zh-CN"/>
              </w:rPr>
            </w:pPr>
            <w:r>
              <w:rPr>
                <w:szCs w:val="21"/>
                <w:lang w:eastAsia="zh-CN"/>
              </w:rPr>
              <w:t>每台工业天平需</w:t>
            </w:r>
            <w:r>
              <w:rPr>
                <w:rFonts w:hint="eastAsia"/>
                <w:szCs w:val="21"/>
                <w:lang w:eastAsia="zh-CN"/>
              </w:rPr>
              <w:t>配</w:t>
            </w:r>
            <w:r>
              <w:rPr>
                <w:szCs w:val="21"/>
                <w:lang w:eastAsia="zh-CN"/>
              </w:rPr>
              <w:t>1</w:t>
            </w:r>
            <w:r>
              <w:rPr>
                <w:rFonts w:hint="eastAsia"/>
                <w:szCs w:val="21"/>
                <w:lang w:eastAsia="zh-CN"/>
              </w:rPr>
              <w:t>只F</w:t>
            </w:r>
            <w:r>
              <w:rPr>
                <w:szCs w:val="21"/>
                <w:lang w:eastAsia="zh-CN"/>
              </w:rPr>
              <w:t>2级</w:t>
            </w:r>
            <w:r>
              <w:rPr>
                <w:rFonts w:hint="eastAsia"/>
                <w:szCs w:val="21"/>
                <w:lang w:eastAsia="zh-CN"/>
              </w:rPr>
              <w:t>2</w:t>
            </w:r>
            <w:r>
              <w:rPr>
                <w:szCs w:val="21"/>
                <w:lang w:eastAsia="zh-CN"/>
              </w:rPr>
              <w:t>kg和</w:t>
            </w:r>
            <w:r>
              <w:rPr>
                <w:rFonts w:hint="eastAsia"/>
                <w:szCs w:val="21"/>
                <w:lang w:eastAsia="zh-CN"/>
              </w:rPr>
              <w:t>1只F</w:t>
            </w:r>
            <w:r>
              <w:rPr>
                <w:szCs w:val="21"/>
                <w:lang w:eastAsia="zh-CN"/>
              </w:rPr>
              <w:t>2级</w:t>
            </w:r>
            <w:r>
              <w:rPr>
                <w:rFonts w:hint="eastAsia"/>
                <w:szCs w:val="21"/>
                <w:lang w:eastAsia="zh-CN"/>
              </w:rPr>
              <w:t>1kg砝码，带检定证书。</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bCs/>
                <w:szCs w:val="21"/>
                <w:lang w:eastAsia="zh-CN"/>
              </w:rPr>
            </w:pPr>
            <w:r>
              <w:rPr>
                <w:lang w:eastAsia="zh-CN"/>
              </w:rPr>
              <w:t>端口和协议免费开放，满足信息化数据的采集要求，接口具体要求建议如下：   预留</w:t>
            </w:r>
            <w:r>
              <w:rPr>
                <w:rFonts w:hint="eastAsia"/>
                <w:lang w:eastAsia="zh-CN"/>
              </w:rPr>
              <w:t>R</w:t>
            </w:r>
            <w:r>
              <w:rPr>
                <w:lang w:eastAsia="zh-CN"/>
              </w:rPr>
              <w:t>S232和RS485接口各</w:t>
            </w:r>
            <w:r>
              <w:rPr>
                <w:rFonts w:hint="eastAsia"/>
                <w:lang w:eastAsia="zh-CN"/>
              </w:rPr>
              <w:t>1个。</w:t>
            </w:r>
          </w:p>
        </w:tc>
        <w:tc>
          <w:tcPr>
            <w:tcW w:w="2125" w:type="dxa"/>
            <w:vAlign w:val="center"/>
          </w:tcPr>
          <w:p>
            <w:pPr>
              <w:jc w:val="center"/>
              <w:rPr>
                <w:iCs/>
                <w:szCs w:val="21"/>
                <w:lang w:val="en-US" w:eastAsia="zh-CN"/>
              </w:rPr>
            </w:pPr>
            <w:r>
              <w:rPr>
                <w:rFonts w:hint="eastAsia"/>
                <w:iCs/>
                <w:szCs w:val="21"/>
                <w:lang w:val="en-US" w:eastAsia="zh-CN"/>
              </w:rPr>
              <w:t>关键*</w:t>
            </w:r>
          </w:p>
        </w:tc>
      </w:tr>
      <w:permEnd w:id="31"/>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3400317"/>
      <w:bookmarkStart w:id="31" w:name="_Toc482369815"/>
      <w:bookmarkStart w:id="32" w:name="_Toc481702480"/>
      <w:bookmarkStart w:id="33" w:name="_Toc482370151"/>
      <w:bookmarkStart w:id="34" w:name="_Toc482717202"/>
      <w:bookmarkStart w:id="35" w:name="_Toc482370359"/>
      <w:bookmarkStart w:id="36" w:name="_Toc482360291"/>
      <w:bookmarkStart w:id="37" w:name="_Toc482370071"/>
      <w:bookmarkStart w:id="38" w:name="_Toc482359946"/>
      <w:bookmarkStart w:id="39" w:name="_Toc482625289"/>
      <w:bookmarkStart w:id="40" w:name="_Toc483227237"/>
      <w:bookmarkStart w:id="41" w:name="_Toc482370767"/>
      <w:r>
        <w:rPr>
          <w:rFonts w:ascii="Times New Roman" w:hAnsi="Times New Roman"/>
          <w:b/>
        </w:rPr>
        <w:t>电气、自动控制要求</w:t>
      </w:r>
      <w:bookmarkEnd w:id="2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2" w:edGrp="everyone"/>
            <w:permEnd w:id="3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33" w:edGrp="everyone"/>
          </w:p>
        </w:tc>
        <w:tc>
          <w:tcPr>
            <w:tcW w:w="9253" w:type="dxa"/>
            <w:gridSpan w:val="2"/>
            <w:vAlign w:val="center"/>
          </w:tcPr>
          <w:p>
            <w:pPr>
              <w:rPr>
                <w:iCs/>
                <w:szCs w:val="21"/>
                <w:lang w:val="en-US" w:eastAsia="zh-CN"/>
              </w:rPr>
            </w:pPr>
            <w:r>
              <w:rPr>
                <w:rFonts w:hint="eastAsia" w:cs="宋体"/>
                <w:bCs/>
                <w:color w:val="000000"/>
                <w:szCs w:val="21"/>
                <w:lang w:eastAsia="zh-CN"/>
              </w:rPr>
              <w:t>N/</w:t>
            </w:r>
            <w:r>
              <w:rPr>
                <w:rFonts w:cs="宋体"/>
                <w:bCs/>
                <w:color w:val="000000"/>
                <w:szCs w:val="21"/>
                <w:lang w:eastAsia="zh-CN"/>
              </w:rPr>
              <w:t>A</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spacing w:line="276" w:lineRule="auto"/>
              <w:jc w:val="both"/>
              <w:rPr>
                <w:szCs w:val="21"/>
                <w:lang w:val="en-US" w:eastAsia="zh-CN"/>
              </w:rPr>
            </w:pPr>
            <w:r>
              <w:rPr>
                <w:rStyle w:val="22"/>
                <w:rFonts w:hint="eastAsia"/>
                <w:lang w:eastAsia="zh-CN"/>
              </w:rPr>
              <w:t>设备具有至少2</w:t>
            </w:r>
            <w:r>
              <w:rPr>
                <w:rStyle w:val="22"/>
                <w:lang w:eastAsia="zh-CN"/>
              </w:rPr>
              <w:t>0个用户管理</w:t>
            </w:r>
            <w:r>
              <w:rPr>
                <w:rStyle w:val="22"/>
                <w:rFonts w:hint="eastAsia"/>
                <w:lang w:eastAsia="zh-CN"/>
              </w:rPr>
              <w:t>，</w:t>
            </w:r>
            <w:r>
              <w:rPr>
                <w:rStyle w:val="22"/>
                <w:lang w:eastAsia="zh-CN"/>
              </w:rPr>
              <w:t>且</w:t>
            </w:r>
            <w:r>
              <w:rPr>
                <w:rStyle w:val="22"/>
                <w:rFonts w:hint="eastAsia"/>
                <w:lang w:eastAsia="zh-CN"/>
              </w:rPr>
              <w:t>需满足法规及我公司要求的至少三级以上用户分层权限管理及密码管理的功能；</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lang w:val="en-US" w:eastAsia="zh-CN"/>
              </w:rPr>
              <w:t>该电子秤设备针对称重数据的</w:t>
            </w:r>
            <w:r>
              <w:rPr>
                <w:rFonts w:hint="eastAsia"/>
                <w:lang w:eastAsia="zh-CN"/>
              </w:rPr>
              <w:t>存储容量满足所有电子记录存储至产品有效期后一年（5年），且不影响正常的运行速度，应有控制措施以防止电子记录从应用软件外面被修改或删除。</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lang w:eastAsia="zh-CN"/>
              </w:rPr>
              <w:t>屏幕显示的结果、存储的电子记录应是一致的。</w:t>
            </w:r>
          </w:p>
        </w:tc>
        <w:tc>
          <w:tcPr>
            <w:tcW w:w="2125" w:type="dxa"/>
            <w:vAlign w:val="center"/>
          </w:tcPr>
          <w:p>
            <w:pPr>
              <w:jc w:val="center"/>
              <w:rPr>
                <w:iCs/>
                <w:szCs w:val="21"/>
                <w:lang w:val="en-US" w:eastAsia="zh-CN"/>
              </w:rPr>
            </w:pPr>
            <w:r>
              <w:rPr>
                <w:rFonts w:hint="eastAsia"/>
                <w:iCs/>
                <w:szCs w:val="21"/>
                <w:lang w:val="en-US" w:eastAsia="zh-CN"/>
              </w:rPr>
              <w:t>关键</w:t>
            </w:r>
          </w:p>
        </w:tc>
      </w:tr>
      <w:permEnd w:id="34"/>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5" w:edGrp="everyone"/>
            <w:permEnd w:id="3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0"/>
                <w:numId w:val="7"/>
              </w:numPr>
              <w:ind w:left="470" w:firstLine="851" w:firstLineChars="0"/>
              <w:rPr>
                <w:rFonts w:ascii="Times New Roman" w:hAnsi="Times New Roman"/>
                <w:szCs w:val="21"/>
              </w:rPr>
            </w:pPr>
            <w:permStart w:id="36" w:edGrp="everyone"/>
          </w:p>
        </w:tc>
        <w:tc>
          <w:tcPr>
            <w:tcW w:w="7128" w:type="dxa"/>
            <w:vAlign w:val="center"/>
          </w:tcPr>
          <w:p>
            <w:pPr>
              <w:spacing w:line="276" w:lineRule="auto"/>
              <w:jc w:val="both"/>
              <w:rPr>
                <w:szCs w:val="21"/>
                <w:lang w:eastAsia="zh-CN"/>
              </w:rPr>
            </w:pPr>
            <w:r>
              <w:rPr>
                <w:szCs w:val="21"/>
                <w:lang w:eastAsia="zh-CN"/>
              </w:rPr>
              <w:t>N</w:t>
            </w:r>
            <w:r>
              <w:rPr>
                <w:rFonts w:hint="eastAsia"/>
                <w:szCs w:val="21"/>
                <w:lang w:val="en-US" w:eastAsia="zh-CN"/>
              </w:rPr>
              <w:t>/</w:t>
            </w:r>
            <w:r>
              <w:rPr>
                <w:szCs w:val="21"/>
                <w:lang w:eastAsia="zh-CN"/>
              </w:rPr>
              <w:t>A</w:t>
            </w:r>
          </w:p>
        </w:tc>
        <w:tc>
          <w:tcPr>
            <w:tcW w:w="2125" w:type="dxa"/>
            <w:vAlign w:val="center"/>
          </w:tcPr>
          <w:p>
            <w:pPr>
              <w:jc w:val="both"/>
              <w:rPr>
                <w:szCs w:val="21"/>
                <w:lang w:eastAsia="zh-CN"/>
              </w:rPr>
            </w:pP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ermStart w:id="37" w:edGrp="everyone"/>
            <w:permEnd w:id="37"/>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numPr>
                <w:ilvl w:val="0"/>
                <w:numId w:val="7"/>
              </w:numPr>
              <w:ind w:left="470" w:firstLine="921" w:firstLineChars="0"/>
              <w:rPr>
                <w:rFonts w:ascii="Times New Roman" w:hAnsi="Times New Roman"/>
                <w:szCs w:val="21"/>
              </w:rPr>
            </w:pPr>
            <w:permStart w:id="38" w:edGrp="everyone"/>
          </w:p>
        </w:tc>
        <w:tc>
          <w:tcPr>
            <w:tcW w:w="7128" w:type="dxa"/>
            <w:vAlign w:val="center"/>
          </w:tcPr>
          <w:p>
            <w:pPr>
              <w:jc w:val="both"/>
              <w:rPr>
                <w:szCs w:val="21"/>
                <w:lang w:eastAsia="zh-CN"/>
              </w:rPr>
            </w:pPr>
            <w:r>
              <w:rPr>
                <w:szCs w:val="21"/>
                <w:lang w:eastAsia="zh-CN"/>
              </w:rPr>
              <w:t>N</w:t>
            </w:r>
            <w:r>
              <w:rPr>
                <w:rFonts w:hint="eastAsia"/>
                <w:szCs w:val="21"/>
                <w:lang w:val="en-US" w:eastAsia="zh-CN"/>
              </w:rPr>
              <w:t>/</w:t>
            </w:r>
            <w:r>
              <w:rPr>
                <w:szCs w:val="21"/>
                <w:lang w:eastAsia="zh-CN"/>
              </w:rPr>
              <w:t>A</w:t>
            </w:r>
          </w:p>
        </w:tc>
        <w:tc>
          <w:tcPr>
            <w:tcW w:w="2125" w:type="dxa"/>
            <w:vAlign w:val="center"/>
          </w:tcPr>
          <w:p>
            <w:pPr>
              <w:jc w:val="both"/>
              <w:rPr>
                <w:szCs w:val="21"/>
                <w:lang w:eastAsia="zh-CN"/>
              </w:rPr>
            </w:pPr>
          </w:p>
        </w:tc>
      </w:tr>
      <w:permEnd w:id="38"/>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9" w:edGrp="everyone"/>
            <w:permEnd w:id="3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jc w:val="both"/>
              <w:rPr>
                <w:szCs w:val="21"/>
                <w:lang w:eastAsia="zh-CN"/>
              </w:rPr>
            </w:pPr>
            <w:r>
              <w:rPr>
                <w:szCs w:val="21"/>
                <w:lang w:val="en-US" w:eastAsia="zh-CN"/>
              </w:rPr>
              <w:t>投标文件、合同及订单。</w:t>
            </w:r>
          </w:p>
        </w:tc>
        <w:tc>
          <w:tcPr>
            <w:tcW w:w="2125" w:type="dxa"/>
            <w:vAlign w:val="center"/>
          </w:tcPr>
          <w:p>
            <w:pPr>
              <w:jc w:val="center"/>
              <w:rPr>
                <w:iCs/>
                <w:szCs w:val="21"/>
                <w:lang w:val="en-US" w:eastAsia="zh-CN"/>
              </w:rPr>
            </w:pPr>
            <w:r>
              <w:rPr>
                <w:rFonts w:hint="eastAsia"/>
                <w:iCs/>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jc w:val="both"/>
              <w:rPr>
                <w:lang w:eastAsia="zh-CN"/>
              </w:rPr>
            </w:pPr>
            <w:r>
              <w:rPr>
                <w:szCs w:val="21"/>
                <w:lang w:val="en-US" w:eastAsia="zh-CN"/>
              </w:rPr>
              <w:t>卖方发运清单及相关检验报告。</w:t>
            </w:r>
          </w:p>
        </w:tc>
        <w:tc>
          <w:tcPr>
            <w:tcW w:w="2125" w:type="dxa"/>
            <w:vAlign w:val="center"/>
          </w:tcPr>
          <w:p>
            <w:pPr>
              <w:jc w:val="center"/>
              <w:rPr>
                <w:iCs/>
                <w:szCs w:val="21"/>
                <w:lang w:val="en-US" w:eastAsia="zh-CN"/>
              </w:rPr>
            </w:pPr>
            <w:r>
              <w:rPr>
                <w:rFonts w:hint="eastAsia"/>
                <w:iCs/>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jc w:val="both"/>
              <w:rPr>
                <w:szCs w:val="21"/>
                <w:lang w:eastAsia="zh-CN"/>
              </w:rPr>
            </w:pPr>
            <w:r>
              <w:rPr>
                <w:rFonts w:hint="eastAsia" w:ascii="宋体" w:hAnsi="宋体" w:cs="宋体"/>
                <w:color w:val="000000"/>
                <w:lang w:eastAsia="zh-CN"/>
              </w:rPr>
              <w:t>设计选型文件：设备详细</w:t>
            </w:r>
            <w:r>
              <w:rPr>
                <w:rFonts w:hint="eastAsia"/>
                <w:color w:val="000000"/>
                <w:szCs w:val="21"/>
                <w:lang w:eastAsia="zh-CN"/>
              </w:rPr>
              <w:t>设计说明、功能说明、配置清单与说明</w:t>
            </w:r>
            <w:r>
              <w:rPr>
                <w:rFonts w:hint="eastAsia" w:ascii="宋体" w:hAnsi="宋体" w:cs="宋体"/>
                <w:color w:val="000000"/>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jc w:val="both"/>
              <w:rPr>
                <w:szCs w:val="21"/>
                <w:lang w:eastAsia="zh-CN"/>
              </w:rPr>
            </w:pPr>
            <w:r>
              <w:rPr>
                <w:rFonts w:hint="eastAsia"/>
                <w:szCs w:val="21"/>
                <w:lang w:eastAsia="zh-CN"/>
              </w:rPr>
              <w:t>到厂资料：装箱单、合格证、用户安装/操作/维护手册、备件清单、功能设计说明、不锈钢材质报告。</w:t>
            </w:r>
          </w:p>
        </w:tc>
        <w:tc>
          <w:tcPr>
            <w:tcW w:w="2125" w:type="dxa"/>
            <w:vAlign w:val="center"/>
          </w:tcPr>
          <w:p>
            <w:pPr>
              <w:jc w:val="center"/>
              <w:rPr>
                <w:iCs/>
                <w:szCs w:val="21"/>
                <w:lang w:val="en-US" w:eastAsia="zh-CN"/>
              </w:rPr>
            </w:pPr>
            <w:r>
              <w:rPr>
                <w:rFonts w:hint="eastAsia"/>
                <w:iCs/>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jc w:val="both"/>
              <w:rPr>
                <w:szCs w:val="21"/>
                <w:lang w:eastAsia="zh-CN"/>
              </w:rPr>
            </w:pPr>
            <w:r>
              <w:rPr>
                <w:rFonts w:hint="eastAsia"/>
                <w:szCs w:val="21"/>
                <w:lang w:eastAsia="zh-CN"/>
              </w:rPr>
              <w:t>图纸：电子秤尺寸、电气图、</w:t>
            </w:r>
            <w:r>
              <w:rPr>
                <w:rFonts w:hint="eastAsia"/>
                <w:color w:val="000000"/>
                <w:szCs w:val="21"/>
                <w:lang w:eastAsia="zh-CN"/>
              </w:rPr>
              <w:t>实物图、各种验证、维修等活动所需的电子版及打印版设备布局图</w:t>
            </w:r>
            <w:r>
              <w:rPr>
                <w:rFonts w:hint="eastAsia"/>
                <w:szCs w:val="21"/>
                <w:lang w:eastAsia="zh-CN"/>
              </w:rPr>
              <w:t>等。</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投标文件、合同及订单。</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卖方发运清单及相关检验报告</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系统功能配置清单及说明，包含各组件名称、编号、型号、规格、品牌、材质等。</w:t>
            </w:r>
            <w:r>
              <w:rPr>
                <w:rFonts w:hint="eastAsia"/>
                <w:szCs w:val="21"/>
                <w:lang w:eastAsia="zh-CN"/>
              </w:rPr>
              <w:tab/>
            </w:r>
            <w:r>
              <w:rPr>
                <w:rFonts w:hint="eastAsia"/>
                <w:szCs w:val="21"/>
                <w:lang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设备厂家文件：出厂测试合格证、各关键组件说明书、相关检测报告、各种标示。</w:t>
            </w:r>
            <w:r>
              <w:rPr>
                <w:rFonts w:hint="eastAsia"/>
                <w:szCs w:val="21"/>
                <w:lang w:eastAsia="zh-CN"/>
              </w:rPr>
              <w:tab/>
            </w:r>
            <w:r>
              <w:rPr>
                <w:rFonts w:hint="eastAsia"/>
                <w:szCs w:val="21"/>
                <w:lang w:eastAsia="zh-CN"/>
              </w:rPr>
              <w:t>提交文件时限要求：不晚于IQ开始前</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设备操作手册（SOP）：语言为中文，应说明校准周期。</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计量校准证书。提交文件时限要求：不晚于IQ开始前。</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各种必要的合格证，包括部件合格证、材质证书等。提交文件时限要求：设备开箱验收。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调试文件：调试计划、调试方案、设备测试记录，检测清单，测试报告，调试总结报告、现场验收报告等。</w:t>
            </w:r>
            <w:r>
              <w:rPr>
                <w:rFonts w:hint="eastAsia"/>
                <w:szCs w:val="21"/>
                <w:lang w:val="en-US" w:eastAsia="zh-CN"/>
              </w:rPr>
              <w:tab/>
            </w:r>
            <w:r>
              <w:rPr>
                <w:rFonts w:hint="eastAsia"/>
                <w:szCs w:val="21"/>
                <w:lang w:val="en-US" w:eastAsia="zh-CN"/>
              </w:rPr>
              <w:t>提交文件时限要求：不晚于IQ开始前</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验证文件：</w:t>
            </w:r>
            <w:r>
              <w:rPr>
                <w:rFonts w:hint="eastAsia"/>
                <w:szCs w:val="21"/>
                <w:lang w:val="en-US" w:eastAsia="zh-CN"/>
              </w:rPr>
              <w:tab/>
            </w:r>
          </w:p>
          <w:p>
            <w:pPr>
              <w:rPr>
                <w:szCs w:val="21"/>
                <w:lang w:val="en-US" w:eastAsia="zh-CN"/>
              </w:rPr>
            </w:pPr>
            <w:r>
              <w:rPr>
                <w:rFonts w:hint="eastAsia"/>
                <w:szCs w:val="21"/>
                <w:lang w:val="en-US" w:eastAsia="zh-CN"/>
              </w:rPr>
              <w:t>（1）验证计划</w:t>
            </w:r>
            <w:r>
              <w:rPr>
                <w:rFonts w:hint="eastAsia"/>
                <w:szCs w:val="21"/>
                <w:lang w:val="en-US" w:eastAsia="zh-CN"/>
              </w:rPr>
              <w:tab/>
            </w:r>
            <w:r>
              <w:rPr>
                <w:rFonts w:hint="eastAsia"/>
                <w:szCs w:val="21"/>
                <w:lang w:val="en-US" w:eastAsia="zh-CN"/>
              </w:rPr>
              <w:t>提交文件时限要求： 设计阶段，设计确认开始前</w:t>
            </w:r>
          </w:p>
          <w:p>
            <w:pPr>
              <w:rPr>
                <w:szCs w:val="21"/>
                <w:lang w:val="en-US" w:eastAsia="zh-CN"/>
              </w:rPr>
            </w:pPr>
            <w:r>
              <w:rPr>
                <w:rFonts w:hint="eastAsia"/>
                <w:szCs w:val="21"/>
                <w:lang w:val="en-US" w:eastAsia="zh-CN"/>
              </w:rPr>
              <w:t>（2）满足GMP等相关法规的评估文件</w:t>
            </w:r>
            <w:r>
              <w:rPr>
                <w:rFonts w:hint="eastAsia"/>
                <w:szCs w:val="21"/>
                <w:lang w:val="en-US" w:eastAsia="zh-CN"/>
              </w:rPr>
              <w:tab/>
            </w:r>
            <w:r>
              <w:rPr>
                <w:rFonts w:hint="eastAsia"/>
                <w:szCs w:val="21"/>
                <w:lang w:val="en-US" w:eastAsia="zh-CN"/>
              </w:rPr>
              <w:t>提交文件时限要求：投标前提供</w:t>
            </w:r>
          </w:p>
          <w:p>
            <w:pPr>
              <w:rPr>
                <w:szCs w:val="21"/>
                <w:lang w:val="en-US" w:eastAsia="zh-CN"/>
              </w:rPr>
            </w:pPr>
            <w:r>
              <w:rPr>
                <w:rFonts w:hint="eastAsia"/>
                <w:szCs w:val="21"/>
                <w:lang w:val="en-US" w:eastAsia="zh-CN"/>
              </w:rPr>
              <w:t>（3）安装确认及文件（IQ）；</w:t>
            </w:r>
            <w:r>
              <w:rPr>
                <w:rFonts w:hint="eastAsia"/>
                <w:szCs w:val="21"/>
                <w:lang w:val="en-US" w:eastAsia="zh-CN"/>
              </w:rPr>
              <w:tab/>
            </w:r>
            <w:r>
              <w:rPr>
                <w:rFonts w:hint="eastAsia"/>
                <w:szCs w:val="21"/>
                <w:lang w:val="en-US" w:eastAsia="zh-CN"/>
              </w:rPr>
              <w:t>提交文件时限要求：OQ开始前完成审批并提交</w:t>
            </w:r>
          </w:p>
          <w:p>
            <w:pPr>
              <w:rPr>
                <w:szCs w:val="21"/>
                <w:lang w:val="en-US" w:eastAsia="zh-CN"/>
              </w:rPr>
            </w:pPr>
            <w:r>
              <w:rPr>
                <w:rFonts w:hint="eastAsia"/>
                <w:szCs w:val="21"/>
                <w:lang w:val="en-US" w:eastAsia="zh-CN"/>
              </w:rPr>
              <w:t>（4）运行确认及文件（OQ）；</w:t>
            </w:r>
            <w:r>
              <w:rPr>
                <w:rFonts w:hint="eastAsia"/>
                <w:szCs w:val="21"/>
                <w:lang w:val="en-US" w:eastAsia="zh-CN"/>
              </w:rPr>
              <w:tab/>
            </w:r>
            <w:r>
              <w:rPr>
                <w:rFonts w:hint="eastAsia"/>
                <w:szCs w:val="21"/>
                <w:lang w:val="en-US" w:eastAsia="zh-CN"/>
              </w:rPr>
              <w:t>提交文件时限要求：IQ批准后开始执行，PQ开始前完成审批并提交</w:t>
            </w:r>
          </w:p>
          <w:p>
            <w:pPr>
              <w:rPr>
                <w:szCs w:val="21"/>
                <w:lang w:val="en-US" w:eastAsia="zh-CN"/>
              </w:rPr>
            </w:pPr>
            <w:r>
              <w:rPr>
                <w:rFonts w:hint="eastAsia"/>
                <w:szCs w:val="21"/>
                <w:lang w:val="en-US" w:eastAsia="zh-CN"/>
              </w:rPr>
              <w:t>（5）设备生产商负责制定设备验证计划、评估文件、IQ/OQ验证文件，并负责验证工作的实施，该验证文件作为设备必备文件。</w:t>
            </w:r>
          </w:p>
          <w:p>
            <w:pPr>
              <w:rPr>
                <w:szCs w:val="21"/>
                <w:lang w:val="en-US" w:eastAsia="zh-CN"/>
              </w:rPr>
            </w:pPr>
            <w:r>
              <w:rPr>
                <w:rFonts w:hint="eastAsia"/>
                <w:szCs w:val="21"/>
                <w:lang w:val="en-US" w:eastAsia="zh-CN"/>
              </w:rPr>
              <w:t>（6）供应商或厂家提供中英文版验证文件.</w:t>
            </w:r>
            <w:r>
              <w:rPr>
                <w:rFonts w:hint="eastAsia"/>
                <w:szCs w:val="21"/>
                <w:lang w:val="en-US" w:eastAsia="zh-CN"/>
              </w:rPr>
              <w:tab/>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设备交付计划表。</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szCs w:val="21"/>
                <w:lang w:val="en-US" w:eastAsia="zh-CN"/>
              </w:rPr>
            </w:pPr>
            <w:r>
              <w:rPr>
                <w:rFonts w:hint="eastAsia"/>
                <w:szCs w:val="21"/>
                <w:lang w:val="en-US" w:eastAsia="zh-CN"/>
              </w:rPr>
              <w:t>使用操作说明书及维护保养说明（即运行及维护手册）3份。</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szCs w:val="21"/>
                <w:lang w:val="en-US" w:eastAsia="zh-CN"/>
              </w:rPr>
            </w:pPr>
            <w:r>
              <w:rPr>
                <w:rFonts w:hint="eastAsia"/>
                <w:szCs w:val="21"/>
                <w:lang w:val="en-US" w:eastAsia="zh-CN"/>
              </w:rPr>
              <w:t>提供设备及其零部件使用寿命清单。</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top"/>
          </w:tcPr>
          <w:p>
            <w:pPr>
              <w:rPr>
                <w:szCs w:val="21"/>
                <w:lang w:val="en-US" w:eastAsia="zh-CN"/>
              </w:rPr>
            </w:pPr>
            <w:r>
              <w:rPr>
                <w:rFonts w:hint="eastAsia"/>
                <w:szCs w:val="21"/>
                <w:lang w:val="en-US" w:eastAsia="zh-CN"/>
              </w:rPr>
              <w:t>应有针对每一部件所作序号的简明图册，以便于维修人员查找和辩识。</w:t>
            </w:r>
          </w:p>
          <w:p>
            <w:pPr>
              <w:rPr>
                <w:szCs w:val="21"/>
                <w:lang w:val="en-US" w:eastAsia="zh-CN"/>
              </w:rPr>
            </w:pP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上述条款规定的文件需提供电子版，并在设备开箱验收时将最终批准的电子版及纸质版全套资料交工程技术部存档。</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lang w:val="en-US" w:eastAsia="zh-CN"/>
              </w:rPr>
            </w:pPr>
            <w:r>
              <w:rPr>
                <w:rFonts w:hint="eastAsia"/>
                <w:szCs w:val="21"/>
                <w:lang w:val="en-US" w:eastAsia="zh-CN"/>
              </w:rPr>
              <w:t>项目质量计划</w:t>
            </w:r>
            <w:r>
              <w:rPr>
                <w:rFonts w:hint="eastAsia"/>
                <w:szCs w:val="21"/>
                <w:lang w:val="en-US" w:eastAsia="zh-CN"/>
              </w:rPr>
              <w:tab/>
            </w:r>
            <w:r>
              <w:rPr>
                <w:rFonts w:hint="eastAsia"/>
                <w:szCs w:val="21"/>
                <w:lang w:val="en-US" w:eastAsia="zh-CN"/>
              </w:rPr>
              <w:t>提交文件时限要求：设备开箱验收。</w:t>
            </w:r>
          </w:p>
        </w:tc>
        <w:tc>
          <w:tcPr>
            <w:tcW w:w="2125" w:type="dxa"/>
            <w:vAlign w:val="center"/>
          </w:tcPr>
          <w:p>
            <w:pPr>
              <w:jc w:val="center"/>
              <w:rPr>
                <w:iCs/>
                <w:szCs w:val="21"/>
                <w:lang w:val="en-US" w:eastAsia="zh-CN"/>
              </w:rPr>
            </w:pPr>
            <w:r>
              <w:rPr>
                <w:rFonts w:hint="eastAsia"/>
                <w:iCs/>
                <w:szCs w:val="21"/>
                <w:lang w:val="en-US" w:eastAsia="zh-CN"/>
              </w:rPr>
              <w:t>关键</w:t>
            </w:r>
          </w:p>
        </w:tc>
      </w:tr>
      <w:permEnd w:id="44"/>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5" w:edGrp="everyone"/>
            <w:permEnd w:id="4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color w:val="0070C0"/>
                <w:szCs w:val="21"/>
                <w:lang w:eastAsia="zh-CN"/>
              </w:rPr>
            </w:pPr>
            <w:r>
              <w:rPr>
                <w:rFonts w:hint="eastAsia"/>
                <w:szCs w:val="21"/>
                <w:lang w:val="en-US" w:eastAsia="zh-CN"/>
              </w:rPr>
              <w:t>电子天平到货后进行SAT时，</w:t>
            </w:r>
            <w:r>
              <w:rPr>
                <w:lang w:eastAsia="zh-CN"/>
              </w:rPr>
              <w:t>设备供应商应免费对设备使用方人员进行全面培训，包括对生产操作人员及设备维护、维修人员，并填写培训记录。</w:t>
            </w:r>
          </w:p>
        </w:tc>
        <w:tc>
          <w:tcPr>
            <w:tcW w:w="2125" w:type="dxa"/>
            <w:vAlign w:val="center"/>
          </w:tcPr>
          <w:p>
            <w:pPr>
              <w:jc w:val="center"/>
              <w:rPr>
                <w:iCs/>
                <w:szCs w:val="21"/>
                <w:lang w:val="en-US" w:eastAsia="zh-CN"/>
              </w:rPr>
            </w:pPr>
            <w:r>
              <w:rPr>
                <w:rFonts w:hint="eastAsia"/>
                <w:iCs/>
                <w:szCs w:val="21"/>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color w:val="0070C0"/>
                <w:szCs w:val="21"/>
                <w:lang w:eastAsia="zh-CN"/>
              </w:rPr>
            </w:pPr>
            <w:r>
              <w:rPr>
                <w:lang w:eastAsia="zh-CN"/>
              </w:rPr>
              <w:t>生产操作人员培训包括设备结构原理、性能、操作、清洗消毒、</w:t>
            </w:r>
            <w:r>
              <w:rPr>
                <w:rFonts w:hint="eastAsia"/>
                <w:lang w:val="en-US" w:eastAsia="zh-CN"/>
              </w:rPr>
              <w:t>校准等</w:t>
            </w:r>
            <w:r>
              <w:rPr>
                <w:lang w:eastAsia="zh-CN"/>
              </w:rPr>
              <w:t>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center"/>
              <w:rPr>
                <w:iCs/>
                <w:szCs w:val="21"/>
                <w:lang w:val="en-US" w:eastAsia="zh-CN"/>
              </w:rPr>
            </w:pPr>
            <w:r>
              <w:rPr>
                <w:rFonts w:hint="eastAsia"/>
                <w:iCs/>
                <w:szCs w:val="21"/>
                <w:lang w:val="en-US"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8" w:edGrp="everyone"/>
          </w:p>
        </w:tc>
        <w:tc>
          <w:tcPr>
            <w:tcW w:w="7128" w:type="dxa"/>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val="en-US" w:eastAsia="zh-CN"/>
              </w:rPr>
            </w:pPr>
            <w:r>
              <w:rPr>
                <w:rFonts w:hint="eastAsia"/>
                <w:szCs w:val="21"/>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center"/>
              <w:rPr>
                <w:iCs/>
                <w:szCs w:val="21"/>
                <w:lang w:val="en-US" w:eastAsia="zh-CN"/>
              </w:rPr>
            </w:pPr>
            <w:r>
              <w:rPr>
                <w:rFonts w:hint="eastAsia"/>
                <w:iCs/>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ermStart w:id="50" w:edGrp="everyone"/>
          </w:p>
        </w:tc>
        <w:tc>
          <w:tcPr>
            <w:tcW w:w="7128" w:type="dxa"/>
            <w:vAlign w:val="center"/>
          </w:tcPr>
          <w:p>
            <w:pPr>
              <w:spacing w:line="276" w:lineRule="auto"/>
              <w:jc w:val="both"/>
              <w:rPr>
                <w:szCs w:val="21"/>
                <w:lang w:eastAsia="zh-CN"/>
              </w:rPr>
            </w:pPr>
            <w:r>
              <w:rPr>
                <w:rFonts w:hint="eastAsia"/>
                <w:szCs w:val="21"/>
                <w:lang w:val="en-US" w:eastAsia="zh-CN"/>
              </w:rPr>
              <w:t>验证包括 IQ、OQ、PQ。</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rPr>
                <w:lang w:eastAsia="zh-CN"/>
              </w:rPr>
            </w:pPr>
            <w:r>
              <w:rPr>
                <w:rFonts w:hint="eastAsia" w:ascii="宋体" w:hAnsi="宋体" w:cs="宋体"/>
                <w:color w:val="000000"/>
                <w:szCs w:val="21"/>
                <w:lang w:val="en-US" w:eastAsia="zh-CN"/>
              </w:rPr>
              <w:t xml:space="preserve">各验证工作开始前验证方案需经过本公司相关部门审核，并经质量保证 </w:t>
            </w:r>
          </w:p>
          <w:p>
            <w:pPr>
              <w:spacing w:line="276" w:lineRule="auto"/>
              <w:jc w:val="both"/>
              <w:rPr>
                <w:szCs w:val="21"/>
                <w:lang w:eastAsia="zh-CN"/>
              </w:rPr>
            </w:pPr>
            <w:r>
              <w:rPr>
                <w:rFonts w:hint="eastAsia" w:ascii="宋体" w:hAnsi="宋体" w:cs="宋体"/>
                <w:color w:val="000000"/>
                <w:szCs w:val="21"/>
                <w:lang w:val="en-US" w:eastAsia="zh-CN"/>
              </w:rPr>
              <w:t>部批准。</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spacing w:line="276" w:lineRule="auto"/>
              <w:jc w:val="both"/>
              <w:rPr>
                <w:szCs w:val="21"/>
                <w:lang w:eastAsia="zh-CN"/>
              </w:rPr>
            </w:pPr>
            <w:r>
              <w:rPr>
                <w:rFonts w:hint="eastAsia" w:ascii="宋体" w:hAnsi="宋体" w:cs="宋体"/>
                <w:color w:val="000000"/>
                <w:szCs w:val="21"/>
                <w:lang w:val="en-US" w:eastAsia="zh-CN"/>
              </w:rPr>
              <w:t>验证工作应按时保质完成，供应商需提供验证工作计划表。</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spacing w:line="276" w:lineRule="auto"/>
              <w:jc w:val="both"/>
              <w:rPr>
                <w:szCs w:val="21"/>
                <w:lang w:eastAsia="zh-CN"/>
              </w:rPr>
            </w:pPr>
            <w:r>
              <w:rPr>
                <w:rFonts w:hint="eastAsia" w:ascii="宋体" w:hAnsi="宋体" w:cs="宋体"/>
                <w:color w:val="000000"/>
                <w:szCs w:val="21"/>
                <w:lang w:val="en-US" w:eastAsia="zh-CN"/>
              </w:rPr>
              <w:t>验证项目应包含法规要求的测试项目，以及本公司提出的测试项目。</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rPr>
                <w:lang w:eastAsia="zh-CN"/>
              </w:rPr>
            </w:pPr>
            <w:r>
              <w:rPr>
                <w:rFonts w:hint="eastAsia" w:ascii="宋体" w:hAnsi="宋体" w:cs="宋体"/>
                <w:color w:val="000000"/>
                <w:szCs w:val="21"/>
                <w:lang w:val="en-US" w:eastAsia="zh-CN"/>
              </w:rPr>
              <w:t xml:space="preserve">验证工作完成后，验证记录经本公司相关部门审核，并经质量保证部批 </w:t>
            </w:r>
          </w:p>
          <w:p>
            <w:pPr>
              <w:spacing w:line="276" w:lineRule="auto"/>
              <w:jc w:val="both"/>
              <w:rPr>
                <w:szCs w:val="21"/>
                <w:lang w:eastAsia="zh-CN"/>
              </w:rPr>
            </w:pPr>
            <w:r>
              <w:rPr>
                <w:rFonts w:hint="eastAsia" w:ascii="宋体" w:hAnsi="宋体" w:cs="宋体"/>
                <w:color w:val="000000"/>
                <w:szCs w:val="21"/>
                <w:lang w:val="en-US" w:eastAsia="zh-CN"/>
              </w:rPr>
              <w:t>准。</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rPr>
                <w:lang w:eastAsia="zh-CN"/>
              </w:rPr>
            </w:pPr>
            <w:r>
              <w:rPr>
                <w:rFonts w:hint="eastAsia" w:ascii="宋体" w:hAnsi="宋体" w:cs="宋体"/>
                <w:color w:val="000000"/>
                <w:szCs w:val="21"/>
                <w:lang w:val="en-US" w:eastAsia="zh-CN"/>
              </w:rPr>
              <w:t>设备</w:t>
            </w:r>
            <w:r>
              <w:rPr>
                <w:color w:val="000000"/>
                <w:szCs w:val="21"/>
                <w:lang w:val="en-US" w:eastAsia="zh-CN"/>
              </w:rPr>
              <w:t>IQ</w:t>
            </w:r>
            <w:r>
              <w:rPr>
                <w:rFonts w:hint="eastAsia" w:ascii="宋体" w:hAnsi="宋体" w:cs="宋体"/>
                <w:color w:val="000000"/>
                <w:szCs w:val="21"/>
                <w:lang w:val="en-US" w:eastAsia="zh-CN"/>
              </w:rPr>
              <w:t>、</w:t>
            </w:r>
            <w:r>
              <w:rPr>
                <w:color w:val="000000"/>
                <w:szCs w:val="21"/>
                <w:lang w:val="en-US" w:eastAsia="zh-CN"/>
              </w:rPr>
              <w:t>OQ</w:t>
            </w:r>
            <w:r>
              <w:rPr>
                <w:rFonts w:hint="eastAsia" w:ascii="宋体" w:hAnsi="宋体" w:cs="宋体"/>
                <w:color w:val="000000"/>
                <w:szCs w:val="21"/>
                <w:lang w:val="en-US" w:eastAsia="zh-CN"/>
              </w:rPr>
              <w:t xml:space="preserve">等验证工作必须在供应商、我公司操作人员及我公司 </w:t>
            </w:r>
          </w:p>
          <w:p>
            <w:pPr>
              <w:rPr>
                <w:rFonts w:ascii="宋体" w:hAnsi="宋体" w:cs="宋体"/>
                <w:color w:val="000000"/>
                <w:szCs w:val="21"/>
                <w:lang w:val="en-US" w:eastAsia="zh-CN"/>
              </w:rPr>
            </w:pPr>
            <w:r>
              <w:rPr>
                <w:rFonts w:hint="eastAsia" w:ascii="宋体" w:hAnsi="宋体" w:cs="宋体"/>
                <w:color w:val="000000"/>
                <w:szCs w:val="21"/>
                <w:lang w:val="en-US" w:eastAsia="zh-CN"/>
              </w:rPr>
              <w:t>验证人员在场的情况下进行。</w:t>
            </w:r>
          </w:p>
        </w:tc>
        <w:tc>
          <w:tcPr>
            <w:tcW w:w="2125" w:type="dxa"/>
            <w:vAlign w:val="center"/>
          </w:tcPr>
          <w:p>
            <w:pPr>
              <w:jc w:val="center"/>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FFFFFF"/>
            <w:vAlign w:val="center"/>
          </w:tcPr>
          <w:p>
            <w:pPr>
              <w:pStyle w:val="30"/>
              <w:numPr>
                <w:ilvl w:val="0"/>
                <w:numId w:val="7"/>
              </w:numPr>
              <w:ind w:left="470" w:hanging="120" w:firstLineChars="0"/>
            </w:pPr>
          </w:p>
        </w:tc>
        <w:tc>
          <w:tcPr>
            <w:tcW w:w="7128" w:type="dxa"/>
            <w:vAlign w:val="center"/>
          </w:tcPr>
          <w:p>
            <w:pPr>
              <w:rPr>
                <w:lang w:eastAsia="zh-CN"/>
              </w:rPr>
            </w:pPr>
            <w:r>
              <w:rPr>
                <w:rFonts w:hint="eastAsia" w:ascii="宋体" w:hAnsi="宋体" w:cs="宋体"/>
                <w:color w:val="000000"/>
                <w:szCs w:val="21"/>
                <w:lang w:val="en-US" w:eastAsia="zh-CN"/>
              </w:rPr>
              <w:t>设备完成</w:t>
            </w:r>
            <w:r>
              <w:rPr>
                <w:color w:val="000000"/>
                <w:szCs w:val="21"/>
                <w:lang w:val="en-US" w:eastAsia="zh-CN"/>
              </w:rPr>
              <w:t>IQ</w:t>
            </w:r>
            <w:r>
              <w:rPr>
                <w:rFonts w:hint="eastAsia" w:ascii="宋体" w:hAnsi="宋体" w:cs="宋体"/>
                <w:color w:val="000000"/>
                <w:szCs w:val="21"/>
                <w:lang w:val="en-US" w:eastAsia="zh-CN"/>
              </w:rPr>
              <w:t>、</w:t>
            </w:r>
            <w:r>
              <w:rPr>
                <w:color w:val="000000"/>
                <w:szCs w:val="21"/>
                <w:lang w:val="en-US" w:eastAsia="zh-CN"/>
              </w:rPr>
              <w:t>OQ</w:t>
            </w:r>
            <w:r>
              <w:rPr>
                <w:rFonts w:hint="eastAsia" w:ascii="宋体" w:hAnsi="宋体" w:cs="宋体"/>
                <w:color w:val="000000"/>
                <w:szCs w:val="21"/>
                <w:lang w:val="en-US" w:eastAsia="zh-CN"/>
              </w:rPr>
              <w:t xml:space="preserve">等验证，且验证合格之后才能签署《设备开箱验 </w:t>
            </w:r>
          </w:p>
          <w:p>
            <w:pPr>
              <w:rPr>
                <w:rFonts w:ascii="宋体" w:hAnsi="宋体" w:cs="宋体"/>
                <w:color w:val="000000"/>
                <w:szCs w:val="21"/>
                <w:lang w:val="en-US" w:eastAsia="zh-CN"/>
              </w:rPr>
            </w:pPr>
            <w:r>
              <w:rPr>
                <w:rFonts w:hint="eastAsia" w:ascii="宋体" w:hAnsi="宋体" w:cs="宋体"/>
                <w:color w:val="000000"/>
                <w:szCs w:val="21"/>
                <w:lang w:val="en-US" w:eastAsia="zh-CN"/>
              </w:rPr>
              <w:t>收单》。</w:t>
            </w:r>
          </w:p>
        </w:tc>
        <w:tc>
          <w:tcPr>
            <w:tcW w:w="2125" w:type="dxa"/>
            <w:vAlign w:val="center"/>
          </w:tcPr>
          <w:p>
            <w:pPr>
              <w:jc w:val="center"/>
              <w:rPr>
                <w:szCs w:val="21"/>
                <w:lang w:eastAsia="zh-CN"/>
              </w:rPr>
            </w:pPr>
            <w:r>
              <w:rPr>
                <w:rFonts w:hint="eastAsia"/>
                <w:iCs/>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ermStart w:id="51" w:edGrp="everyone"/>
            <w:permEnd w:id="51"/>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2" w:edGrp="everyone"/>
          </w:p>
        </w:tc>
        <w:tc>
          <w:tcPr>
            <w:tcW w:w="7128" w:type="dxa"/>
            <w:vAlign w:val="center"/>
          </w:tcPr>
          <w:p>
            <w:pPr>
              <w:spacing w:line="276" w:lineRule="auto"/>
              <w:jc w:val="both"/>
              <w:rPr>
                <w:szCs w:val="21"/>
                <w:lang w:eastAsia="zh-CN"/>
              </w:rPr>
            </w:pPr>
            <w:r>
              <w:rPr>
                <w:rFonts w:hint="eastAsia"/>
                <w:color w:val="000000"/>
                <w:sz w:val="24"/>
                <w:lang w:eastAsia="zh-CN"/>
              </w:rPr>
              <w:t>设</w:t>
            </w:r>
            <w:r>
              <w:rPr>
                <w:rFonts w:hint="eastAsia"/>
                <w:szCs w:val="21"/>
                <w:lang w:eastAsia="zh-CN"/>
              </w:rPr>
              <w:t>备保质期从确认验收的合格开始计算。</w:t>
            </w:r>
          </w:p>
        </w:tc>
        <w:tc>
          <w:tcPr>
            <w:tcW w:w="2125" w:type="dxa"/>
            <w:vAlign w:val="center"/>
          </w:tcPr>
          <w:p>
            <w:pPr>
              <w:jc w:val="center"/>
              <w:rPr>
                <w:iCs/>
                <w:szCs w:val="21"/>
                <w:lang w:val="en-US" w:eastAsia="zh-CN"/>
              </w:rPr>
            </w:pPr>
            <w:r>
              <w:rPr>
                <w:rFonts w:hint="eastAsia"/>
                <w:iCs/>
                <w:szCs w:val="21"/>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3" w:edGrp="everyone"/>
          </w:p>
        </w:tc>
        <w:tc>
          <w:tcPr>
            <w:tcW w:w="7128" w:type="dxa"/>
            <w:vAlign w:val="center"/>
          </w:tcPr>
          <w:p>
            <w:pPr>
              <w:spacing w:line="276" w:lineRule="auto"/>
              <w:jc w:val="both"/>
              <w:rPr>
                <w:szCs w:val="21"/>
                <w:lang w:eastAsia="zh-CN"/>
              </w:rPr>
            </w:pPr>
            <w:r>
              <w:rPr>
                <w:rFonts w:hint="eastAsia"/>
                <w:szCs w:val="21"/>
                <w:lang w:eastAsia="zh-CN"/>
              </w:rPr>
              <w:t>设备质保期为1年，1年内免费保修，1年后应提供良好的售后服务。</w:t>
            </w:r>
          </w:p>
        </w:tc>
        <w:tc>
          <w:tcPr>
            <w:tcW w:w="2125" w:type="dxa"/>
            <w:vAlign w:val="center"/>
          </w:tcPr>
          <w:p>
            <w:pPr>
              <w:jc w:val="center"/>
              <w:rPr>
                <w:iCs/>
                <w:szCs w:val="21"/>
                <w:lang w:val="en-US" w:eastAsia="zh-CN"/>
              </w:rPr>
            </w:pPr>
            <w:r>
              <w:rPr>
                <w:rFonts w:hint="eastAsia"/>
                <w:iCs/>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4" w:edGrp="everyone"/>
          </w:p>
        </w:tc>
        <w:tc>
          <w:tcPr>
            <w:tcW w:w="7128" w:type="dxa"/>
            <w:vAlign w:val="center"/>
          </w:tcPr>
          <w:p>
            <w:pPr>
              <w:spacing w:line="276" w:lineRule="auto"/>
              <w:jc w:val="both"/>
              <w:rPr>
                <w:szCs w:val="21"/>
                <w:lang w:eastAsia="zh-CN"/>
              </w:rPr>
            </w:pPr>
            <w:r>
              <w:rPr>
                <w:rFonts w:hint="eastAsia" w:ascii="宋体" w:hAnsi="宋体"/>
                <w:szCs w:val="21"/>
                <w:lang w:eastAsia="zh-CN"/>
              </w:rPr>
              <w:t>售后服务必须响应及时，要求设备出现须厂家维修的故障后，应在</w:t>
            </w:r>
            <w:r>
              <w:rPr>
                <w:rFonts w:ascii="宋体" w:hAnsi="宋体"/>
                <w:szCs w:val="21"/>
                <w:lang w:eastAsia="zh-CN"/>
              </w:rPr>
              <w:t>1小时</w:t>
            </w:r>
            <w:r>
              <w:rPr>
                <w:rFonts w:hint="eastAsia" w:ascii="宋体" w:hAnsi="宋体"/>
                <w:szCs w:val="21"/>
                <w:lang w:eastAsia="zh-CN"/>
              </w:rPr>
              <w:t>内明确答复，当电话沟通无法解决时，须4小时内及时派人至现场解决。</w:t>
            </w:r>
          </w:p>
        </w:tc>
        <w:tc>
          <w:tcPr>
            <w:tcW w:w="2125" w:type="dxa"/>
            <w:vAlign w:val="center"/>
          </w:tcPr>
          <w:p>
            <w:pPr>
              <w:jc w:val="center"/>
              <w:rPr>
                <w:iCs/>
                <w:szCs w:val="21"/>
                <w:lang w:val="en-US" w:eastAsia="zh-CN"/>
              </w:rPr>
            </w:pPr>
            <w:r>
              <w:rPr>
                <w:rFonts w:hint="eastAsia"/>
                <w:iCs/>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5" w:edGrp="everyone"/>
          </w:p>
        </w:tc>
        <w:tc>
          <w:tcPr>
            <w:tcW w:w="7128" w:type="dxa"/>
            <w:vAlign w:val="center"/>
          </w:tcPr>
          <w:p>
            <w:pPr>
              <w:spacing w:line="276" w:lineRule="auto"/>
              <w:jc w:val="both"/>
              <w:rPr>
                <w:rFonts w:ascii="宋体" w:hAnsi="宋体" w:cs="Arial"/>
                <w:color w:val="000000"/>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r>
              <w:rPr>
                <w:rFonts w:hint="eastAsia"/>
                <w:sz w:val="18"/>
                <w:szCs w:val="18"/>
                <w:lang w:eastAsia="zh-CN"/>
              </w:rPr>
              <w:t>。</w:t>
            </w:r>
          </w:p>
        </w:tc>
        <w:tc>
          <w:tcPr>
            <w:tcW w:w="2125" w:type="dxa"/>
            <w:vAlign w:val="center"/>
          </w:tcPr>
          <w:p>
            <w:pPr>
              <w:jc w:val="center"/>
              <w:rPr>
                <w:iCs/>
                <w:szCs w:val="21"/>
                <w:lang w:val="en-US" w:eastAsia="zh-CN"/>
              </w:rPr>
            </w:pPr>
            <w:r>
              <w:rPr>
                <w:rFonts w:hint="eastAsia"/>
                <w:iCs/>
                <w:szCs w:val="21"/>
                <w:lang w:val="en-US"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6" w:edGrp="everyone"/>
          </w:p>
        </w:tc>
        <w:tc>
          <w:tcPr>
            <w:tcW w:w="7128" w:type="dxa"/>
            <w:vAlign w:val="center"/>
          </w:tcPr>
          <w:p>
            <w:pPr>
              <w:spacing w:line="276" w:lineRule="auto"/>
              <w:jc w:val="both"/>
              <w:rPr>
                <w:szCs w:val="21"/>
                <w:lang w:val="en-US" w:eastAsia="zh-CN"/>
              </w:rPr>
            </w:pPr>
            <w:r>
              <w:rPr>
                <w:rFonts w:hint="eastAsia"/>
                <w:szCs w:val="21"/>
                <w:lang w:eastAsia="zh-CN"/>
              </w:rPr>
              <w:t>货物到达买方使用现场后，由买卖双方共同验收，卖方工程师免费为买方提供安装。</w:t>
            </w:r>
          </w:p>
        </w:tc>
        <w:tc>
          <w:tcPr>
            <w:tcW w:w="2125" w:type="dxa"/>
            <w:vAlign w:val="center"/>
          </w:tcPr>
          <w:p>
            <w:pPr>
              <w:jc w:val="center"/>
              <w:rPr>
                <w:iCs/>
                <w:szCs w:val="21"/>
                <w:lang w:val="en-US" w:eastAsia="zh-CN"/>
              </w:rPr>
            </w:pPr>
            <w:r>
              <w:rPr>
                <w:rFonts w:hint="eastAsia"/>
                <w:iCs/>
                <w:szCs w:val="21"/>
                <w:lang w:val="en-US"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7" w:edGrp="everyone"/>
          </w:p>
        </w:tc>
        <w:tc>
          <w:tcPr>
            <w:tcW w:w="7128" w:type="dxa"/>
            <w:vAlign w:val="center"/>
          </w:tcPr>
          <w:p>
            <w:pPr>
              <w:spacing w:line="276" w:lineRule="auto"/>
              <w:jc w:val="both"/>
              <w:rPr>
                <w:szCs w:val="21"/>
                <w:lang w:eastAsia="zh-CN"/>
              </w:rPr>
            </w:pPr>
            <w:r>
              <w:rPr>
                <w:rFonts w:hint="eastAsia"/>
                <w:szCs w:val="21"/>
                <w:lang w:eastAsia="zh-CN"/>
              </w:rPr>
              <w:t>供应商进厂施工需遵守安全和安装规定。</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szCs w:val="21"/>
                <w:lang w:eastAsia="zh-CN"/>
              </w:rPr>
              <w:t>确认调试验收合格后，买卖双方签订验收报告。</w:t>
            </w:r>
          </w:p>
        </w:tc>
        <w:tc>
          <w:tcPr>
            <w:tcW w:w="2125" w:type="dxa"/>
            <w:vAlign w:val="center"/>
          </w:tcPr>
          <w:p>
            <w:pPr>
              <w:jc w:val="cente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szCs w:val="21"/>
                <w:lang w:eastAsia="zh-CN"/>
              </w:rPr>
              <w:t>确认验收合格应包含所有附件及备件。</w:t>
            </w:r>
          </w:p>
        </w:tc>
        <w:tc>
          <w:tcPr>
            <w:tcW w:w="2125" w:type="dxa"/>
            <w:vAlign w:val="center"/>
          </w:tcPr>
          <w:p>
            <w:pPr>
              <w:jc w:val="center"/>
              <w:rPr>
                <w:iCs/>
                <w:szCs w:val="21"/>
                <w:lang w:val="en-US" w:eastAsia="zh-CN"/>
              </w:rPr>
            </w:pPr>
            <w:r>
              <w:rPr>
                <w:rFonts w:hint="eastAsia"/>
                <w:iCs/>
                <w:szCs w:val="21"/>
                <w:lang w:val="en-US" w:eastAsia="zh-CN"/>
              </w:rPr>
              <w:t>关键</w:t>
            </w:r>
          </w:p>
        </w:tc>
      </w:tr>
      <w:permEnd w:id="57"/>
    </w:tbl>
    <w:p/>
    <w:p>
      <w:pPr>
        <w:pStyle w:val="30"/>
        <w:numPr>
          <w:ilvl w:val="0"/>
          <w:numId w:val="3"/>
        </w:numPr>
        <w:spacing w:after="158" w:afterLines="50"/>
        <w:ind w:left="426" w:hanging="426" w:hangingChars="202"/>
        <w:outlineLvl w:val="0"/>
        <w:rPr>
          <w:rFonts w:ascii="Times New Roman" w:hAnsi="Times New Roman"/>
          <w:b/>
        </w:rPr>
      </w:pPr>
      <w:bookmarkStart w:id="46" w:name="_Toc522107746"/>
      <w:bookmarkStart w:id="47" w:name="_Toc52271612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rPr>
          <w:iCs/>
          <w:szCs w:val="21"/>
          <w:lang w:val="en-US" w:eastAsia="zh-CN"/>
        </w:rPr>
      </w:pPr>
      <w:permStart w:id="58" w:edGrp="everyone"/>
      <w:r>
        <w:rPr>
          <w:rFonts w:hint="eastAsia"/>
          <w:szCs w:val="21"/>
          <w:lang w:val="en-US" w:eastAsia="zh-CN"/>
        </w:rPr>
        <w:t>不适用</w:t>
      </w:r>
      <w:permEnd w:id="58"/>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rPr>
        <w:sz w:val="18"/>
        <w:szCs w:val="18"/>
      </w:rPr>
    </w:pPr>
    <w:r>
      <w:rPr>
        <w:rFonts w:ascii="Times New Roman" w:hAnsi="Times New Roman" w:eastAsia="宋体" w:cs="Times New Roman"/>
        <w:sz w:val="18"/>
        <w:szCs w:val="18"/>
        <w:lang w:eastAsia="en-US" w:bidi="ar-SA"/>
      </w:rPr>
      <w:pict>
        <v:line id="Line 1" o:spid="_x0000_s1025" style="position:absolute;left:0;margin-left:0pt;margin-top:0.05pt;height:0.05pt;width:510.25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sz w:val="18"/>
        <w:szCs w:val="18"/>
      </w:rPr>
      <w:t>本文件为受控文件，仅供武汉生物制品研究所有限责任公司使用并为版权所有，严禁无授权使用、泄露或复印，违者必究。</w:t>
    </w:r>
  </w:p>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4476818">
    <w:nsid w:val="7E085B12"/>
    <w:multiLevelType w:val="multilevel"/>
    <w:tmpl w:val="7E085B12"/>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554"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451173933">
    <w:nsid w:val="1AE45E2D"/>
    <w:multiLevelType w:val="multilevel"/>
    <w:tmpl w:val="1AE45E2D"/>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114476818"/>
  </w:num>
  <w:num w:numId="9">
    <w:abstractNumId w:val="451173933"/>
  </w:num>
  <w:num w:numId="10">
    <w:abstractNumId w:val="287781897"/>
  </w:num>
  <w:num w:numId="11">
    <w:abstractNumId w:val="839589741"/>
  </w:num>
  <w:num w:numId="12">
    <w:abstractNumId w:val="196115971"/>
  </w:num>
  <w:num w:numId="13">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5E5"/>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0AA9"/>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3574"/>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09EC"/>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151"/>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373C6"/>
    <w:rsid w:val="00341B2F"/>
    <w:rsid w:val="00342915"/>
    <w:rsid w:val="00344B04"/>
    <w:rsid w:val="00345847"/>
    <w:rsid w:val="00347576"/>
    <w:rsid w:val="00347772"/>
    <w:rsid w:val="00347A51"/>
    <w:rsid w:val="00347B19"/>
    <w:rsid w:val="00351FB8"/>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0F1"/>
    <w:rsid w:val="003B354C"/>
    <w:rsid w:val="003B355B"/>
    <w:rsid w:val="003B4A5D"/>
    <w:rsid w:val="003B5047"/>
    <w:rsid w:val="003B6E29"/>
    <w:rsid w:val="003B73AB"/>
    <w:rsid w:val="003C02C6"/>
    <w:rsid w:val="003C03D7"/>
    <w:rsid w:val="003C0712"/>
    <w:rsid w:val="003C33F2"/>
    <w:rsid w:val="003C558E"/>
    <w:rsid w:val="003C6ECF"/>
    <w:rsid w:val="003C73BC"/>
    <w:rsid w:val="003D2243"/>
    <w:rsid w:val="003D2292"/>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263BA"/>
    <w:rsid w:val="00526D9A"/>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2CC"/>
    <w:rsid w:val="005C4D05"/>
    <w:rsid w:val="005C506B"/>
    <w:rsid w:val="005C71BF"/>
    <w:rsid w:val="005C723D"/>
    <w:rsid w:val="005C7601"/>
    <w:rsid w:val="005D1094"/>
    <w:rsid w:val="005D11D8"/>
    <w:rsid w:val="005D3394"/>
    <w:rsid w:val="005D3989"/>
    <w:rsid w:val="005D42FF"/>
    <w:rsid w:val="005E09B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1564"/>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07D11"/>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5369"/>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878CB"/>
    <w:rsid w:val="00A90009"/>
    <w:rsid w:val="00A927A4"/>
    <w:rsid w:val="00A94CC0"/>
    <w:rsid w:val="00A9534A"/>
    <w:rsid w:val="00A957FA"/>
    <w:rsid w:val="00A968DC"/>
    <w:rsid w:val="00A96A52"/>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2709E"/>
    <w:rsid w:val="00B301B1"/>
    <w:rsid w:val="00B353E7"/>
    <w:rsid w:val="00B35759"/>
    <w:rsid w:val="00B3619A"/>
    <w:rsid w:val="00B365B7"/>
    <w:rsid w:val="00B40BCA"/>
    <w:rsid w:val="00B41375"/>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6C5"/>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47BF"/>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3EA1"/>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3FFF"/>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D778B"/>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62D2DA2"/>
    <w:rsid w:val="074D0BAA"/>
    <w:rsid w:val="09C4662B"/>
    <w:rsid w:val="0B5C45DF"/>
    <w:rsid w:val="0E467394"/>
    <w:rsid w:val="0F5F286F"/>
    <w:rsid w:val="136C2793"/>
    <w:rsid w:val="15AF4FCD"/>
    <w:rsid w:val="16FB7F2B"/>
    <w:rsid w:val="17A849B3"/>
    <w:rsid w:val="19625EAC"/>
    <w:rsid w:val="1BBD1D2F"/>
    <w:rsid w:val="1C726834"/>
    <w:rsid w:val="1E8408FB"/>
    <w:rsid w:val="25060193"/>
    <w:rsid w:val="250C51B0"/>
    <w:rsid w:val="268D7671"/>
    <w:rsid w:val="2693165E"/>
    <w:rsid w:val="29A023AD"/>
    <w:rsid w:val="35FE3298"/>
    <w:rsid w:val="36EC4283"/>
    <w:rsid w:val="39624025"/>
    <w:rsid w:val="3AEF0E50"/>
    <w:rsid w:val="3E96640F"/>
    <w:rsid w:val="40284C7E"/>
    <w:rsid w:val="426C30F9"/>
    <w:rsid w:val="4AC943EC"/>
    <w:rsid w:val="4BB20C2B"/>
    <w:rsid w:val="4E213A31"/>
    <w:rsid w:val="50613319"/>
    <w:rsid w:val="514D211B"/>
    <w:rsid w:val="52FC7720"/>
    <w:rsid w:val="5C6D544A"/>
    <w:rsid w:val="5EC4613C"/>
    <w:rsid w:val="630262D1"/>
    <w:rsid w:val="6532347A"/>
    <w:rsid w:val="69BA5D6E"/>
    <w:rsid w:val="6D2A0827"/>
    <w:rsid w:val="76980A7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8"/>
    <w:semiHidden/>
    <w:qFormat/>
    <w:uiPriority w:val="0"/>
  </w:style>
  <w:style w:type="paragraph" w:styleId="8">
    <w:name w:val="Body Text 3"/>
    <w:basedOn w:val="1"/>
    <w:link w:val="48"/>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9"/>
    <w:qFormat/>
    <w:uiPriority w:val="99"/>
    <w:pPr>
      <w:tabs>
        <w:tab w:val="center" w:pos="4320"/>
        <w:tab w:val="right" w:pos="8640"/>
      </w:tabs>
    </w:pPr>
  </w:style>
  <w:style w:type="paragraph" w:styleId="15">
    <w:name w:val="header"/>
    <w:basedOn w:val="1"/>
    <w:link w:val="37"/>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99"/>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3"/>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paragraph" w:customStyle="1" w:styleId="36">
    <w:name w:val="正文文本 31"/>
    <w:basedOn w:val="1"/>
    <w:qFormat/>
    <w:uiPriority w:val="0"/>
    <w:pPr>
      <w:adjustRightInd/>
    </w:pPr>
    <w:rPr>
      <w:sz w:val="28"/>
    </w:rPr>
  </w:style>
  <w:style w:type="character" w:customStyle="1" w:styleId="37">
    <w:name w:val="页眉 Char"/>
    <w:link w:val="15"/>
    <w:qFormat/>
    <w:uiPriority w:val="0"/>
    <w:rPr>
      <w:rFonts w:eastAsia="宋体"/>
      <w:sz w:val="24"/>
      <w:lang w:eastAsia="en-US" w:bidi="ar-SA"/>
    </w:rPr>
  </w:style>
  <w:style w:type="character" w:customStyle="1" w:styleId="38">
    <w:name w:val="批注文字 Char"/>
    <w:link w:val="7"/>
    <w:semiHidden/>
    <w:qFormat/>
    <w:uiPriority w:val="0"/>
    <w:rPr>
      <w:sz w:val="24"/>
      <w:lang w:eastAsia="en-US"/>
    </w:rPr>
  </w:style>
  <w:style w:type="character" w:customStyle="1" w:styleId="39">
    <w:name w:val="页脚 Char"/>
    <w:link w:val="14"/>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19"/>
    <w:qFormat/>
    <w:uiPriority w:val="0"/>
    <w:rPr/>
  </w:style>
  <w:style w:type="character" w:customStyle="1" w:styleId="42">
    <w:name w:val="numbering blue Zchn"/>
    <w:link w:val="32"/>
    <w:qFormat/>
    <w:uiPriority w:val="0"/>
    <w:rPr>
      <w:rFonts w:ascii="Arial" w:hAnsi="Arial" w:eastAsia="PMingLiU"/>
      <w:color w:val="0070C0"/>
      <w:lang w:eastAsia="zh-TW"/>
    </w:rPr>
  </w:style>
  <w:style w:type="character" w:customStyle="1" w:styleId="43">
    <w:name w:val="Text Char"/>
    <w:link w:val="34"/>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19"/>
    <w:qFormat/>
    <w:uiPriority w:val="0"/>
    <w:rPr/>
  </w:style>
  <w:style w:type="character" w:customStyle="1" w:styleId="46">
    <w:name w:val="标题 Char"/>
    <w:link w:val="18"/>
    <w:qFormat/>
    <w:uiPriority w:val="0"/>
    <w:rPr>
      <w:rFonts w:ascii="Calibri Light" w:hAnsi="Calibri Light" w:cs="Times New Roman"/>
      <w:b/>
      <w:bCs/>
      <w:sz w:val="32"/>
      <w:szCs w:val="32"/>
      <w:lang w:eastAsia="en-US"/>
    </w:rPr>
  </w:style>
  <w:style w:type="character" w:customStyle="1" w:styleId="47">
    <w:name w:val="Footer Char"/>
    <w:basedOn w:val="19"/>
    <w:semiHidden/>
    <w:qFormat/>
    <w:locked/>
    <w:uiPriority w:val="0"/>
    <w:rPr>
      <w:rFonts w:cs="Times New Roman"/>
      <w:sz w:val="18"/>
      <w:szCs w:val="18"/>
    </w:rPr>
  </w:style>
  <w:style w:type="character" w:customStyle="1" w:styleId="48">
    <w:name w:val="正文文本 3 Char"/>
    <w:basedOn w:val="19"/>
    <w:link w:val="8"/>
    <w:qFormat/>
    <w:uiPriority w:val="0"/>
    <w:rPr>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Pages>
  <Words>819</Words>
  <Characters>4673</Characters>
  <Lines>38</Lines>
  <Paragraphs>10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2017-06-22T01:53:00Z</cp:lastPrinted>
  <dcterms:modified xsi:type="dcterms:W3CDTF">2022-01-06T07:25:53Z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07704AE4C46B4401A637DEECDF04E8F8</vt:lpwstr>
  </property>
</Properties>
</file>