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pPr>
      <w:bookmarkStart w:id="0" w:name="_Toc483666358"/>
      <w:bookmarkStart w:id="1" w:name="_Toc483227223"/>
      <w:bookmarkStart w:id="2" w:name="_Toc484532399"/>
      <w:bookmarkStart w:id="3" w:name="_Toc483400307"/>
      <w:bookmarkStart w:id="4" w:name="_Toc482717189"/>
    </w:p>
    <w:p>
      <w:pPr>
        <w:spacing w:after="158" w:afterLines="50" w:line="360" w:lineRule="auto"/>
        <w:jc w:val="center"/>
        <w:rPr>
          <w:b/>
          <w:szCs w:val="21"/>
          <w:lang w:eastAsia="zh-CN"/>
        </w:rPr>
      </w:pPr>
      <w:r>
        <w:rPr>
          <w:rFonts w:hint="eastAsia"/>
          <w:b/>
          <w:sz w:val="28"/>
          <w:szCs w:val="28"/>
          <w:lang w:eastAsia="zh-CN"/>
        </w:rPr>
        <w:t>细菌类疫苗室联合疫苗大楼白喉原液车间局部送排风设备</w:t>
      </w:r>
      <w:r>
        <w:rPr>
          <w:b/>
          <w:sz w:val="28"/>
          <w:szCs w:val="28"/>
          <w:lang w:eastAsia="zh-CN"/>
        </w:rPr>
        <w:t>用户需求说明（URS</w:t>
      </w:r>
      <w:r>
        <w:rPr>
          <w:b/>
          <w:szCs w:val="21"/>
          <w:lang w:eastAsia="zh-CN"/>
        </w:rPr>
        <w:t>）</w:t>
      </w:r>
      <w:bookmarkEnd w:id="0"/>
      <w:bookmarkEnd w:id="1"/>
      <w:bookmarkEnd w:id="2"/>
      <w:bookmarkEnd w:id="3"/>
      <w:bookmarkEnd w:id="4"/>
    </w:p>
    <w:p>
      <w:pPr>
        <w:pStyle w:val="43"/>
        <w:keepNext w:val="0"/>
        <w:keepLines w:val="0"/>
        <w:widowControl w:val="0"/>
        <w:spacing w:after="158" w:afterLines="50"/>
        <w:jc w:val="center"/>
        <w:rPr>
          <w:sz w:val="21"/>
          <w:szCs w:val="21"/>
          <w:lang w:val="zh-CN" w:eastAsia="zh-CN"/>
        </w:rPr>
      </w:pPr>
      <w:r>
        <w:rPr>
          <w:sz w:val="21"/>
          <w:szCs w:val="21"/>
          <w:lang w:val="zh-CN" w:eastAsia="zh-CN"/>
        </w:rPr>
        <w:t>目录</w:t>
      </w:r>
    </w:p>
    <w:p>
      <w:pPr>
        <w:pStyle w:val="16"/>
        <w:rPr>
          <w:b w:val="0"/>
          <w:bCs w:val="0"/>
          <w:caps w:val="0"/>
          <w:szCs w:val="22"/>
        </w:rPr>
      </w:pPr>
      <w:permStart w:id="0"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5"/>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 HYPERLINK \l "_Toc522716115" </w:instrText>
      </w:r>
      <w:r>
        <w:fldChar w:fldCharType="separate"/>
      </w:r>
      <w:r>
        <w:rPr>
          <w:rStyle w:val="25"/>
        </w:rPr>
        <w:t>1</w:t>
      </w:r>
      <w:r>
        <w:rPr>
          <w:b w:val="0"/>
          <w:bCs w:val="0"/>
          <w:caps w:val="0"/>
          <w:szCs w:val="22"/>
        </w:rPr>
        <w:tab/>
      </w:r>
      <w:r>
        <w:rPr>
          <w:rStyle w:val="25"/>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"_Toc522716116" </w:instrText>
      </w:r>
      <w:r>
        <w:fldChar w:fldCharType="separate"/>
      </w:r>
      <w:r>
        <w:rPr>
          <w:rStyle w:val="25"/>
        </w:rPr>
        <w:t>2</w:t>
      </w:r>
      <w:r>
        <w:rPr>
          <w:b w:val="0"/>
          <w:bCs w:val="0"/>
          <w:caps w:val="0"/>
          <w:szCs w:val="22"/>
        </w:rPr>
        <w:tab/>
      </w:r>
      <w:r>
        <w:rPr>
          <w:rStyle w:val="25"/>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"_Toc522716117" </w:instrText>
      </w:r>
      <w:r>
        <w:fldChar w:fldCharType="separate"/>
      </w:r>
      <w:r>
        <w:rPr>
          <w:rStyle w:val="25"/>
        </w:rPr>
        <w:t>3</w:t>
      </w:r>
      <w:r>
        <w:rPr>
          <w:b w:val="0"/>
          <w:bCs w:val="0"/>
          <w:caps w:val="0"/>
          <w:szCs w:val="22"/>
        </w:rPr>
        <w:tab/>
      </w:r>
      <w:r>
        <w:rPr>
          <w:rStyle w:val="25"/>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"_Toc522716118" </w:instrText>
      </w:r>
      <w:r>
        <w:fldChar w:fldCharType="separate"/>
      </w:r>
      <w:r>
        <w:rPr>
          <w:rStyle w:val="25"/>
        </w:rPr>
        <w:t>4</w:t>
      </w:r>
      <w:r>
        <w:rPr>
          <w:b w:val="0"/>
          <w:bCs w:val="0"/>
          <w:caps w:val="0"/>
          <w:szCs w:val="22"/>
        </w:rPr>
        <w:tab/>
      </w:r>
      <w:r>
        <w:rPr>
          <w:rStyle w:val="25"/>
        </w:rPr>
        <w:t>职责</w:t>
      </w:r>
      <w:r>
        <w:tab/>
      </w:r>
      <w:r>
        <w:fldChar w:fldCharType="begin"/>
      </w:r>
      <w:r>
        <w:instrText xml:space="preserve"> PAGEREF _Toc522716118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"_Toc522716119" </w:instrText>
      </w:r>
      <w:r>
        <w:fldChar w:fldCharType="separate"/>
      </w:r>
      <w:r>
        <w:rPr>
          <w:rStyle w:val="25"/>
        </w:rPr>
        <w:t>5</w:t>
      </w:r>
      <w:r>
        <w:rPr>
          <w:b w:val="0"/>
          <w:bCs w:val="0"/>
          <w:caps w:val="0"/>
          <w:szCs w:val="22"/>
        </w:rPr>
        <w:tab/>
      </w:r>
      <w:r>
        <w:rPr>
          <w:rStyle w:val="25"/>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"_Toc522716120" </w:instrText>
      </w:r>
      <w:r>
        <w:fldChar w:fldCharType="separate"/>
      </w:r>
      <w:r>
        <w:rPr>
          <w:rStyle w:val="25"/>
        </w:rPr>
        <w:t>6</w:t>
      </w:r>
      <w:r>
        <w:rPr>
          <w:b w:val="0"/>
          <w:bCs w:val="0"/>
          <w:caps w:val="0"/>
          <w:szCs w:val="22"/>
        </w:rPr>
        <w:tab/>
      </w:r>
      <w:r>
        <w:rPr>
          <w:rStyle w:val="25"/>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"_Toc522716121" </w:instrText>
      </w:r>
      <w:r>
        <w:fldChar w:fldCharType="separate"/>
      </w:r>
      <w:r>
        <w:rPr>
          <w:rStyle w:val="25"/>
        </w:rPr>
        <w:t>7</w:t>
      </w:r>
      <w:r>
        <w:rPr>
          <w:b w:val="0"/>
          <w:bCs w:val="0"/>
          <w:caps w:val="0"/>
          <w:szCs w:val="22"/>
        </w:rPr>
        <w:tab/>
      </w:r>
      <w:r>
        <w:rPr>
          <w:rStyle w:val="25"/>
        </w:rPr>
        <w:t>运行要求</w:t>
      </w:r>
      <w:r>
        <w:tab/>
      </w:r>
      <w:r>
        <w:fldChar w:fldCharType="begin"/>
      </w:r>
      <w:r>
        <w:instrText xml:space="preserve"> PAGEREF _Toc522716121 \h </w:instrText>
      </w:r>
      <w:r>
        <w:fldChar w:fldCharType="separate"/>
      </w:r>
      <w:r>
        <w:t>9</w:t>
      </w:r>
      <w:r>
        <w:fldChar w:fldCharType="end"/>
      </w:r>
      <w:r>
        <w:fldChar w:fldCharType="end"/>
      </w:r>
    </w:p>
    <w:p>
      <w:pPr>
        <w:pStyle w:val="16"/>
        <w:rPr>
          <w:b w:val="0"/>
          <w:bCs w:val="0"/>
          <w:caps w:val="0"/>
          <w:szCs w:val="22"/>
        </w:rPr>
      </w:pPr>
      <w:r>
        <w:fldChar w:fldCharType="begin"/>
      </w:r>
      <w:r>
        <w:instrText xml:space="preserve"> HYPERLINK \l "_Toc522716122" </w:instrText>
      </w:r>
      <w:r>
        <w:fldChar w:fldCharType="separate"/>
      </w:r>
      <w:r>
        <w:rPr>
          <w:rStyle w:val="25"/>
        </w:rPr>
        <w:t>8</w:t>
      </w:r>
      <w:r>
        <w:rPr>
          <w:b w:val="0"/>
          <w:bCs w:val="0"/>
          <w:caps w:val="0"/>
          <w:szCs w:val="22"/>
        </w:rPr>
        <w:tab/>
      </w:r>
      <w:r>
        <w:rPr>
          <w:rStyle w:val="25"/>
        </w:rPr>
        <w:t>电气、自动控制要求</w:t>
      </w:r>
      <w:r>
        <w:tab/>
      </w:r>
      <w:r>
        <w:fldChar w:fldCharType="begin"/>
      </w:r>
      <w:r>
        <w:instrText xml:space="preserve"> PAGEREF _Toc522716122 \h </w:instrText>
      </w:r>
      <w:r>
        <w:fldChar w:fldCharType="separate"/>
      </w:r>
      <w:r>
        <w:t>15</w:t>
      </w:r>
      <w:r>
        <w:fldChar w:fldCharType="end"/>
      </w:r>
      <w:r>
        <w:fldChar w:fldCharType="end"/>
      </w:r>
    </w:p>
    <w:p>
      <w:pPr>
        <w:pStyle w:val="16"/>
        <w:rPr>
          <w:b w:val="0"/>
          <w:bCs w:val="0"/>
          <w:caps w:val="0"/>
          <w:szCs w:val="22"/>
        </w:rPr>
      </w:pPr>
      <w:r>
        <w:fldChar w:fldCharType="begin"/>
      </w:r>
      <w:r>
        <w:instrText xml:space="preserve"> HYPERLINK \l "_Toc522716123" </w:instrText>
      </w:r>
      <w:r>
        <w:fldChar w:fldCharType="separate"/>
      </w:r>
      <w:r>
        <w:rPr>
          <w:rStyle w:val="25"/>
        </w:rPr>
        <w:t>9</w:t>
      </w:r>
      <w:r>
        <w:rPr>
          <w:b w:val="0"/>
          <w:bCs w:val="0"/>
          <w:caps w:val="0"/>
          <w:szCs w:val="22"/>
        </w:rPr>
        <w:tab/>
      </w:r>
      <w:r>
        <w:rPr>
          <w:rStyle w:val="25"/>
        </w:rPr>
        <w:t>安全要求</w:t>
      </w:r>
      <w:r>
        <w:tab/>
      </w:r>
      <w:r>
        <w:fldChar w:fldCharType="begin"/>
      </w:r>
      <w:r>
        <w:instrText xml:space="preserve"> PAGEREF _Toc522716123 \h </w:instrText>
      </w:r>
      <w:r>
        <w:fldChar w:fldCharType="separate"/>
      </w:r>
      <w:r>
        <w:t>16</w:t>
      </w:r>
      <w:r>
        <w:fldChar w:fldCharType="end"/>
      </w:r>
      <w:r>
        <w:fldChar w:fldCharType="end"/>
      </w:r>
    </w:p>
    <w:p>
      <w:pPr>
        <w:pStyle w:val="16"/>
        <w:rPr>
          <w:b w:val="0"/>
          <w:bCs w:val="0"/>
          <w:caps w:val="0"/>
          <w:szCs w:val="22"/>
        </w:rPr>
      </w:pPr>
      <w:r>
        <w:fldChar w:fldCharType="begin"/>
      </w:r>
      <w:r>
        <w:instrText xml:space="preserve"> HYPERLINK \l "_Toc522716124" </w:instrText>
      </w:r>
      <w:r>
        <w:fldChar w:fldCharType="separate"/>
      </w:r>
      <w:r>
        <w:rPr>
          <w:rStyle w:val="25"/>
        </w:rPr>
        <w:t>10</w:t>
      </w:r>
      <w:r>
        <w:rPr>
          <w:b w:val="0"/>
          <w:bCs w:val="0"/>
          <w:caps w:val="0"/>
          <w:szCs w:val="22"/>
        </w:rPr>
        <w:tab/>
      </w:r>
      <w:r>
        <w:rPr>
          <w:rStyle w:val="25"/>
        </w:rPr>
        <w:t>文件要求</w:t>
      </w:r>
      <w:r>
        <w:tab/>
      </w:r>
      <w:r>
        <w:fldChar w:fldCharType="begin"/>
      </w:r>
      <w:r>
        <w:instrText xml:space="preserve"> PAGEREF _Toc522716124 \h </w:instrText>
      </w:r>
      <w:r>
        <w:fldChar w:fldCharType="separate"/>
      </w:r>
      <w:r>
        <w:t>17</w:t>
      </w:r>
      <w:r>
        <w:fldChar w:fldCharType="end"/>
      </w:r>
      <w:r>
        <w:fldChar w:fldCharType="end"/>
      </w:r>
    </w:p>
    <w:p>
      <w:pPr>
        <w:pStyle w:val="16"/>
        <w:rPr>
          <w:b w:val="0"/>
          <w:bCs w:val="0"/>
          <w:caps w:val="0"/>
          <w:szCs w:val="22"/>
        </w:rPr>
      </w:pPr>
      <w:r>
        <w:fldChar w:fldCharType="begin"/>
      </w:r>
      <w:r>
        <w:instrText xml:space="preserve"> HYPERLINK \l "_Toc522716125" </w:instrText>
      </w:r>
      <w:r>
        <w:fldChar w:fldCharType="separate"/>
      </w:r>
      <w:r>
        <w:rPr>
          <w:rStyle w:val="25"/>
        </w:rPr>
        <w:t>11</w:t>
      </w:r>
      <w:r>
        <w:rPr>
          <w:b w:val="0"/>
          <w:bCs w:val="0"/>
          <w:caps w:val="0"/>
          <w:szCs w:val="22"/>
        </w:rPr>
        <w:tab/>
      </w:r>
      <w:r>
        <w:rPr>
          <w:rStyle w:val="25"/>
        </w:rPr>
        <w:t>服务要求</w:t>
      </w:r>
      <w:r>
        <w:tab/>
      </w:r>
      <w:r>
        <w:fldChar w:fldCharType="begin"/>
      </w:r>
      <w:r>
        <w:instrText xml:space="preserve"> PAGEREF _Toc522716125 \h </w:instrText>
      </w:r>
      <w:r>
        <w:fldChar w:fldCharType="separate"/>
      </w:r>
      <w:r>
        <w:t>19</w:t>
      </w:r>
      <w:r>
        <w:fldChar w:fldCharType="end"/>
      </w:r>
      <w:r>
        <w:fldChar w:fldCharType="end"/>
      </w:r>
    </w:p>
    <w:p>
      <w:pPr>
        <w:pStyle w:val="16"/>
        <w:rPr>
          <w:b w:val="0"/>
          <w:bCs w:val="0"/>
          <w:caps w:val="0"/>
          <w:szCs w:val="22"/>
        </w:rPr>
      </w:pPr>
      <w:r>
        <w:fldChar w:fldCharType="begin"/>
      </w:r>
      <w:r>
        <w:instrText xml:space="preserve"> HYPERLINK \l "_Toc522716126" </w:instrText>
      </w:r>
      <w:r>
        <w:fldChar w:fldCharType="separate"/>
      </w:r>
      <w:r>
        <w:rPr>
          <w:rStyle w:val="25"/>
        </w:rPr>
        <w:t>12</w:t>
      </w:r>
      <w:r>
        <w:rPr>
          <w:b w:val="0"/>
          <w:bCs w:val="0"/>
          <w:caps w:val="0"/>
          <w:szCs w:val="22"/>
        </w:rPr>
        <w:tab/>
      </w:r>
      <w:r>
        <w:rPr>
          <w:rStyle w:val="25"/>
        </w:rPr>
        <w:t>附件</w:t>
      </w:r>
      <w:r>
        <w:tab/>
      </w:r>
      <w:r>
        <w:fldChar w:fldCharType="begin"/>
      </w:r>
      <w:r>
        <w:instrText xml:space="preserve"> PAGEREF _Toc522716126 \h </w:instrText>
      </w:r>
      <w:r>
        <w:fldChar w:fldCharType="separate"/>
      </w:r>
      <w:r>
        <w:t>21</w:t>
      </w:r>
      <w:r>
        <w:fldChar w:fldCharType="end"/>
      </w:r>
      <w:r>
        <w:fldChar w:fldCharType="end"/>
      </w:r>
    </w:p>
    <w:p>
      <w:pPr>
        <w:spacing w:line="360" w:lineRule="auto"/>
      </w:pPr>
      <w:r>
        <w:fldChar w:fldCharType="end"/>
      </w:r>
      <w:permEnd w:id="0"/>
    </w:p>
    <w:p>
      <w:pPr>
        <w:spacing w:line="360" w:lineRule="auto"/>
        <w:rPr>
          <w:b/>
          <w:bCs/>
          <w:caps/>
          <w:kern w:val="2"/>
          <w:szCs w:val="21"/>
          <w:lang w:eastAsia="zh-CN"/>
        </w:rPr>
      </w:pPr>
      <w:r>
        <w:rPr>
          <w:b/>
          <w:bCs/>
          <w:caps/>
          <w:kern w:val="2"/>
          <w:szCs w:val="21"/>
          <w:lang w:eastAsia="zh-CN"/>
        </w:rPr>
        <w:br w:type="page"/>
      </w:r>
    </w:p>
    <w:p>
      <w:pPr>
        <w:pStyle w:val="44"/>
        <w:numPr>
          <w:ilvl w:val="0"/>
          <w:numId w:val="3"/>
        </w:numPr>
        <w:spacing w:after="158" w:afterLines="50" w:line="360" w:lineRule="auto"/>
        <w:ind w:left="426" w:hanging="426" w:hangingChars="202"/>
        <w:outlineLvl w:val="0"/>
        <w:rPr>
          <w:rFonts w:ascii="Times New Roman" w:hAnsi="Times New Roman"/>
          <w:b/>
        </w:rPr>
      </w:pPr>
      <w:bookmarkStart w:id="5" w:name="_Toc522716115"/>
      <w:bookmarkStart w:id="6" w:name="_Toc522107735"/>
      <w:r>
        <w:rPr>
          <w:rFonts w:ascii="Times New Roman" w:hAnsi="Times New Roman"/>
          <w:b/>
        </w:rPr>
        <w:t>目的</w:t>
      </w:r>
      <w:bookmarkEnd w:id="5"/>
      <w:bookmarkEnd w:id="6"/>
    </w:p>
    <w:p>
      <w:pPr>
        <w:pStyle w:val="36"/>
        <w:spacing w:before="0" w:line="360" w:lineRule="auto"/>
        <w:ind w:left="357"/>
        <w:jc w:val="left"/>
        <w:rPr>
          <w:szCs w:val="21"/>
          <w:lang w:eastAsia="zh-CN"/>
        </w:rPr>
      </w:pPr>
      <w:bookmarkStart w:id="7" w:name="_Toc481702475"/>
      <w:bookmarkStart w:id="8" w:name="_Toc482359936"/>
      <w:bookmarkStart w:id="9" w:name="_Toc482360281"/>
      <w:bookmarkStart w:id="10" w:name="_Toc482370061"/>
      <w:bookmarkStart w:id="11" w:name="_Toc482370349"/>
      <w:bookmarkStart w:id="12" w:name="_Toc482369805"/>
      <w:bookmarkStart w:id="13" w:name="_Toc482370141"/>
      <w:bookmarkStart w:id="14" w:name="_Toc482370757"/>
      <w:bookmarkStart w:id="15" w:name="_Toc482625279"/>
      <w:r>
        <w:rPr>
          <w:szCs w:val="21"/>
          <w:lang w:eastAsia="zh-CN"/>
        </w:rPr>
        <w:t>本文件的目的是描述武汉生物制品研究所有限责任公司</w:t>
      </w:r>
      <w:permStart w:id="1" w:edGrp="everyone"/>
      <w:r>
        <w:rPr>
          <w:rFonts w:hint="eastAsia"/>
          <w:szCs w:val="21"/>
          <w:lang w:eastAsia="zh-CN"/>
        </w:rPr>
        <w:t>细菌类疫苗室联合疫苗楼破伤风疫苗原液车间局部送排风设备</w:t>
      </w:r>
      <w:permEnd w:id="1"/>
      <w:r>
        <w:rPr>
          <w:szCs w:val="21"/>
          <w:lang w:eastAsia="zh-CN"/>
        </w:rPr>
        <w:t>的用户需求说明（URS），以确保最终用户的需求在项目设计阶段得以实现，并作为后续验证工作的基础。</w:t>
      </w:r>
    </w:p>
    <w:p>
      <w:pPr>
        <w:pStyle w:val="36"/>
        <w:spacing w:before="0" w:line="360" w:lineRule="auto"/>
        <w:ind w:left="360"/>
        <w:rPr>
          <w:szCs w:val="21"/>
          <w:lang w:eastAsia="zh-CN"/>
        </w:rPr>
      </w:pPr>
    </w:p>
    <w:p>
      <w:pPr>
        <w:pStyle w:val="44"/>
        <w:numPr>
          <w:ilvl w:val="0"/>
          <w:numId w:val="3"/>
        </w:numPr>
        <w:spacing w:after="158" w:afterLines="50" w:line="360" w:lineRule="auto"/>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36"/>
        <w:spacing w:before="0" w:line="360" w:lineRule="auto"/>
        <w:ind w:left="357"/>
        <w:jc w:val="left"/>
        <w:rPr>
          <w:szCs w:val="21"/>
          <w:lang w:eastAsia="zh-CN"/>
        </w:rPr>
      </w:pPr>
      <w:r>
        <w:rPr>
          <w:szCs w:val="21"/>
          <w:lang w:eastAsia="zh-CN"/>
        </w:rPr>
        <w:t>本URS适用于武汉生物制品研究所有限责任公司</w:t>
      </w:r>
      <w:permStart w:id="2" w:edGrp="everyone"/>
      <w:r>
        <w:rPr>
          <w:rFonts w:hint="eastAsia"/>
          <w:szCs w:val="21"/>
          <w:lang w:eastAsia="zh-CN"/>
        </w:rPr>
        <w:t>细菌类疫苗室联合疫苗楼破伤风疫苗原液车间局部送排风设备的购买</w:t>
      </w:r>
      <w:permEnd w:id="2"/>
      <w:r>
        <w:rPr>
          <w:szCs w:val="21"/>
          <w:lang w:eastAsia="zh-CN"/>
        </w:rPr>
        <w:t>。</w:t>
      </w:r>
      <w:bookmarkEnd w:id="7"/>
      <w:bookmarkEnd w:id="8"/>
      <w:bookmarkEnd w:id="9"/>
      <w:bookmarkEnd w:id="10"/>
      <w:bookmarkEnd w:id="11"/>
      <w:bookmarkEnd w:id="12"/>
      <w:bookmarkEnd w:id="13"/>
      <w:bookmarkEnd w:id="14"/>
      <w:bookmarkEnd w:id="15"/>
    </w:p>
    <w:p>
      <w:pPr>
        <w:pStyle w:val="36"/>
        <w:spacing w:before="0" w:line="360" w:lineRule="auto"/>
        <w:ind w:left="357"/>
        <w:jc w:val="left"/>
        <w:rPr>
          <w:szCs w:val="21"/>
          <w:lang w:eastAsia="zh-CN"/>
        </w:rPr>
      </w:pPr>
    </w:p>
    <w:p>
      <w:pPr>
        <w:pStyle w:val="44"/>
        <w:numPr>
          <w:ilvl w:val="0"/>
          <w:numId w:val="3"/>
        </w:numPr>
        <w:spacing w:after="158" w:afterLines="50" w:line="360" w:lineRule="auto"/>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36"/>
        <w:numPr>
          <w:ilvl w:val="0"/>
          <w:numId w:val="4"/>
        </w:numPr>
        <w:spacing w:before="0" w:line="360" w:lineRule="auto"/>
        <w:jc w:val="left"/>
        <w:rPr>
          <w:color w:val="000000"/>
          <w:szCs w:val="21"/>
          <w:lang w:eastAsia="zh-CN"/>
        </w:rPr>
      </w:pPr>
      <w:r>
        <w:rPr>
          <w:color w:val="000000"/>
          <w:szCs w:val="21"/>
          <w:lang w:eastAsia="zh-CN"/>
        </w:rPr>
        <w:t>GMP法规指南和SOP</w:t>
      </w:r>
    </w:p>
    <w:p>
      <w:pPr>
        <w:pStyle w:val="36"/>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6"/>
        <w:numPr>
          <w:ilvl w:val="0"/>
          <w:numId w:val="5"/>
        </w:numPr>
        <w:spacing w:before="0" w:line="360" w:lineRule="auto"/>
        <w:ind w:left="777"/>
        <w:jc w:val="left"/>
        <w:rPr>
          <w:color w:val="000000"/>
          <w:szCs w:val="21"/>
          <w:lang w:eastAsia="zh-CN"/>
        </w:rPr>
      </w:pPr>
      <w:permStart w:id="3" w:edGrp="everyone"/>
      <w:r>
        <w:rPr>
          <w:color w:val="000000"/>
          <w:szCs w:val="21"/>
          <w:lang w:eastAsia="zh-CN"/>
        </w:rPr>
        <w:t xml:space="preserve">中国药典 </w:t>
      </w:r>
      <w:r>
        <w:rPr>
          <w:color w:val="000000"/>
          <w:szCs w:val="21"/>
        </w:rPr>
        <w:t>2015年版</w:t>
      </w:r>
    </w:p>
    <w:p>
      <w:pPr>
        <w:pStyle w:val="36"/>
        <w:numPr>
          <w:ilvl w:val="0"/>
          <w:numId w:val="5"/>
        </w:numPr>
        <w:spacing w:before="0" w:line="360" w:lineRule="auto"/>
        <w:ind w:left="777"/>
        <w:jc w:val="left"/>
        <w:rPr>
          <w:color w:val="000000"/>
          <w:szCs w:val="21"/>
          <w:lang w:eastAsia="zh-CN"/>
        </w:rPr>
      </w:pPr>
      <w:r>
        <w:rPr>
          <w:rFonts w:hint="eastAsia" w:ascii="宋体" w:hAnsi="宋体"/>
          <w:color w:val="000000"/>
          <w:kern w:val="2"/>
          <w:szCs w:val="24"/>
          <w:lang w:eastAsia="zh-CN"/>
        </w:rPr>
        <w:t>《药品生产质量管理规范》（2010年修订版）及附录</w:t>
      </w:r>
    </w:p>
    <w:p>
      <w:pPr>
        <w:pStyle w:val="36"/>
        <w:numPr>
          <w:ilvl w:val="0"/>
          <w:numId w:val="5"/>
        </w:numPr>
        <w:spacing w:before="0" w:line="360" w:lineRule="auto"/>
        <w:ind w:left="777"/>
        <w:jc w:val="left"/>
        <w:rPr>
          <w:color w:val="000000"/>
          <w:szCs w:val="21"/>
          <w:lang w:eastAsia="zh-CN"/>
        </w:rPr>
      </w:pPr>
      <w:r>
        <w:rPr>
          <w:rFonts w:hint="eastAsia" w:ascii="宋体" w:hAnsi="宋体"/>
          <w:color w:val="000000"/>
          <w:kern w:val="2"/>
          <w:szCs w:val="24"/>
          <w:lang w:eastAsia="zh-CN"/>
        </w:rPr>
        <w:t>《药品G</w:t>
      </w:r>
      <w:r>
        <w:rPr>
          <w:rFonts w:ascii="宋体" w:hAnsi="宋体"/>
          <w:color w:val="000000"/>
          <w:kern w:val="2"/>
          <w:szCs w:val="24"/>
          <w:lang w:eastAsia="zh-CN"/>
        </w:rPr>
        <w:t>MP</w:t>
      </w:r>
      <w:r>
        <w:rPr>
          <w:rFonts w:hint="eastAsia" w:ascii="宋体" w:hAnsi="宋体"/>
          <w:color w:val="000000"/>
          <w:kern w:val="2"/>
          <w:szCs w:val="24"/>
          <w:lang w:eastAsia="zh-CN"/>
        </w:rPr>
        <w:t>指南》无菌药品（2011版）</w:t>
      </w:r>
    </w:p>
    <w:permEnd w:id="3"/>
    <w:p>
      <w:pPr>
        <w:pStyle w:val="36"/>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6"/>
        <w:numPr>
          <w:ilvl w:val="0"/>
          <w:numId w:val="5"/>
        </w:numPr>
        <w:spacing w:before="0" w:line="360" w:lineRule="auto"/>
        <w:ind w:left="777"/>
        <w:jc w:val="left"/>
        <w:rPr>
          <w:color w:val="000000"/>
          <w:szCs w:val="21"/>
          <w:lang w:eastAsia="zh-CN"/>
        </w:rPr>
      </w:pPr>
      <w:permStart w:id="4" w:edGrp="everyone"/>
      <w:r>
        <w:rPr>
          <w:color w:val="000000"/>
          <w:szCs w:val="21"/>
          <w:lang w:eastAsia="zh-CN"/>
        </w:rPr>
        <w:t>电气安全应符合GB4793.1和GB4793.4的要求。</w:t>
      </w:r>
    </w:p>
    <w:p>
      <w:pPr>
        <w:pStyle w:val="36"/>
        <w:numPr>
          <w:ilvl w:val="0"/>
          <w:numId w:val="5"/>
        </w:numPr>
        <w:spacing w:before="0" w:line="360" w:lineRule="auto"/>
        <w:ind w:left="777"/>
        <w:jc w:val="left"/>
        <w:rPr>
          <w:color w:val="000000"/>
          <w:szCs w:val="21"/>
          <w:lang w:eastAsia="zh-CN"/>
        </w:rPr>
      </w:pPr>
      <w:r>
        <w:rPr>
          <w:rFonts w:hint="eastAsia"/>
          <w:color w:val="000000"/>
          <w:szCs w:val="21"/>
          <w:lang w:eastAsia="zh-CN"/>
        </w:rPr>
        <w:t>有电气设备的电线和电缆必须依据</w:t>
      </w:r>
      <w:r>
        <w:rPr>
          <w:color w:val="000000"/>
          <w:szCs w:val="21"/>
          <w:lang w:eastAsia="zh-CN"/>
        </w:rPr>
        <w:t>ICE</w:t>
      </w:r>
      <w:r>
        <w:rPr>
          <w:rFonts w:hint="eastAsia"/>
          <w:color w:val="000000"/>
          <w:szCs w:val="21"/>
          <w:lang w:eastAsia="zh-CN"/>
        </w:rPr>
        <w:t>标准。</w:t>
      </w:r>
    </w:p>
    <w:p>
      <w:pPr>
        <w:pStyle w:val="36"/>
        <w:numPr>
          <w:ilvl w:val="0"/>
          <w:numId w:val="5"/>
        </w:numPr>
        <w:spacing w:before="0" w:line="360" w:lineRule="auto"/>
        <w:ind w:left="777"/>
        <w:jc w:val="left"/>
        <w:rPr>
          <w:color w:val="000000"/>
          <w:szCs w:val="21"/>
          <w:lang w:eastAsia="zh-CN"/>
        </w:rPr>
      </w:pPr>
      <w:r>
        <w:rPr>
          <w:rFonts w:hint="eastAsia"/>
          <w:color w:val="000000"/>
          <w:szCs w:val="21"/>
          <w:lang w:eastAsia="zh-CN"/>
        </w:rPr>
        <w:t>安全达到国内相关标准及</w:t>
      </w:r>
      <w:r>
        <w:rPr>
          <w:color w:val="000000"/>
          <w:szCs w:val="21"/>
          <w:lang w:eastAsia="zh-CN"/>
        </w:rPr>
        <w:t>CE</w:t>
      </w:r>
      <w:r>
        <w:rPr>
          <w:rFonts w:hint="eastAsia"/>
          <w:color w:val="000000"/>
          <w:szCs w:val="21"/>
          <w:lang w:eastAsia="zh-CN"/>
        </w:rPr>
        <w:t>标准要求</w:t>
      </w:r>
    </w:p>
    <w:p>
      <w:pPr>
        <w:pStyle w:val="36"/>
        <w:numPr>
          <w:ilvl w:val="0"/>
          <w:numId w:val="5"/>
        </w:numPr>
        <w:spacing w:before="0" w:line="360" w:lineRule="auto"/>
        <w:ind w:left="777"/>
        <w:jc w:val="left"/>
        <w:rPr>
          <w:color w:val="000000"/>
          <w:szCs w:val="21"/>
          <w:lang w:eastAsia="zh-CN"/>
        </w:rPr>
      </w:pPr>
      <w:r>
        <w:rPr>
          <w:rFonts w:hint="eastAsia"/>
          <w:color w:val="000000"/>
          <w:szCs w:val="21"/>
          <w:lang w:eastAsia="zh-CN"/>
        </w:rPr>
        <w:t>设备功能失调或者故障的情况下，必须配备所有必要的保护措施，保证设备和产品仍然处于一个安全状态。必须提供设施保证人员，产品和设备安全。</w:t>
      </w:r>
    </w:p>
    <w:permEnd w:id="4"/>
    <w:p>
      <w:pPr>
        <w:pStyle w:val="36"/>
        <w:spacing w:before="0" w:line="360" w:lineRule="auto"/>
        <w:jc w:val="left"/>
        <w:rPr>
          <w:i/>
          <w:szCs w:val="21"/>
          <w:lang w:eastAsia="zh-CN"/>
        </w:rPr>
      </w:pPr>
    </w:p>
    <w:p>
      <w:pPr>
        <w:pStyle w:val="44"/>
        <w:numPr>
          <w:ilvl w:val="0"/>
          <w:numId w:val="3"/>
        </w:numPr>
        <w:spacing w:after="158" w:afterLines="50" w:line="360" w:lineRule="auto"/>
        <w:ind w:left="426" w:hanging="426" w:hangingChars="202"/>
        <w:outlineLvl w:val="0"/>
        <w:rPr>
          <w:rFonts w:ascii="Times New Roman" w:hAnsi="Times New Roman"/>
          <w:b/>
        </w:rPr>
      </w:pPr>
      <w:bookmarkStart w:id="20" w:name="_Toc522107739"/>
      <w:bookmarkStart w:id="21" w:name="_Toc522716119"/>
      <w:bookmarkStart w:id="47" w:name="_GoBack"/>
      <w:bookmarkEnd w:id="47"/>
      <w:permStart w:id="5" w:edGrp="everyone"/>
      <w:permEnd w:id="5"/>
      <w:r>
        <w:rPr>
          <w:rFonts w:ascii="Times New Roman" w:hAnsi="Times New Roman"/>
          <w:b/>
        </w:rPr>
        <w:t>系统描述</w:t>
      </w:r>
      <w:bookmarkEnd w:id="20"/>
      <w:bookmarkEnd w:id="21"/>
    </w:p>
    <w:p>
      <w:pPr>
        <w:pStyle w:val="36"/>
        <w:spacing w:before="0" w:line="360" w:lineRule="auto"/>
        <w:ind w:left="357"/>
        <w:jc w:val="left"/>
        <w:rPr>
          <w:szCs w:val="21"/>
          <w:lang w:eastAsia="zh-CN"/>
        </w:rPr>
      </w:pPr>
      <w:permStart w:id="6" w:edGrp="everyone"/>
      <w:r>
        <w:rPr>
          <w:rFonts w:hint="eastAsia"/>
          <w:szCs w:val="21"/>
          <w:lang w:eastAsia="zh-CN"/>
        </w:rPr>
        <w:t>本U</w:t>
      </w:r>
      <w:r>
        <w:rPr>
          <w:szCs w:val="21"/>
          <w:lang w:eastAsia="zh-CN"/>
        </w:rPr>
        <w:t>RS</w:t>
      </w:r>
      <w:r>
        <w:rPr>
          <w:rFonts w:hint="eastAsia"/>
          <w:szCs w:val="21"/>
          <w:lang w:eastAsia="zh-CN"/>
        </w:rPr>
        <w:t>局部送排风设备设备包括2套通风橱、1套负压称量罩。其相关信息列表如下：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5166"/>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b/>
                <w:bCs/>
                <w:color w:val="000000"/>
                <w:kern w:val="2"/>
                <w:sz w:val="21"/>
                <w:szCs w:val="21"/>
                <w:lang w:val="it-IT" w:eastAsia="zh-CN"/>
              </w:rPr>
            </w:pPr>
            <w:r>
              <w:rPr>
                <w:rFonts w:hint="eastAsia"/>
                <w:b/>
                <w:bCs/>
                <w:color w:val="000000"/>
                <w:kern w:val="2"/>
                <w:sz w:val="21"/>
                <w:szCs w:val="21"/>
                <w:lang w:val="it-IT" w:eastAsia="zh-CN"/>
              </w:rPr>
              <w:t>设备名称</w:t>
            </w:r>
          </w:p>
        </w:tc>
        <w:tc>
          <w:tcPr>
            <w:tcW w:w="5166" w:type="dxa"/>
            <w:vAlign w:val="center"/>
          </w:tcPr>
          <w:p>
            <w:pPr>
              <w:pStyle w:val="36"/>
              <w:spacing w:before="0" w:line="360" w:lineRule="auto"/>
              <w:jc w:val="center"/>
              <w:rPr>
                <w:b/>
                <w:bCs/>
                <w:color w:val="000000"/>
                <w:kern w:val="2"/>
                <w:sz w:val="21"/>
                <w:szCs w:val="21"/>
                <w:lang w:val="it-IT" w:eastAsia="zh-CN"/>
              </w:rPr>
            </w:pPr>
            <w:r>
              <w:rPr>
                <w:rFonts w:hint="eastAsia"/>
                <w:b/>
                <w:bCs/>
                <w:color w:val="000000"/>
                <w:kern w:val="2"/>
                <w:sz w:val="21"/>
                <w:szCs w:val="21"/>
                <w:lang w:val="it-IT" w:eastAsia="zh-CN"/>
              </w:rPr>
              <w:t>用途</w:t>
            </w:r>
          </w:p>
        </w:tc>
        <w:tc>
          <w:tcPr>
            <w:tcW w:w="2856" w:type="dxa"/>
            <w:vAlign w:val="center"/>
          </w:tcPr>
          <w:p>
            <w:pPr>
              <w:pStyle w:val="36"/>
              <w:spacing w:before="0" w:line="360" w:lineRule="auto"/>
              <w:jc w:val="center"/>
              <w:rPr>
                <w:b/>
                <w:bCs/>
                <w:color w:val="000000"/>
                <w:kern w:val="2"/>
                <w:sz w:val="21"/>
                <w:szCs w:val="21"/>
                <w:lang w:val="it-IT" w:eastAsia="zh-CN"/>
              </w:rPr>
            </w:pPr>
            <w:r>
              <w:rPr>
                <w:rFonts w:hint="eastAsia"/>
                <w:b/>
                <w:bCs/>
                <w:color w:val="000000"/>
                <w:kern w:val="2"/>
                <w:sz w:val="21"/>
                <w:szCs w:val="21"/>
                <w:lang w:val="it-IT"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color w:val="000000"/>
                <w:kern w:val="2"/>
                <w:sz w:val="21"/>
                <w:szCs w:val="21"/>
                <w:lang w:val="it-IT" w:eastAsia="zh-CN"/>
              </w:rPr>
            </w:pPr>
            <w:r>
              <w:rPr>
                <w:rFonts w:hint="eastAsia"/>
                <w:szCs w:val="21"/>
                <w:lang w:eastAsia="zh-CN"/>
              </w:rPr>
              <w:t>通风橱1#</w:t>
            </w:r>
          </w:p>
        </w:tc>
        <w:tc>
          <w:tcPr>
            <w:tcW w:w="516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杀菌用甲醛溶液配制时，抽排操作区域气体，防止甲醛等挥发性成分被操作人员吸入危害其健康</w:t>
            </w:r>
          </w:p>
        </w:tc>
        <w:tc>
          <w:tcPr>
            <w:tcW w:w="285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白喉原液车间活菌活毒D级区甲醛称量间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color w:val="000000"/>
                <w:kern w:val="2"/>
                <w:sz w:val="21"/>
                <w:szCs w:val="21"/>
                <w:lang w:val="it-IT" w:eastAsia="zh-CN"/>
              </w:rPr>
            </w:pPr>
            <w:r>
              <w:rPr>
                <w:rFonts w:hint="eastAsia"/>
                <w:szCs w:val="21"/>
                <w:lang w:eastAsia="zh-CN"/>
              </w:rPr>
              <w:t>通风橱2#</w:t>
            </w:r>
          </w:p>
        </w:tc>
        <w:tc>
          <w:tcPr>
            <w:tcW w:w="516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脱毒用甲醛溶液配制时，抽排操作区域气体，防止甲醛等挥发性成分被操作人员吸入危害其健康</w:t>
            </w:r>
          </w:p>
        </w:tc>
        <w:tc>
          <w:tcPr>
            <w:tcW w:w="285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白喉原液车间死菌活毒C级区甲醛称量间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color w:val="000000"/>
                <w:kern w:val="2"/>
                <w:sz w:val="21"/>
                <w:szCs w:val="21"/>
                <w:lang w:val="it-IT" w:eastAsia="zh-CN"/>
              </w:rPr>
            </w:pPr>
            <w:r>
              <w:rPr>
                <w:rFonts w:hint="eastAsia"/>
                <w:szCs w:val="21"/>
                <w:lang w:eastAsia="zh-CN"/>
              </w:rPr>
              <w:t>负压称量罩</w:t>
            </w:r>
          </w:p>
        </w:tc>
        <w:tc>
          <w:tcPr>
            <w:tcW w:w="516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活性炭称量时，抽排操作区域气体，防止活性炭等粉尘被操作人员吸入危害其健康</w:t>
            </w:r>
          </w:p>
        </w:tc>
        <w:tc>
          <w:tcPr>
            <w:tcW w:w="285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白喉原液车间无菌无毒D级区活性炭称量间</w:t>
            </w:r>
          </w:p>
        </w:tc>
      </w:tr>
      <w:permEnd w:id="6"/>
    </w:tbl>
    <w:p>
      <w:pPr>
        <w:pStyle w:val="44"/>
        <w:numPr>
          <w:ilvl w:val="0"/>
          <w:numId w:val="3"/>
        </w:numPr>
        <w:spacing w:after="158" w:afterLines="50" w:line="360" w:lineRule="auto"/>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10"/>
        <w:gridCol w:w="1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spacing w:line="360" w:lineRule="auto"/>
              <w:jc w:val="center"/>
              <w:rPr>
                <w:b/>
                <w:szCs w:val="21"/>
              </w:rPr>
            </w:pPr>
            <w:bookmarkStart w:id="23" w:name="OLE_LINK2"/>
            <w:bookmarkStart w:id="24" w:name="OLE_LINK1"/>
            <w:permStart w:id="7" w:edGrp="everyone"/>
            <w:permEnd w:id="7"/>
            <w:r>
              <w:rPr>
                <w:b/>
                <w:szCs w:val="21"/>
              </w:rPr>
              <w:t>编号</w:t>
            </w:r>
          </w:p>
        </w:tc>
        <w:tc>
          <w:tcPr>
            <w:tcW w:w="7128" w:type="dxa"/>
            <w:gridSpan w:val="2"/>
            <w:shd w:val="clear" w:color="auto" w:fill="D9D9D9"/>
            <w:vAlign w:val="center"/>
          </w:tcPr>
          <w:p>
            <w:pPr>
              <w:spacing w:line="360" w:lineRule="auto"/>
              <w:jc w:val="center"/>
              <w:rPr>
                <w:b/>
                <w:szCs w:val="21"/>
                <w:lang w:eastAsia="zh-CN"/>
              </w:rPr>
            </w:pPr>
            <w:r>
              <w:rPr>
                <w:b/>
                <w:szCs w:val="21"/>
                <w:lang w:eastAsia="zh-CN"/>
              </w:rPr>
              <w:t>需求</w:t>
            </w:r>
          </w:p>
        </w:tc>
        <w:tc>
          <w:tcPr>
            <w:tcW w:w="2125"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spacing w:line="360" w:lineRule="auto"/>
              <w:ind w:firstLineChars="0"/>
              <w:rPr>
                <w:rFonts w:ascii="Times New Roman" w:hAnsi="Times New Roman"/>
                <w:szCs w:val="21"/>
              </w:rPr>
            </w:pPr>
          </w:p>
        </w:tc>
        <w:tc>
          <w:tcPr>
            <w:tcW w:w="9253" w:type="dxa"/>
            <w:gridSpan w:val="3"/>
            <w:shd w:val="clear" w:color="auto" w:fill="D9D9D9"/>
            <w:vAlign w:val="center"/>
          </w:tcPr>
          <w:p>
            <w:pPr>
              <w:spacing w:line="360" w:lineRule="auto"/>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8" w:edGrp="everyone"/>
          </w:p>
        </w:tc>
        <w:tc>
          <w:tcPr>
            <w:tcW w:w="7128" w:type="dxa"/>
            <w:gridSpan w:val="2"/>
            <w:vAlign w:val="center"/>
          </w:tcPr>
          <w:p>
            <w:pPr>
              <w:spacing w:line="360" w:lineRule="auto"/>
              <w:jc w:val="both"/>
              <w:rPr>
                <w:color w:val="000000"/>
                <w:szCs w:val="21"/>
                <w:lang w:val="it-IT" w:eastAsia="zh-CN"/>
              </w:rPr>
            </w:pPr>
            <w:r>
              <w:rPr>
                <w:rFonts w:hint="eastAsia"/>
                <w:color w:val="000000"/>
                <w:szCs w:val="21"/>
                <w:lang w:eastAsia="zh-CN"/>
              </w:rPr>
              <w:t>细菌类疫苗室联合疫苗大楼白喉原液车间</w:t>
            </w:r>
            <w:r>
              <w:rPr>
                <w:rFonts w:hint="eastAsia"/>
                <w:color w:val="000000"/>
                <w:szCs w:val="21"/>
                <w:lang w:val="it-IT" w:eastAsia="zh-CN"/>
              </w:rPr>
              <w:t>，具体安装房间如下：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b/>
                      <w:bCs/>
                      <w:color w:val="000000"/>
                      <w:kern w:val="2"/>
                      <w:sz w:val="21"/>
                      <w:szCs w:val="21"/>
                      <w:lang w:val="it-IT" w:eastAsia="zh-CN"/>
                    </w:rPr>
                  </w:pPr>
                  <w:r>
                    <w:rPr>
                      <w:rFonts w:hint="eastAsia"/>
                      <w:b/>
                      <w:bCs/>
                      <w:color w:val="000000"/>
                      <w:kern w:val="2"/>
                      <w:sz w:val="21"/>
                      <w:szCs w:val="21"/>
                      <w:lang w:val="it-IT" w:eastAsia="zh-CN"/>
                    </w:rPr>
                    <w:t>设备名称</w:t>
                  </w:r>
                </w:p>
              </w:tc>
              <w:tc>
                <w:tcPr>
                  <w:tcW w:w="4690" w:type="dxa"/>
                  <w:vAlign w:val="center"/>
                </w:tcPr>
                <w:p>
                  <w:pPr>
                    <w:pStyle w:val="36"/>
                    <w:spacing w:before="0" w:line="360" w:lineRule="auto"/>
                    <w:jc w:val="center"/>
                    <w:rPr>
                      <w:b/>
                      <w:bCs/>
                      <w:color w:val="000000"/>
                      <w:kern w:val="2"/>
                      <w:sz w:val="21"/>
                      <w:szCs w:val="21"/>
                      <w:lang w:val="it-IT" w:eastAsia="zh-CN"/>
                    </w:rPr>
                  </w:pPr>
                  <w:r>
                    <w:rPr>
                      <w:rFonts w:hint="eastAsia"/>
                      <w:b/>
                      <w:bCs/>
                      <w:color w:val="000000"/>
                      <w:kern w:val="2"/>
                      <w:sz w:val="21"/>
                      <w:szCs w:val="21"/>
                      <w:lang w:val="it-IT"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color w:val="000000"/>
                      <w:kern w:val="2"/>
                      <w:sz w:val="21"/>
                      <w:szCs w:val="21"/>
                      <w:lang w:val="it-IT" w:eastAsia="zh-CN"/>
                    </w:rPr>
                  </w:pPr>
                  <w:r>
                    <w:rPr>
                      <w:rFonts w:hint="eastAsia"/>
                      <w:szCs w:val="21"/>
                      <w:lang w:eastAsia="zh-CN"/>
                    </w:rPr>
                    <w:t>通风橱1#</w:t>
                  </w:r>
                </w:p>
              </w:tc>
              <w:tc>
                <w:tcPr>
                  <w:tcW w:w="4690"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白喉原液车间活菌活毒D级区甲醛称量间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color w:val="000000"/>
                      <w:kern w:val="2"/>
                      <w:sz w:val="21"/>
                      <w:szCs w:val="21"/>
                      <w:lang w:val="it-IT" w:eastAsia="zh-CN"/>
                    </w:rPr>
                  </w:pPr>
                  <w:r>
                    <w:rPr>
                      <w:rFonts w:hint="eastAsia"/>
                      <w:szCs w:val="21"/>
                      <w:lang w:eastAsia="zh-CN"/>
                    </w:rPr>
                    <w:t>通风橱2#</w:t>
                  </w:r>
                </w:p>
              </w:tc>
              <w:tc>
                <w:tcPr>
                  <w:tcW w:w="4690"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白喉原液车间死菌活毒C级区甲醛称量间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color w:val="000000"/>
                      <w:kern w:val="2"/>
                      <w:sz w:val="21"/>
                      <w:szCs w:val="21"/>
                      <w:lang w:val="it-IT" w:eastAsia="zh-CN"/>
                    </w:rPr>
                  </w:pPr>
                  <w:r>
                    <w:rPr>
                      <w:rFonts w:hint="eastAsia"/>
                      <w:szCs w:val="21"/>
                      <w:lang w:eastAsia="zh-CN"/>
                    </w:rPr>
                    <w:t>负压称量罩</w:t>
                  </w:r>
                </w:p>
              </w:tc>
              <w:tc>
                <w:tcPr>
                  <w:tcW w:w="4690"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白喉原液车间无菌无毒D级区活性炭称量间</w:t>
                  </w:r>
                </w:p>
              </w:tc>
            </w:tr>
          </w:tbl>
          <w:p>
            <w:pPr>
              <w:spacing w:line="360" w:lineRule="auto"/>
              <w:jc w:val="both"/>
              <w:rPr>
                <w:color w:val="000000"/>
                <w:szCs w:val="21"/>
                <w:lang w:eastAsia="zh-CN"/>
              </w:rPr>
            </w:pPr>
          </w:p>
        </w:tc>
        <w:tc>
          <w:tcPr>
            <w:tcW w:w="2125" w:type="dxa"/>
            <w:vAlign w:val="center"/>
          </w:tcPr>
          <w:p>
            <w:pPr>
              <w:spacing w:line="360" w:lineRule="auto"/>
              <w:jc w:val="center"/>
              <w:rPr>
                <w:i/>
                <w:szCs w:val="21"/>
                <w:lang w:eastAsia="zh-CN"/>
              </w:rPr>
            </w:pPr>
            <w:r>
              <w:rPr>
                <w:rFonts w:hint="eastAsia"/>
                <w:szCs w:val="21"/>
                <w:lang w:eastAsia="zh-CN"/>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spacing w:line="360" w:lineRule="auto"/>
              <w:ind w:firstLineChars="0"/>
              <w:rPr>
                <w:rFonts w:ascii="Times New Roman" w:hAnsi="Times New Roman"/>
                <w:szCs w:val="21"/>
              </w:rPr>
            </w:pPr>
          </w:p>
        </w:tc>
        <w:tc>
          <w:tcPr>
            <w:tcW w:w="9253" w:type="dxa"/>
            <w:gridSpan w:val="3"/>
            <w:shd w:val="clear" w:color="auto" w:fill="D9D9D9"/>
            <w:vAlign w:val="center"/>
          </w:tcPr>
          <w:p>
            <w:pPr>
              <w:spacing w:line="360" w:lineRule="auto"/>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9" w:edGrp="everyone"/>
          </w:p>
        </w:tc>
        <w:tc>
          <w:tcPr>
            <w:tcW w:w="7128" w:type="dxa"/>
            <w:gridSpan w:val="2"/>
            <w:vAlign w:val="center"/>
          </w:tcPr>
          <w:p>
            <w:pPr>
              <w:spacing w:line="360" w:lineRule="auto"/>
              <w:jc w:val="both"/>
              <w:rPr>
                <w:b/>
                <w:bCs/>
                <w:szCs w:val="21"/>
                <w:lang w:eastAsia="zh-CN"/>
              </w:rPr>
            </w:pPr>
            <w:r>
              <w:rPr>
                <w:rFonts w:hint="eastAsia"/>
                <w:b/>
                <w:bCs/>
                <w:szCs w:val="21"/>
                <w:lang w:eastAsia="zh-CN"/>
              </w:rPr>
              <w:t>通风橱1#和通风橱</w:t>
            </w:r>
            <w:r>
              <w:rPr>
                <w:b/>
                <w:bCs/>
                <w:szCs w:val="21"/>
                <w:lang w:eastAsia="zh-CN"/>
              </w:rPr>
              <w:t>2</w:t>
            </w:r>
            <w:r>
              <w:rPr>
                <w:rFonts w:hint="eastAsia"/>
                <w:b/>
                <w:bCs/>
                <w:szCs w:val="21"/>
                <w:lang w:eastAsia="zh-CN"/>
              </w:rPr>
              <w:t>#：</w:t>
            </w:r>
          </w:p>
          <w:p>
            <w:pPr>
              <w:spacing w:line="360" w:lineRule="auto"/>
              <w:jc w:val="both"/>
              <w:rPr>
                <w:rFonts w:ascii="Times New Roman" w:hAnsi="Times New Roman"/>
                <w:szCs w:val="21"/>
                <w:lang w:eastAsia="zh-CN"/>
              </w:rPr>
            </w:pPr>
            <w:r>
              <w:rPr>
                <w:rFonts w:hint="eastAsia" w:ascii="Times New Roman" w:hAnsi="Times New Roman"/>
                <w:szCs w:val="21"/>
                <w:lang w:eastAsia="zh-CN"/>
              </w:rPr>
              <w:t>内室操作空间：长×宽×高，1</w:t>
            </w:r>
            <w:r>
              <w:rPr>
                <w:rFonts w:ascii="Times New Roman" w:hAnsi="Times New Roman"/>
                <w:szCs w:val="21"/>
                <w:lang w:eastAsia="zh-CN"/>
              </w:rPr>
              <w:t>500</w:t>
            </w:r>
            <w:r>
              <w:rPr>
                <w:rFonts w:hint="eastAsia" w:ascii="Times New Roman" w:hAnsi="Times New Roman"/>
                <w:szCs w:val="21"/>
                <w:lang w:eastAsia="zh-CN"/>
              </w:rPr>
              <w:t>mm×</w:t>
            </w:r>
            <w:r>
              <w:rPr>
                <w:rFonts w:ascii="Times New Roman" w:hAnsi="Times New Roman"/>
                <w:szCs w:val="21"/>
                <w:lang w:eastAsia="zh-CN"/>
              </w:rPr>
              <w:t>800</w:t>
            </w:r>
            <w:r>
              <w:rPr>
                <w:rFonts w:hint="eastAsia" w:ascii="Times New Roman" w:hAnsi="Times New Roman"/>
                <w:szCs w:val="21"/>
                <w:lang w:eastAsia="zh-CN"/>
              </w:rPr>
              <w:t>mm×1</w:t>
            </w:r>
            <w:r>
              <w:rPr>
                <w:rFonts w:ascii="Times New Roman" w:hAnsi="Times New Roman"/>
                <w:szCs w:val="21"/>
                <w:lang w:eastAsia="zh-CN"/>
              </w:rPr>
              <w:t>100</w:t>
            </w:r>
            <w:r>
              <w:rPr>
                <w:rFonts w:hint="eastAsia" w:ascii="Times New Roman" w:hAnsi="Times New Roman"/>
                <w:szCs w:val="21"/>
                <w:lang w:eastAsia="zh-CN"/>
              </w:rPr>
              <w:t>mm</w:t>
            </w:r>
          </w:p>
          <w:p>
            <w:pPr>
              <w:spacing w:line="360" w:lineRule="auto"/>
              <w:jc w:val="both"/>
              <w:rPr>
                <w:rFonts w:ascii="Times New Roman" w:hAnsi="Times New Roman"/>
                <w:szCs w:val="21"/>
                <w:lang w:eastAsia="zh-CN"/>
              </w:rPr>
            </w:pPr>
            <w:r>
              <w:rPr>
                <w:rFonts w:hint="eastAsia" w:ascii="Times New Roman" w:hAnsi="Times New Roman"/>
                <w:szCs w:val="21"/>
                <w:lang w:eastAsia="zh-CN"/>
              </w:rPr>
              <w:t>台面高度：8</w:t>
            </w:r>
            <w:r>
              <w:rPr>
                <w:rFonts w:ascii="Times New Roman" w:hAnsi="Times New Roman"/>
                <w:szCs w:val="21"/>
                <w:lang w:eastAsia="zh-CN"/>
              </w:rPr>
              <w:t>00</w:t>
            </w:r>
            <w:r>
              <w:rPr>
                <w:rFonts w:hint="eastAsia" w:ascii="Times New Roman" w:hAnsi="Times New Roman"/>
                <w:szCs w:val="21"/>
                <w:lang w:eastAsia="zh-CN"/>
              </w:rPr>
              <w:t>mm</w:t>
            </w:r>
          </w:p>
          <w:p>
            <w:pPr>
              <w:spacing w:line="360" w:lineRule="auto"/>
              <w:jc w:val="both"/>
              <w:rPr>
                <w:rFonts w:ascii="Times New Roman" w:hAnsi="Times New Roman"/>
                <w:szCs w:val="21"/>
                <w:lang w:eastAsia="zh-CN"/>
              </w:rPr>
            </w:pPr>
            <w:r>
              <w:rPr>
                <w:rFonts w:hint="eastAsia" w:ascii="Arial" w:hAnsi="Arial" w:cs="Arial"/>
                <w:szCs w:val="21"/>
                <w:lang w:eastAsia="zh-CN"/>
              </w:rPr>
              <w:t>移门</w:t>
            </w:r>
            <w:r>
              <w:rPr>
                <w:rFonts w:ascii="Arial" w:hAnsi="Arial" w:cs="Arial"/>
                <w:szCs w:val="21"/>
                <w:lang w:eastAsia="zh-CN"/>
              </w:rPr>
              <w:t>最大开启高度：</w:t>
            </w:r>
            <w:r>
              <w:rPr>
                <w:rFonts w:hint="eastAsia" w:ascii="宋体" w:hAnsi="宋体" w:cs="Arial"/>
                <w:szCs w:val="21"/>
                <w:lang w:eastAsia="zh-CN"/>
              </w:rPr>
              <w:t>≥</w:t>
            </w:r>
            <w:r>
              <w:rPr>
                <w:rFonts w:ascii="Arial" w:hAnsi="Arial" w:cs="Arial"/>
                <w:szCs w:val="21"/>
                <w:lang w:eastAsia="zh-CN"/>
              </w:rPr>
              <w:t>750mm</w:t>
            </w:r>
          </w:p>
          <w:p>
            <w:pPr>
              <w:spacing w:line="360" w:lineRule="auto"/>
              <w:jc w:val="both"/>
              <w:rPr>
                <w:b/>
                <w:bCs/>
                <w:szCs w:val="21"/>
                <w:lang w:eastAsia="zh-CN"/>
              </w:rPr>
            </w:pPr>
            <w:r>
              <w:rPr>
                <w:rFonts w:hint="eastAsia"/>
                <w:b/>
                <w:bCs/>
                <w:szCs w:val="21"/>
                <w:lang w:eastAsia="zh-CN"/>
              </w:rPr>
              <w:t>负压称量罩：</w:t>
            </w:r>
          </w:p>
          <w:p>
            <w:pPr>
              <w:spacing w:line="360" w:lineRule="auto"/>
              <w:jc w:val="both"/>
              <w:rPr>
                <w:rFonts w:ascii="Times New Roman" w:hAnsi="Times New Roman"/>
                <w:szCs w:val="21"/>
                <w:lang w:eastAsia="zh-CN"/>
              </w:rPr>
            </w:pPr>
            <w:r>
              <w:rPr>
                <w:rFonts w:hint="eastAsia" w:ascii="Times New Roman" w:hAnsi="Times New Roman"/>
                <w:szCs w:val="21"/>
                <w:lang w:eastAsia="zh-CN"/>
              </w:rPr>
              <w:t>安装房间空间：长×宽×高，</w:t>
            </w:r>
            <w:r>
              <w:rPr>
                <w:rFonts w:ascii="Times New Roman" w:hAnsi="Times New Roman"/>
                <w:szCs w:val="21"/>
                <w:lang w:eastAsia="zh-CN"/>
              </w:rPr>
              <w:t>3000</w:t>
            </w:r>
            <w:r>
              <w:rPr>
                <w:rFonts w:hint="eastAsia" w:ascii="Times New Roman" w:hAnsi="Times New Roman"/>
                <w:szCs w:val="21"/>
                <w:lang w:eastAsia="zh-CN"/>
              </w:rPr>
              <w:t>mm×2</w:t>
            </w:r>
            <w:r>
              <w:rPr>
                <w:rFonts w:ascii="Times New Roman" w:hAnsi="Times New Roman"/>
                <w:szCs w:val="21"/>
                <w:lang w:eastAsia="zh-CN"/>
              </w:rPr>
              <w:t>650</w:t>
            </w:r>
            <w:r>
              <w:rPr>
                <w:rFonts w:hint="eastAsia" w:ascii="Times New Roman" w:hAnsi="Times New Roman"/>
                <w:szCs w:val="21"/>
                <w:lang w:eastAsia="zh-CN"/>
              </w:rPr>
              <w:t>mm×(2</w:t>
            </w:r>
            <w:r>
              <w:rPr>
                <w:rFonts w:ascii="Times New Roman" w:hAnsi="Times New Roman"/>
                <w:szCs w:val="21"/>
                <w:lang w:eastAsia="zh-CN"/>
              </w:rPr>
              <w:t>600</w:t>
            </w:r>
            <w:r>
              <w:rPr>
                <w:rFonts w:hint="eastAsia" w:ascii="Times New Roman" w:hAnsi="Times New Roman"/>
                <w:szCs w:val="21"/>
                <w:lang w:eastAsia="zh-CN"/>
              </w:rPr>
              <w:t>~</w:t>
            </w:r>
            <w:r>
              <w:rPr>
                <w:rFonts w:ascii="Times New Roman" w:hAnsi="Times New Roman"/>
                <w:szCs w:val="21"/>
                <w:lang w:eastAsia="zh-CN"/>
              </w:rPr>
              <w:t>2800</w:t>
            </w:r>
            <w:r>
              <w:rPr>
                <w:rFonts w:hint="eastAsia" w:ascii="Times New Roman" w:hAnsi="Times New Roman"/>
                <w:szCs w:val="21"/>
                <w:lang w:eastAsia="zh-CN"/>
              </w:rPr>
              <w:t>mm）</w:t>
            </w:r>
          </w:p>
          <w:p>
            <w:pPr>
              <w:spacing w:line="360" w:lineRule="auto"/>
              <w:jc w:val="both"/>
              <w:rPr>
                <w:rFonts w:ascii="Times New Roman" w:hAnsi="Times New Roman"/>
                <w:szCs w:val="21"/>
                <w:lang w:eastAsia="zh-CN"/>
              </w:rPr>
            </w:pPr>
            <w:r>
              <w:rPr>
                <w:rFonts w:hint="eastAsia" w:ascii="Times New Roman" w:hAnsi="Times New Roman"/>
                <w:szCs w:val="21"/>
                <w:lang w:eastAsia="zh-CN"/>
              </w:rPr>
              <w:t>工作区域空间：长×宽×高，</w:t>
            </w:r>
            <w:r>
              <w:rPr>
                <w:rFonts w:ascii="Times New Roman" w:hAnsi="Times New Roman"/>
                <w:szCs w:val="21"/>
                <w:lang w:eastAsia="zh-CN"/>
              </w:rPr>
              <w:t>3000</w:t>
            </w:r>
            <w:r>
              <w:rPr>
                <w:rFonts w:hint="eastAsia" w:ascii="Times New Roman" w:hAnsi="Times New Roman"/>
                <w:szCs w:val="21"/>
                <w:lang w:eastAsia="zh-CN"/>
              </w:rPr>
              <w:t>mm×1</w:t>
            </w:r>
            <w:r>
              <w:rPr>
                <w:rFonts w:ascii="Times New Roman" w:hAnsi="Times New Roman"/>
                <w:szCs w:val="21"/>
                <w:lang w:eastAsia="zh-CN"/>
              </w:rPr>
              <w:t>000</w:t>
            </w:r>
            <w:r>
              <w:rPr>
                <w:rFonts w:hint="eastAsia" w:ascii="Times New Roman" w:hAnsi="Times New Roman"/>
                <w:szCs w:val="21"/>
                <w:lang w:eastAsia="zh-CN"/>
              </w:rPr>
              <w:t>×</w:t>
            </w:r>
            <w:r>
              <w:rPr>
                <w:rFonts w:ascii="Times New Roman" w:hAnsi="Times New Roman"/>
                <w:szCs w:val="21"/>
                <w:lang w:eastAsia="zh-CN"/>
              </w:rPr>
              <w:t>2000</w:t>
            </w:r>
            <w:r>
              <w:rPr>
                <w:rFonts w:hint="eastAsia" w:ascii="Times New Roman" w:hAnsi="Times New Roman"/>
                <w:szCs w:val="21"/>
                <w:lang w:eastAsia="zh-CN"/>
              </w:rPr>
              <w:t>mm</w:t>
            </w:r>
          </w:p>
        </w:tc>
        <w:tc>
          <w:tcPr>
            <w:tcW w:w="2125" w:type="dxa"/>
            <w:vAlign w:val="center"/>
          </w:tcPr>
          <w:p>
            <w:pPr>
              <w:spacing w:line="360" w:lineRule="auto"/>
              <w:jc w:val="center"/>
              <w:rPr>
                <w:rFonts w:ascii="Times New Roman" w:hAnsi="Times New Roman"/>
                <w:szCs w:val="21"/>
                <w:lang w:eastAsia="zh-CN"/>
              </w:rPr>
            </w:pPr>
            <w:r>
              <w:rPr>
                <w:rFonts w:ascii="Times New Roman" w:hAnsi="Times New Roman"/>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10" w:edGrp="everyone"/>
          </w:p>
        </w:tc>
        <w:tc>
          <w:tcPr>
            <w:tcW w:w="7128" w:type="dxa"/>
            <w:gridSpan w:val="2"/>
            <w:vAlign w:val="center"/>
          </w:tcPr>
          <w:p>
            <w:pPr>
              <w:spacing w:line="360" w:lineRule="auto"/>
              <w:jc w:val="both"/>
              <w:rPr>
                <w:rFonts w:ascii="Times New Roman" w:hAnsi="Times New Roman"/>
                <w:color w:val="000000"/>
                <w:szCs w:val="21"/>
                <w:lang w:eastAsia="zh-CN"/>
              </w:rPr>
            </w:pPr>
            <w:r>
              <w:rPr>
                <w:rFonts w:ascii="Times New Roman" w:hAnsi="Times New Roman"/>
                <w:color w:val="000000"/>
                <w:szCs w:val="21"/>
                <w:lang w:eastAsia="zh-CN"/>
              </w:rPr>
              <w:t>设备的形式尺寸应符合制造商说明书及技术文件规定的要求。</w:t>
            </w:r>
          </w:p>
        </w:tc>
        <w:tc>
          <w:tcPr>
            <w:tcW w:w="2125" w:type="dxa"/>
            <w:vAlign w:val="center"/>
          </w:tcPr>
          <w:p>
            <w:pPr>
              <w:spacing w:line="360" w:lineRule="auto"/>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gridSpan w:val="2"/>
            <w:vAlign w:val="center"/>
          </w:tcPr>
          <w:p>
            <w:pPr>
              <w:spacing w:line="360" w:lineRule="auto"/>
              <w:jc w:val="both"/>
              <w:rPr>
                <w:rFonts w:ascii="Times New Roman" w:hAnsi="Times New Roman"/>
                <w:color w:val="000000"/>
                <w:szCs w:val="21"/>
                <w:lang w:eastAsia="zh-CN"/>
              </w:rPr>
            </w:pPr>
            <w:r>
              <w:rPr>
                <w:rFonts w:ascii="Times New Roman" w:hAnsi="Times New Roman"/>
                <w:color w:val="000000"/>
                <w:szCs w:val="21"/>
                <w:lang w:eastAsia="zh-CN"/>
              </w:rPr>
              <w:t>供应商必须给出</w:t>
            </w:r>
            <w:r>
              <w:rPr>
                <w:rFonts w:hint="eastAsia"/>
                <w:szCs w:val="21"/>
                <w:lang w:eastAsia="zh-CN"/>
              </w:rPr>
              <w:t>通风橱、负压称量罩</w:t>
            </w:r>
            <w:r>
              <w:rPr>
                <w:rFonts w:ascii="Times New Roman" w:hAnsi="Times New Roman"/>
                <w:color w:val="000000"/>
                <w:szCs w:val="21"/>
                <w:lang w:eastAsia="zh-CN"/>
              </w:rPr>
              <w:t>选型方案及相应附件选型方案，并交给我公司使用部门及工程类部门审核。</w:t>
            </w:r>
          </w:p>
        </w:tc>
        <w:tc>
          <w:tcPr>
            <w:tcW w:w="2125" w:type="dxa"/>
            <w:vAlign w:val="center"/>
          </w:tcPr>
          <w:p>
            <w:pPr>
              <w:spacing w:line="360" w:lineRule="auto"/>
              <w:jc w:val="center"/>
              <w:rPr>
                <w:rFonts w:ascii="Times New Roman" w:hAnsi="Times New Roman"/>
                <w:szCs w:val="21"/>
                <w:lang w:eastAsia="zh-CN"/>
              </w:rPr>
            </w:pPr>
            <w:r>
              <w:rPr>
                <w:rFonts w:ascii="Times New Roman" w:hAnsi="Times New Roman"/>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spacing w:line="360" w:lineRule="auto"/>
              <w:ind w:firstLineChars="0"/>
              <w:rPr>
                <w:rFonts w:ascii="Times New Roman" w:hAnsi="Times New Roman"/>
                <w:szCs w:val="21"/>
              </w:rPr>
            </w:pPr>
          </w:p>
        </w:tc>
        <w:tc>
          <w:tcPr>
            <w:tcW w:w="9253" w:type="dxa"/>
            <w:gridSpan w:val="3"/>
            <w:shd w:val="clear" w:color="auto" w:fill="D9D9D9"/>
            <w:vAlign w:val="center"/>
          </w:tcPr>
          <w:p>
            <w:pPr>
              <w:spacing w:line="360" w:lineRule="auto"/>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spacing w:line="360" w:lineRule="auto"/>
              <w:ind w:left="426"/>
              <w:rPr>
                <w:szCs w:val="21"/>
              </w:rPr>
            </w:pPr>
            <w:permStart w:id="11" w:edGrp="everyone"/>
          </w:p>
        </w:tc>
        <w:tc>
          <w:tcPr>
            <w:tcW w:w="9253" w:type="dxa"/>
            <w:gridSpan w:val="3"/>
            <w:vAlign w:val="center"/>
          </w:tcPr>
          <w:p>
            <w:pPr>
              <w:spacing w:line="360" w:lineRule="auto"/>
              <w:jc w:val="both"/>
              <w:rPr>
                <w:szCs w:val="21"/>
                <w:lang w:eastAsia="zh-CN"/>
              </w:rPr>
            </w:pPr>
            <w:r>
              <w:rPr>
                <w:rFonts w:hint="eastAsia"/>
                <w:szCs w:val="21"/>
                <w:lang w:eastAsia="zh-CN"/>
              </w:rPr>
              <w:t>N/A</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spacing w:line="360" w:lineRule="auto"/>
              <w:ind w:firstLineChars="0"/>
              <w:rPr>
                <w:rFonts w:ascii="Times New Roman" w:hAnsi="Times New Roman"/>
                <w:szCs w:val="21"/>
              </w:rPr>
            </w:pPr>
          </w:p>
        </w:tc>
        <w:tc>
          <w:tcPr>
            <w:tcW w:w="9253" w:type="dxa"/>
            <w:gridSpan w:val="3"/>
            <w:shd w:val="clear" w:color="auto" w:fill="D9D9D9"/>
            <w:vAlign w:val="center"/>
          </w:tcPr>
          <w:p>
            <w:pPr>
              <w:spacing w:line="360" w:lineRule="auto"/>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7"/>
              </w:numPr>
              <w:spacing w:line="360" w:lineRule="auto"/>
              <w:ind w:left="470" w:hanging="120" w:firstLineChars="0"/>
              <w:rPr>
                <w:rFonts w:ascii="Times New Roman" w:hAnsi="Times New Roman"/>
                <w:color w:val="000000"/>
                <w:szCs w:val="21"/>
              </w:rPr>
            </w:pPr>
            <w:permStart w:id="12" w:edGrp="everyone"/>
          </w:p>
        </w:tc>
        <w:tc>
          <w:tcPr>
            <w:tcW w:w="7110" w:type="dxa"/>
            <w:vAlign w:val="center"/>
          </w:tcPr>
          <w:p>
            <w:pPr>
              <w:snapToGrid w:val="0"/>
              <w:spacing w:line="360" w:lineRule="auto"/>
              <w:rPr>
                <w:iCs/>
                <w:szCs w:val="21"/>
                <w:lang w:val="en-US" w:eastAsia="zh-CN"/>
              </w:rPr>
            </w:pPr>
            <w:r>
              <w:rPr>
                <w:rFonts w:hint="eastAsia"/>
                <w:iCs/>
                <w:szCs w:val="21"/>
                <w:lang w:val="en-US" w:eastAsia="zh-CN"/>
              </w:rPr>
              <w:t>注射用水：约1</w:t>
            </w:r>
            <w:r>
              <w:rPr>
                <w:iCs/>
                <w:szCs w:val="21"/>
                <w:lang w:val="en-US" w:eastAsia="zh-CN"/>
              </w:rPr>
              <w:t>.5</w:t>
            </w:r>
            <w:r>
              <w:rPr>
                <w:rFonts w:hint="eastAsia"/>
                <w:iCs/>
                <w:szCs w:val="21"/>
                <w:lang w:val="en-US" w:eastAsia="zh-CN"/>
              </w:rPr>
              <w:t>bar</w:t>
            </w:r>
          </w:p>
        </w:tc>
        <w:tc>
          <w:tcPr>
            <w:tcW w:w="2143" w:type="dxa"/>
            <w:gridSpan w:val="2"/>
            <w:vAlign w:val="center"/>
          </w:tcPr>
          <w:p>
            <w:pPr>
              <w:spacing w:line="360" w:lineRule="auto"/>
              <w:jc w:val="cente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spacing w:line="360" w:lineRule="auto"/>
              <w:ind w:firstLineChars="0"/>
              <w:rPr>
                <w:rFonts w:ascii="Times New Roman" w:hAnsi="Times New Roman"/>
                <w:szCs w:val="21"/>
              </w:rPr>
            </w:pPr>
          </w:p>
        </w:tc>
        <w:tc>
          <w:tcPr>
            <w:tcW w:w="9253" w:type="dxa"/>
            <w:gridSpan w:val="3"/>
            <w:shd w:val="clear" w:color="auto" w:fill="D9D9D9"/>
            <w:vAlign w:val="center"/>
          </w:tcPr>
          <w:p>
            <w:pPr>
              <w:spacing w:line="360" w:lineRule="auto"/>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13" w:edGrp="everyone"/>
          </w:p>
        </w:tc>
        <w:tc>
          <w:tcPr>
            <w:tcW w:w="7128" w:type="dxa"/>
            <w:gridSpan w:val="2"/>
            <w:vAlign w:val="center"/>
          </w:tcPr>
          <w:p>
            <w:pPr>
              <w:spacing w:line="360" w:lineRule="auto"/>
              <w:jc w:val="both"/>
              <w:rPr>
                <w:rFonts w:ascii="宋体" w:hAnsi="宋体"/>
                <w:iCs/>
                <w:lang w:eastAsia="zh-CN"/>
              </w:rPr>
            </w:pPr>
            <w:r>
              <w:rPr>
                <w:rFonts w:ascii="Times New Roman" w:hAnsi="Times New Roman"/>
                <w:color w:val="000000"/>
                <w:szCs w:val="21"/>
                <w:lang w:eastAsia="zh-CN"/>
              </w:rPr>
              <w:t>适用于我公司工作环境温度：</w:t>
            </w:r>
            <w:r>
              <w:rPr>
                <w:rFonts w:hint="eastAsia" w:ascii="Times New Roman" w:hAnsi="Times New Roman"/>
                <w:color w:val="000000"/>
                <w:szCs w:val="21"/>
                <w:lang w:eastAsia="zh-CN"/>
              </w:rPr>
              <w:t>能适应18</w:t>
            </w:r>
            <w:r>
              <w:rPr>
                <w:rFonts w:ascii="Times New Roman" w:hAnsi="Times New Roman"/>
                <w:color w:val="000000"/>
                <w:szCs w:val="21"/>
                <w:lang w:eastAsia="zh-CN"/>
              </w:rPr>
              <w:t>～</w:t>
            </w:r>
            <w:r>
              <w:rPr>
                <w:rFonts w:hint="eastAsia" w:ascii="Times New Roman" w:hAnsi="Times New Roman"/>
                <w:color w:val="000000"/>
                <w:szCs w:val="21"/>
                <w:lang w:eastAsia="zh-CN"/>
              </w:rPr>
              <w:t>26℃环境。</w:t>
            </w:r>
          </w:p>
        </w:tc>
        <w:tc>
          <w:tcPr>
            <w:tcW w:w="2125" w:type="dxa"/>
            <w:vAlign w:val="center"/>
          </w:tcPr>
          <w:p>
            <w:pPr>
              <w:spacing w:line="360" w:lineRule="auto"/>
              <w:jc w:val="center"/>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14" w:edGrp="everyone"/>
          </w:p>
        </w:tc>
        <w:tc>
          <w:tcPr>
            <w:tcW w:w="7128" w:type="dxa"/>
            <w:gridSpan w:val="2"/>
            <w:vAlign w:val="center"/>
          </w:tcPr>
          <w:p>
            <w:pPr>
              <w:spacing w:line="360" w:lineRule="auto"/>
              <w:jc w:val="both"/>
              <w:rPr>
                <w:rFonts w:ascii="Times New Roman" w:hAnsi="Times New Roman"/>
                <w:color w:val="000000"/>
                <w:szCs w:val="21"/>
                <w:lang w:eastAsia="zh-CN"/>
              </w:rPr>
            </w:pPr>
            <w:r>
              <w:rPr>
                <w:rFonts w:ascii="Times New Roman" w:hAnsi="Times New Roman"/>
                <w:color w:val="000000"/>
                <w:szCs w:val="21"/>
                <w:lang w:eastAsia="zh-CN"/>
              </w:rPr>
              <w:t>适用于我公司工作环境湿度：至少包括45%～65%</w:t>
            </w:r>
            <w:r>
              <w:rPr>
                <w:rFonts w:hint="eastAsia" w:ascii="Times New Roman" w:hAnsi="Times New Roman"/>
                <w:color w:val="000000"/>
                <w:szCs w:val="21"/>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15" w:edGrp="everyone"/>
          </w:p>
        </w:tc>
        <w:tc>
          <w:tcPr>
            <w:tcW w:w="7128" w:type="dxa"/>
            <w:gridSpan w:val="2"/>
            <w:vAlign w:val="center"/>
          </w:tcPr>
          <w:p>
            <w:pPr>
              <w:spacing w:line="360" w:lineRule="auto"/>
              <w:jc w:val="both"/>
              <w:rPr>
                <w:lang w:val="en-US" w:eastAsia="zh-CN"/>
              </w:rPr>
            </w:pPr>
            <w:r>
              <w:rPr>
                <w:rFonts w:ascii="Times New Roman" w:hAnsi="Times New Roman"/>
                <w:color w:val="000000"/>
                <w:szCs w:val="21"/>
                <w:lang w:eastAsia="zh-CN"/>
              </w:rPr>
              <w:t>适用于我公司工作环境洁净级别：</w:t>
            </w:r>
            <w:r>
              <w:rPr>
                <w:rFonts w:hint="eastAsia" w:ascii="Times New Roman" w:hAnsi="Times New Roman"/>
                <w:color w:val="000000"/>
                <w:szCs w:val="21"/>
                <w:lang w:eastAsia="zh-CN"/>
              </w:rPr>
              <w:t>通风橱1#</w:t>
            </w:r>
            <w:r>
              <w:rPr>
                <w:rFonts w:ascii="Times New Roman" w:hAnsi="Times New Roman"/>
                <w:color w:val="000000"/>
                <w:szCs w:val="21"/>
                <w:lang w:eastAsia="zh-CN"/>
              </w:rPr>
              <w:t>D</w:t>
            </w:r>
            <w:r>
              <w:rPr>
                <w:rFonts w:hint="eastAsia" w:ascii="Times New Roman" w:hAnsi="Times New Roman"/>
                <w:color w:val="000000"/>
                <w:szCs w:val="21"/>
                <w:lang w:eastAsia="zh-CN"/>
              </w:rPr>
              <w:t>级、通风橱2#</w:t>
            </w:r>
            <w:r>
              <w:rPr>
                <w:rFonts w:ascii="Times New Roman" w:hAnsi="Times New Roman"/>
                <w:color w:val="000000"/>
                <w:szCs w:val="21"/>
                <w:lang w:eastAsia="zh-CN"/>
              </w:rPr>
              <w:t>C</w:t>
            </w:r>
            <w:r>
              <w:rPr>
                <w:rFonts w:hint="eastAsia" w:ascii="Times New Roman" w:hAnsi="Times New Roman"/>
                <w:color w:val="000000"/>
                <w:szCs w:val="21"/>
                <w:lang w:eastAsia="zh-CN"/>
              </w:rPr>
              <w:t>级、负压称量罩D级。</w:t>
            </w:r>
          </w:p>
        </w:tc>
        <w:tc>
          <w:tcPr>
            <w:tcW w:w="2125" w:type="dxa"/>
            <w:vAlign w:val="center"/>
          </w:tcPr>
          <w:p>
            <w:pPr>
              <w:spacing w:line="360" w:lineRule="auto"/>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spacing w:line="360" w:lineRule="auto"/>
              <w:ind w:firstLineChars="0"/>
              <w:rPr>
                <w:rFonts w:ascii="Times New Roman" w:hAnsi="Times New Roman"/>
                <w:szCs w:val="21"/>
              </w:rPr>
            </w:pPr>
          </w:p>
        </w:tc>
        <w:tc>
          <w:tcPr>
            <w:tcW w:w="9253" w:type="dxa"/>
            <w:gridSpan w:val="3"/>
            <w:shd w:val="clear" w:color="auto" w:fill="D9D9D9"/>
            <w:vAlign w:val="center"/>
          </w:tcPr>
          <w:p>
            <w:pPr>
              <w:spacing w:line="360" w:lineRule="auto"/>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16" w:edGrp="everyone"/>
          </w:p>
        </w:tc>
        <w:tc>
          <w:tcPr>
            <w:tcW w:w="7128" w:type="dxa"/>
            <w:gridSpan w:val="2"/>
            <w:vAlign w:val="center"/>
          </w:tcPr>
          <w:p>
            <w:pPr>
              <w:spacing w:line="360" w:lineRule="auto"/>
              <w:jc w:val="both"/>
              <w:rPr>
                <w:rFonts w:ascii="Times New Roman" w:hAnsi="Times New Roman"/>
                <w:color w:val="000000"/>
                <w:szCs w:val="21"/>
                <w:lang w:eastAsia="zh-CN"/>
              </w:rPr>
            </w:pPr>
            <w:r>
              <w:rPr>
                <w:rFonts w:hint="eastAsia" w:ascii="Times New Roman" w:hAnsi="Times New Roman"/>
                <w:color w:val="000000"/>
                <w:szCs w:val="21"/>
                <w:lang w:eastAsia="zh-CN"/>
              </w:rPr>
              <w:t>配备</w:t>
            </w:r>
            <w:r>
              <w:rPr>
                <w:rFonts w:ascii="Times New Roman" w:hAnsi="Times New Roman"/>
                <w:color w:val="000000"/>
                <w:szCs w:val="21"/>
                <w:lang w:eastAsia="zh-CN"/>
              </w:rPr>
              <w:t>交流电电源</w:t>
            </w:r>
            <w:r>
              <w:rPr>
                <w:rFonts w:hint="eastAsia" w:ascii="Times New Roman" w:hAnsi="Times New Roman"/>
                <w:color w:val="000000"/>
                <w:szCs w:val="21"/>
                <w:lang w:eastAsia="zh-CN"/>
              </w:rPr>
              <w:t>。</w:t>
            </w:r>
            <w:r>
              <w:rPr>
                <w:rFonts w:ascii="Times New Roman" w:hAnsi="Times New Roman"/>
                <w:color w:val="000000"/>
                <w:szCs w:val="21"/>
                <w:lang w:eastAsia="zh-CN"/>
              </w:rPr>
              <w:t>交流电源：～380±10%V，50±1Hz</w:t>
            </w:r>
            <w:r>
              <w:rPr>
                <w:rFonts w:hint="eastAsia" w:ascii="Times New Roman" w:hAnsi="Times New Roman"/>
                <w:color w:val="000000"/>
                <w:szCs w:val="21"/>
                <w:lang w:eastAsia="zh-CN"/>
              </w:rPr>
              <w:t>和</w:t>
            </w:r>
            <w:r>
              <w:rPr>
                <w:rFonts w:ascii="Times New Roman" w:hAnsi="Times New Roman"/>
                <w:color w:val="000000"/>
                <w:szCs w:val="21"/>
                <w:lang w:eastAsia="zh-CN"/>
              </w:rPr>
              <w:t>～220±10%V，50±1Hz</w:t>
            </w:r>
          </w:p>
        </w:tc>
        <w:tc>
          <w:tcPr>
            <w:tcW w:w="2125" w:type="dxa"/>
            <w:vAlign w:val="center"/>
          </w:tcPr>
          <w:p>
            <w:pPr>
              <w:spacing w:line="360" w:lineRule="auto"/>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tcBorders>
              <w:bottom w:val="single" w:color="auto" w:sz="4" w:space="0"/>
            </w:tcBorders>
            <w:shd w:val="clear" w:color="auto" w:fill="D9D9D9"/>
            <w:vAlign w:val="center"/>
          </w:tcPr>
          <w:p>
            <w:pPr>
              <w:pStyle w:val="44"/>
              <w:numPr>
                <w:ilvl w:val="0"/>
                <w:numId w:val="6"/>
              </w:numPr>
              <w:spacing w:line="360" w:lineRule="auto"/>
              <w:ind w:firstLineChars="0"/>
              <w:rPr>
                <w:rFonts w:ascii="Times New Roman" w:hAnsi="Times New Roman"/>
                <w:szCs w:val="21"/>
              </w:rPr>
            </w:pPr>
          </w:p>
        </w:tc>
        <w:tc>
          <w:tcPr>
            <w:tcW w:w="9253" w:type="dxa"/>
            <w:gridSpan w:val="3"/>
            <w:tcBorders>
              <w:bottom w:val="single" w:color="auto" w:sz="4" w:space="0"/>
            </w:tcBorders>
            <w:shd w:val="clear" w:color="auto" w:fill="D9D9D9"/>
            <w:vAlign w:val="center"/>
          </w:tcPr>
          <w:p>
            <w:pPr>
              <w:spacing w:line="360" w:lineRule="auto"/>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63" w:type="dxa"/>
            <w:gridSpan w:val="4"/>
            <w:shd w:val="clear" w:color="auto" w:fill="FFFFFF" w:themeFill="background1"/>
            <w:vAlign w:val="center"/>
          </w:tcPr>
          <w:p>
            <w:pPr>
              <w:spacing w:line="360" w:lineRule="auto"/>
              <w:jc w:val="both"/>
              <w:rPr>
                <w:color w:val="000000"/>
                <w:lang w:eastAsia="zh-CN"/>
              </w:rPr>
            </w:pPr>
            <w:r>
              <w:rPr>
                <w:rFonts w:hint="eastAsia"/>
                <w:b/>
                <w:bCs/>
                <w:szCs w:val="21"/>
                <w:lang w:eastAsia="zh-CN"/>
              </w:rPr>
              <w:t>通风橱1#和通风橱</w:t>
            </w:r>
            <w:r>
              <w:rPr>
                <w:b/>
                <w:bCs/>
                <w:szCs w:val="21"/>
                <w:lang w:eastAsia="zh-CN"/>
              </w:rPr>
              <w:t>2</w:t>
            </w:r>
            <w:r>
              <w:rPr>
                <w:rFonts w:hint="eastAsia"/>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17" w:edGrp="everyone"/>
          </w:p>
        </w:tc>
        <w:tc>
          <w:tcPr>
            <w:tcW w:w="7128" w:type="dxa"/>
            <w:gridSpan w:val="2"/>
            <w:vAlign w:val="center"/>
          </w:tcPr>
          <w:p>
            <w:pPr>
              <w:spacing w:line="360" w:lineRule="auto"/>
              <w:rPr>
                <w:rFonts w:ascii="Times New Roman" w:hAnsi="Times New Roman"/>
                <w:b/>
                <w:bCs/>
                <w:color w:val="000000"/>
                <w:szCs w:val="21"/>
                <w:lang w:eastAsia="zh-CN"/>
              </w:rPr>
            </w:pPr>
            <w:r>
              <w:rPr>
                <w:rFonts w:hint="eastAsia" w:ascii="Times New Roman" w:hAnsi="Times New Roman"/>
                <w:b/>
                <w:bCs/>
                <w:color w:val="000000"/>
                <w:szCs w:val="21"/>
                <w:lang w:eastAsia="zh-CN"/>
              </w:rPr>
              <w:t>台面：</w:t>
            </w:r>
          </w:p>
          <w:p>
            <w:pPr>
              <w:spacing w:line="360" w:lineRule="auto"/>
              <w:rPr>
                <w:rFonts w:ascii="Arial" w:hAnsi="Arial" w:cs="Arial"/>
                <w:szCs w:val="21"/>
                <w:lang w:eastAsia="zh-CN"/>
              </w:rPr>
            </w:pPr>
            <w:r>
              <w:rPr>
                <w:rFonts w:ascii="Arial" w:hAnsi="Arial" w:cs="Arial"/>
                <w:szCs w:val="21"/>
                <w:lang w:eastAsia="zh-CN"/>
              </w:rPr>
              <w:t>1、采用20mm厚陶瓷台面，可耐温度为800度台面，所有一体成型台面板四周均设有高</w:t>
            </w:r>
            <w:r>
              <w:rPr>
                <w:rFonts w:hint="eastAsia" w:ascii="Arial" w:hAnsi="Arial" w:cs="Arial"/>
                <w:szCs w:val="21"/>
                <w:lang w:eastAsia="zh-CN"/>
              </w:rPr>
              <w:t>5</w:t>
            </w:r>
            <w:r>
              <w:rPr>
                <w:rFonts w:ascii="Arial" w:hAnsi="Arial" w:cs="Arial"/>
                <w:szCs w:val="21"/>
                <w:lang w:eastAsia="zh-CN"/>
              </w:rPr>
              <w:t>mm碟状翻水边，防止液体外溢，与柜体侧面接触处采用打胶密封处理。</w:t>
            </w:r>
          </w:p>
          <w:p>
            <w:pPr>
              <w:spacing w:line="360" w:lineRule="auto"/>
              <w:rPr>
                <w:rFonts w:ascii="Times New Roman" w:hAnsi="Times New Roman"/>
                <w:b/>
                <w:bCs/>
                <w:color w:val="000000"/>
                <w:szCs w:val="21"/>
                <w:lang w:eastAsia="zh-CN"/>
              </w:rPr>
            </w:pPr>
            <w:r>
              <w:rPr>
                <w:rFonts w:ascii="Arial" w:hAnsi="Arial" w:cs="Arial"/>
                <w:szCs w:val="21"/>
                <w:lang w:eastAsia="zh-CN"/>
              </w:rPr>
              <w:t>2、具有防腐蚀性、抗菌性、防潮、耐高温、抗撞击以及耐磨。</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gridSpan w:val="2"/>
            <w:vAlign w:val="center"/>
          </w:tcPr>
          <w:p>
            <w:pPr>
              <w:spacing w:line="360" w:lineRule="auto"/>
              <w:rPr>
                <w:rFonts w:ascii="Times New Roman" w:hAnsi="Times New Roman"/>
                <w:color w:val="000000"/>
                <w:szCs w:val="21"/>
                <w:lang w:eastAsia="zh-CN"/>
              </w:rPr>
            </w:pPr>
            <w:r>
              <w:rPr>
                <w:rFonts w:ascii="Arial" w:hAnsi="Arial" w:cs="Arial"/>
                <w:b/>
                <w:bCs/>
                <w:szCs w:val="21"/>
                <w:lang w:eastAsia="zh-CN"/>
              </w:rPr>
              <w:t>柜身材质：</w:t>
            </w:r>
            <w:r>
              <w:rPr>
                <w:rFonts w:ascii="Arial" w:hAnsi="Arial" w:cs="Arial"/>
                <w:szCs w:val="21"/>
                <w:lang w:eastAsia="zh-CN"/>
              </w:rPr>
              <w:t>1、采用优质1.0mm厚冷轧宝钢</w:t>
            </w:r>
            <w:r>
              <w:rPr>
                <w:rFonts w:hint="eastAsia" w:ascii="Arial" w:hAnsi="Arial" w:cs="Arial"/>
                <w:szCs w:val="21"/>
                <w:lang w:eastAsia="zh-CN"/>
              </w:rPr>
              <w:t>/</w:t>
            </w:r>
            <w:r>
              <w:rPr>
                <w:rFonts w:ascii="Arial" w:hAnsi="Arial" w:cs="Arial"/>
                <w:szCs w:val="21"/>
                <w:lang w:eastAsia="zh-CN"/>
              </w:rPr>
              <w:t>首钢</w:t>
            </w:r>
            <w:r>
              <w:rPr>
                <w:rFonts w:hint="eastAsia" w:ascii="Arial" w:hAnsi="Arial" w:cs="Arial"/>
                <w:szCs w:val="21"/>
                <w:lang w:eastAsia="zh-CN"/>
              </w:rPr>
              <w:t>/</w:t>
            </w:r>
            <w:r>
              <w:rPr>
                <w:rFonts w:ascii="Arial" w:hAnsi="Arial" w:cs="Arial"/>
                <w:szCs w:val="21"/>
                <w:lang w:eastAsia="zh-CN"/>
              </w:rPr>
              <w:t>鞍钢钢板冲折制作，其中</w:t>
            </w:r>
            <w:r>
              <w:rPr>
                <w:rFonts w:hint="eastAsia" w:ascii="Arial" w:hAnsi="Arial" w:cs="Arial"/>
                <w:szCs w:val="21"/>
                <w:lang w:eastAsia="zh-CN"/>
              </w:rPr>
              <w:t>内部龙骨等支撑部件厚度1.5~</w:t>
            </w:r>
            <w:r>
              <w:rPr>
                <w:rFonts w:ascii="Arial" w:hAnsi="Arial" w:cs="Arial"/>
                <w:szCs w:val="21"/>
                <w:lang w:eastAsia="zh-CN"/>
              </w:rPr>
              <w:t>2.0</w:t>
            </w:r>
            <w:r>
              <w:rPr>
                <w:rFonts w:hint="eastAsia" w:ascii="Arial" w:hAnsi="Arial" w:cs="Arial"/>
                <w:szCs w:val="21"/>
                <w:lang w:eastAsia="zh-CN"/>
              </w:rPr>
              <w:t>mm；板材正反采用阿克苏诺贝尔环氧树脂粉末进行喷涂处理</w:t>
            </w:r>
            <w:r>
              <w:rPr>
                <w:rFonts w:ascii="Arial" w:hAnsi="Arial" w:cs="Arial"/>
                <w:szCs w:val="21"/>
                <w:lang w:eastAsia="zh-CN"/>
              </w:rPr>
              <w:t>2、</w:t>
            </w:r>
            <w:r>
              <w:rPr>
                <w:rFonts w:hint="eastAsia" w:ascii="Arial" w:hAnsi="Arial" w:cs="Arial"/>
                <w:szCs w:val="21"/>
                <w:lang w:eastAsia="zh-CN"/>
              </w:rPr>
              <w:t>喷涂</w:t>
            </w:r>
            <w:r>
              <w:rPr>
                <w:rFonts w:ascii="Arial" w:hAnsi="Arial" w:cs="Arial"/>
                <w:szCs w:val="21"/>
                <w:lang w:eastAsia="zh-CN"/>
              </w:rPr>
              <w:t>厚度</w:t>
            </w:r>
            <w:r>
              <w:rPr>
                <w:rFonts w:hint="eastAsia" w:ascii="Arial" w:hAnsi="Arial" w:cs="Arial"/>
                <w:szCs w:val="21"/>
                <w:lang w:eastAsia="zh-CN"/>
              </w:rPr>
              <w:t>：</w:t>
            </w:r>
            <w:r>
              <w:rPr>
                <w:rFonts w:ascii="Arial" w:hAnsi="Arial" w:cs="Arial"/>
                <w:szCs w:val="21"/>
                <w:lang w:eastAsia="zh-CN"/>
              </w:rPr>
              <w:t>外部</w:t>
            </w:r>
            <w:r>
              <w:rPr>
                <w:rFonts w:hint="eastAsia" w:ascii="Arial" w:hAnsi="Arial" w:cs="Arial"/>
                <w:szCs w:val="21"/>
                <w:lang w:eastAsia="zh-CN"/>
              </w:rPr>
              <w:t>不低于</w:t>
            </w:r>
            <w:r>
              <w:rPr>
                <w:rFonts w:ascii="Arial" w:hAnsi="Arial" w:cs="Arial"/>
                <w:szCs w:val="21"/>
                <w:lang w:eastAsia="zh-CN"/>
              </w:rPr>
              <w:t>80</w:t>
            </w:r>
            <w:r>
              <w:rPr>
                <w:rFonts w:hint="eastAsia" w:ascii="Arial" w:hAnsi="Arial" w:cs="Arial"/>
                <w:szCs w:val="21"/>
                <w:lang w:eastAsia="zh-CN"/>
              </w:rPr>
              <w:t>u</w:t>
            </w:r>
            <w:r>
              <w:rPr>
                <w:rFonts w:ascii="Arial" w:hAnsi="Arial" w:cs="Arial"/>
                <w:szCs w:val="21"/>
                <w:lang w:eastAsia="zh-CN"/>
              </w:rPr>
              <w:t>m</w:t>
            </w:r>
            <w:r>
              <w:rPr>
                <w:rFonts w:hint="eastAsia" w:ascii="Arial" w:hAnsi="Arial" w:cs="Arial"/>
                <w:szCs w:val="21"/>
                <w:lang w:eastAsia="zh-CN"/>
              </w:rPr>
              <w:t>，</w:t>
            </w:r>
            <w:r>
              <w:rPr>
                <w:rFonts w:ascii="Arial" w:hAnsi="Arial" w:cs="Arial"/>
                <w:szCs w:val="21"/>
                <w:lang w:eastAsia="zh-CN"/>
              </w:rPr>
              <w:t>内部不低于</w:t>
            </w:r>
            <w:r>
              <w:rPr>
                <w:rFonts w:hint="eastAsia" w:ascii="Arial" w:hAnsi="Arial" w:cs="Arial"/>
                <w:szCs w:val="21"/>
                <w:lang w:eastAsia="zh-CN"/>
              </w:rPr>
              <w:t>60um</w:t>
            </w:r>
            <w:r>
              <w:rPr>
                <w:rFonts w:ascii="Arial" w:hAnsi="Arial" w:cs="Arial"/>
                <w:szCs w:val="21"/>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gridSpan w:val="2"/>
            <w:vAlign w:val="center"/>
          </w:tcPr>
          <w:p>
            <w:pPr>
              <w:spacing w:line="360" w:lineRule="auto"/>
              <w:rPr>
                <w:rFonts w:ascii="Arial" w:hAnsi="Arial" w:cs="Arial"/>
                <w:b/>
                <w:bCs/>
                <w:szCs w:val="21"/>
                <w:lang w:eastAsia="zh-CN"/>
              </w:rPr>
            </w:pPr>
            <w:r>
              <w:rPr>
                <w:rFonts w:ascii="Arial" w:hAnsi="Arial" w:cs="Arial"/>
                <w:b/>
                <w:bCs/>
                <w:szCs w:val="21"/>
                <w:lang w:eastAsia="zh-CN"/>
              </w:rPr>
              <w:t>内衬：</w:t>
            </w:r>
          </w:p>
          <w:p>
            <w:pPr>
              <w:spacing w:line="360" w:lineRule="auto"/>
              <w:rPr>
                <w:rFonts w:ascii="Arial" w:hAnsi="Arial" w:cs="Arial"/>
                <w:szCs w:val="21"/>
                <w:lang w:eastAsia="zh-CN"/>
              </w:rPr>
            </w:pPr>
            <w:r>
              <w:rPr>
                <w:rFonts w:ascii="Arial" w:hAnsi="Arial" w:cs="Arial"/>
                <w:szCs w:val="21"/>
                <w:lang w:eastAsia="zh-CN"/>
              </w:rPr>
              <w:t>1、采用5mm厚陶瓷纤维板。</w:t>
            </w:r>
          </w:p>
          <w:p>
            <w:pPr>
              <w:spacing w:line="360" w:lineRule="auto"/>
              <w:rPr>
                <w:rFonts w:ascii="Arial" w:hAnsi="Arial" w:cs="Arial"/>
                <w:szCs w:val="21"/>
                <w:lang w:eastAsia="zh-CN"/>
              </w:rPr>
            </w:pPr>
            <w:r>
              <w:rPr>
                <w:rFonts w:ascii="Arial" w:hAnsi="Arial" w:cs="Arial"/>
                <w:szCs w:val="21"/>
                <w:lang w:eastAsia="zh-CN"/>
              </w:rPr>
              <w:t>2、左侧、后侧、右侧和顶板为5mm厚陶瓷纤维板</w:t>
            </w:r>
          </w:p>
          <w:p>
            <w:pPr>
              <w:spacing w:line="360" w:lineRule="auto"/>
              <w:rPr>
                <w:rFonts w:ascii="Arial" w:hAnsi="Arial" w:cs="Arial"/>
                <w:szCs w:val="21"/>
                <w:lang w:eastAsia="zh-CN"/>
              </w:rPr>
            </w:pPr>
            <w:r>
              <w:rPr>
                <w:rFonts w:ascii="Arial" w:hAnsi="Arial" w:cs="Arial"/>
                <w:szCs w:val="21"/>
                <w:lang w:eastAsia="zh-CN"/>
              </w:rPr>
              <w:t>3、内侧板可固定供水和供气考克，背板可固定导流板，顶板设LED照明，照度不低于700LUX。</w:t>
            </w:r>
          </w:p>
          <w:p>
            <w:pPr>
              <w:spacing w:line="360" w:lineRule="auto"/>
              <w:rPr>
                <w:rFonts w:ascii="Arial" w:hAnsi="Arial" w:cs="Arial"/>
                <w:szCs w:val="21"/>
                <w:lang w:eastAsia="zh-CN"/>
              </w:rPr>
            </w:pPr>
            <w:r>
              <w:rPr>
                <w:rFonts w:ascii="Arial" w:hAnsi="Arial" w:cs="Arial"/>
                <w:szCs w:val="21"/>
                <w:lang w:eastAsia="zh-CN"/>
              </w:rPr>
              <w:t>4、集气装置与内腔一体成型。</w:t>
            </w:r>
          </w:p>
          <w:p>
            <w:pPr>
              <w:spacing w:line="360" w:lineRule="auto"/>
              <w:rPr>
                <w:rFonts w:ascii="Arial" w:hAnsi="Arial" w:cs="Arial"/>
                <w:szCs w:val="21"/>
                <w:lang w:eastAsia="zh-CN"/>
              </w:rPr>
            </w:pPr>
            <w:r>
              <w:rPr>
                <w:rFonts w:ascii="Arial" w:hAnsi="Arial" w:cs="Arial"/>
                <w:szCs w:val="21"/>
                <w:lang w:eastAsia="zh-CN"/>
              </w:rPr>
              <w:t>5、</w:t>
            </w:r>
            <w:r>
              <w:rPr>
                <w:rFonts w:hint="eastAsia" w:ascii="Arial" w:hAnsi="Arial" w:cs="Arial"/>
                <w:szCs w:val="21"/>
                <w:lang w:eastAsia="zh-CN"/>
              </w:rPr>
              <w:t>排</w:t>
            </w:r>
            <w:r>
              <w:rPr>
                <w:rFonts w:ascii="Arial" w:hAnsi="Arial" w:cs="Arial"/>
                <w:szCs w:val="21"/>
                <w:lang w:eastAsia="zh-CN"/>
              </w:rPr>
              <w:t>风柜内侧不得裸露金属材料。</w:t>
            </w:r>
          </w:p>
          <w:p>
            <w:pPr>
              <w:spacing w:line="360" w:lineRule="auto"/>
              <w:rPr>
                <w:b/>
                <w:bCs/>
                <w:szCs w:val="21"/>
                <w:lang w:eastAsia="zh-CN"/>
              </w:rPr>
            </w:pPr>
            <w:r>
              <w:rPr>
                <w:rFonts w:ascii="Arial" w:hAnsi="Arial" w:cs="Arial"/>
                <w:szCs w:val="21"/>
                <w:lang w:eastAsia="zh-CN"/>
              </w:rPr>
              <w:t>6、内衬板应具有防腐蚀性、抗菌性、防潮。</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gridSpan w:val="2"/>
            <w:vAlign w:val="center"/>
          </w:tcPr>
          <w:p>
            <w:pPr>
              <w:spacing w:line="360" w:lineRule="auto"/>
              <w:rPr>
                <w:rFonts w:ascii="Arial" w:hAnsi="Arial" w:cs="Arial"/>
                <w:b/>
                <w:bCs/>
                <w:szCs w:val="21"/>
                <w:lang w:eastAsia="zh-CN"/>
              </w:rPr>
            </w:pPr>
            <w:r>
              <w:rPr>
                <w:rFonts w:ascii="Arial" w:hAnsi="Arial" w:cs="Arial"/>
                <w:b/>
                <w:bCs/>
                <w:szCs w:val="21"/>
                <w:lang w:eastAsia="zh-CN"/>
              </w:rPr>
              <w:t>导流板固定座：</w:t>
            </w:r>
          </w:p>
          <w:p>
            <w:pPr>
              <w:spacing w:line="360" w:lineRule="auto"/>
              <w:rPr>
                <w:rFonts w:ascii="Arial" w:hAnsi="Arial" w:cs="Arial"/>
                <w:szCs w:val="21"/>
                <w:lang w:eastAsia="zh-CN"/>
              </w:rPr>
            </w:pPr>
            <w:r>
              <w:rPr>
                <w:rFonts w:ascii="Arial" w:hAnsi="Arial" w:cs="Arial"/>
                <w:szCs w:val="21"/>
                <w:lang w:eastAsia="zh-CN"/>
              </w:rPr>
              <w:t>1、采用耐酸碱PP注塑成型。</w:t>
            </w:r>
          </w:p>
          <w:p>
            <w:pPr>
              <w:spacing w:line="360" w:lineRule="auto"/>
              <w:rPr>
                <w:rFonts w:ascii="Arial" w:hAnsi="Arial" w:cs="Arial"/>
                <w:szCs w:val="21"/>
                <w:lang w:eastAsia="zh-CN"/>
              </w:rPr>
            </w:pPr>
            <w:r>
              <w:rPr>
                <w:rFonts w:ascii="Arial" w:hAnsi="Arial" w:cs="Arial"/>
                <w:szCs w:val="21"/>
                <w:lang w:eastAsia="zh-CN"/>
              </w:rPr>
              <w:t>2、其固定座包含背板固定座、导流板固定旋钮及蒸馏架安装孔座等，组合成一活动组件，可轻易用手拆解导流板做清理。</w:t>
            </w:r>
          </w:p>
          <w:p>
            <w:pPr>
              <w:spacing w:line="360" w:lineRule="auto"/>
              <w:rPr>
                <w:rFonts w:ascii="Arial" w:hAnsi="Arial" w:cs="Arial"/>
                <w:szCs w:val="21"/>
                <w:lang w:eastAsia="zh-CN"/>
              </w:rPr>
            </w:pPr>
            <w:r>
              <w:rPr>
                <w:rFonts w:ascii="Arial" w:hAnsi="Arial" w:cs="Arial"/>
                <w:szCs w:val="21"/>
                <w:lang w:eastAsia="zh-CN"/>
              </w:rPr>
              <w:t>3、蒸馏架安装孔座可将不锈钢</w:t>
            </w:r>
            <w:r>
              <w:rPr>
                <w:rFonts w:hint="eastAsia" w:ascii="Arial" w:hAnsi="Arial" w:cs="Arial"/>
                <w:szCs w:val="21"/>
                <w:lang w:eastAsia="zh-CN"/>
              </w:rPr>
              <w:t>/玻璃纤维</w:t>
            </w:r>
            <w:r>
              <w:rPr>
                <w:rFonts w:ascii="Arial" w:hAnsi="Arial" w:cs="Arial"/>
                <w:szCs w:val="21"/>
                <w:lang w:eastAsia="zh-CN"/>
              </w:rPr>
              <w:t>实心圆管旋入固定，并配合挂钩，以锁固方式结合成一活动式蒸馏架座。</w:t>
            </w:r>
          </w:p>
          <w:p>
            <w:pPr>
              <w:spacing w:line="360" w:lineRule="auto"/>
              <w:rPr>
                <w:rFonts w:ascii="Arial" w:hAnsi="Arial" w:cs="Arial"/>
                <w:szCs w:val="21"/>
                <w:lang w:eastAsia="zh-CN"/>
              </w:rPr>
            </w:pPr>
            <w:r>
              <w:rPr>
                <w:rFonts w:ascii="Arial" w:hAnsi="Arial" w:cs="Arial"/>
                <w:szCs w:val="21"/>
                <w:lang w:eastAsia="zh-CN"/>
              </w:rPr>
              <w:t>4、每台</w:t>
            </w:r>
            <w:r>
              <w:rPr>
                <w:rFonts w:hint="eastAsia" w:ascii="Arial" w:hAnsi="Arial" w:cs="Arial"/>
                <w:szCs w:val="21"/>
                <w:lang w:eastAsia="zh-CN"/>
              </w:rPr>
              <w:t>排</w:t>
            </w:r>
            <w:r>
              <w:rPr>
                <w:rFonts w:ascii="Arial" w:hAnsi="Arial" w:cs="Arial"/>
                <w:szCs w:val="21"/>
                <w:lang w:eastAsia="zh-CN"/>
              </w:rPr>
              <w:t>风柜至少具有上、中、下三排各三组以上之固定座。</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gridSpan w:val="2"/>
            <w:vAlign w:val="center"/>
          </w:tcPr>
          <w:p>
            <w:pPr>
              <w:spacing w:line="360" w:lineRule="auto"/>
              <w:rPr>
                <w:rFonts w:ascii="Arial" w:hAnsi="Arial" w:cs="Arial"/>
                <w:b/>
                <w:bCs/>
                <w:szCs w:val="21"/>
                <w:lang w:eastAsia="zh-CN"/>
              </w:rPr>
            </w:pPr>
            <w:r>
              <w:rPr>
                <w:rFonts w:ascii="Arial" w:hAnsi="Arial" w:cs="Arial"/>
                <w:b/>
                <w:bCs/>
                <w:szCs w:val="21"/>
                <w:lang w:eastAsia="zh-CN"/>
              </w:rPr>
              <w:t>导流板：</w:t>
            </w:r>
          </w:p>
          <w:p>
            <w:pPr>
              <w:spacing w:line="360" w:lineRule="auto"/>
              <w:rPr>
                <w:rFonts w:ascii="Arial" w:hAnsi="Arial" w:cs="Arial"/>
                <w:szCs w:val="21"/>
                <w:lang w:eastAsia="zh-CN"/>
              </w:rPr>
            </w:pPr>
            <w:r>
              <w:rPr>
                <w:rFonts w:hint="eastAsia" w:ascii="Arial" w:hAnsi="Arial" w:cs="Arial"/>
                <w:szCs w:val="21"/>
                <w:lang w:eastAsia="zh-CN"/>
              </w:rPr>
              <w:t>1、</w:t>
            </w:r>
            <w:r>
              <w:rPr>
                <w:rFonts w:ascii="Arial" w:hAnsi="Arial" w:cs="Arial"/>
                <w:szCs w:val="21"/>
                <w:lang w:eastAsia="zh-CN"/>
              </w:rPr>
              <w:t>采用5mm厚陶瓷纤维板，装置于工作空间后方及上方处，使得工作空间与排气管路连接处之间形成一个气室集气风罩：采用</w:t>
            </w:r>
            <w:r>
              <w:rPr>
                <w:rFonts w:hint="eastAsia" w:ascii="Arial" w:hAnsi="Arial" w:cs="Arial"/>
                <w:szCs w:val="21"/>
                <w:lang w:eastAsia="zh-CN"/>
              </w:rPr>
              <w:t>PP</w:t>
            </w:r>
            <w:r>
              <w:rPr>
                <w:rFonts w:ascii="Arial" w:hAnsi="Arial" w:cs="Arial"/>
                <w:szCs w:val="21"/>
                <w:lang w:eastAsia="zh-CN"/>
              </w:rPr>
              <w:t>一体成型式。</w:t>
            </w:r>
          </w:p>
          <w:p>
            <w:pPr>
              <w:spacing w:line="360" w:lineRule="auto"/>
              <w:rPr>
                <w:rFonts w:ascii="Arial" w:hAnsi="Arial" w:cs="Arial"/>
                <w:szCs w:val="21"/>
                <w:lang w:eastAsia="zh-CN"/>
              </w:rPr>
            </w:pPr>
            <w:r>
              <w:rPr>
                <w:rFonts w:hint="eastAsia" w:ascii="Arial" w:hAnsi="Arial" w:cs="Arial"/>
                <w:szCs w:val="21"/>
                <w:lang w:eastAsia="zh-CN"/>
              </w:rPr>
              <w:t>2、</w:t>
            </w:r>
            <w:r>
              <w:rPr>
                <w:rFonts w:ascii="Arial" w:hAnsi="Arial" w:cs="Arial"/>
                <w:szCs w:val="21"/>
                <w:lang w:eastAsia="zh-CN"/>
              </w:rPr>
              <w:t>底部入口为长方形开口，顶部出口为圆形开口，管径配合风量要求不低于直径250mm，将污染气体均匀的排出。导流板应具有防腐蚀性、抗菌性、防潮。</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gridSpan w:val="2"/>
            <w:tcBorders>
              <w:bottom w:val="single" w:color="auto" w:sz="4" w:space="0"/>
            </w:tcBorders>
            <w:vAlign w:val="center"/>
          </w:tcPr>
          <w:p>
            <w:pPr>
              <w:spacing w:line="360" w:lineRule="auto"/>
              <w:jc w:val="both"/>
              <w:rPr>
                <w:rFonts w:ascii="Arial" w:hAnsi="Arial" w:cs="Arial"/>
                <w:b/>
                <w:bCs/>
                <w:szCs w:val="21"/>
                <w:lang w:eastAsia="zh-CN"/>
              </w:rPr>
            </w:pPr>
            <w:r>
              <w:rPr>
                <w:rFonts w:hint="eastAsia" w:ascii="Arial" w:hAnsi="Arial" w:cs="Arial"/>
                <w:b/>
                <w:bCs/>
                <w:szCs w:val="21"/>
                <w:lang w:eastAsia="zh-CN"/>
              </w:rPr>
              <w:t>底柜：</w:t>
            </w:r>
          </w:p>
          <w:p>
            <w:pPr>
              <w:spacing w:line="360" w:lineRule="auto"/>
              <w:jc w:val="both"/>
              <w:rPr>
                <w:rFonts w:ascii="Arial" w:hAnsi="Arial" w:cs="Arial"/>
                <w:szCs w:val="21"/>
                <w:lang w:eastAsia="zh-CN"/>
              </w:rPr>
            </w:pPr>
            <w:r>
              <w:rPr>
                <w:rFonts w:hint="eastAsia" w:ascii="Arial" w:hAnsi="Arial" w:cs="Arial"/>
                <w:szCs w:val="21"/>
                <w:lang w:eastAsia="zh-CN"/>
              </w:rPr>
              <w:t>1、底柜后方应具备容易拆装的活动背板，每个柜体均应为完整独立的落地型全钢制柜体设计并根据需要底柜可定制垃圾柜或设置废液收集装置，并有排风设计。</w:t>
            </w:r>
          </w:p>
          <w:p>
            <w:pPr>
              <w:spacing w:line="360" w:lineRule="auto"/>
              <w:jc w:val="both"/>
              <w:rPr>
                <w:rFonts w:ascii="Arial" w:hAnsi="Arial" w:cs="Arial"/>
                <w:b/>
                <w:bCs/>
                <w:szCs w:val="21"/>
                <w:lang w:eastAsia="zh-CN"/>
              </w:rPr>
            </w:pPr>
            <w:r>
              <w:rPr>
                <w:rFonts w:hint="eastAsia" w:ascii="Arial" w:hAnsi="Arial" w:cs="Arial"/>
                <w:szCs w:val="21"/>
                <w:lang w:eastAsia="zh-CN"/>
              </w:rPr>
              <w:t>2、每个柜体单元应配备</w:t>
            </w:r>
            <w:r>
              <w:rPr>
                <w:rFonts w:ascii="Arial" w:hAnsi="Arial" w:cs="Arial"/>
                <w:szCs w:val="21"/>
                <w:lang w:eastAsia="zh-CN"/>
              </w:rPr>
              <w:t>4</w:t>
            </w:r>
            <w:r>
              <w:rPr>
                <w:rFonts w:hint="eastAsia" w:ascii="Arial" w:hAnsi="Arial" w:cs="Arial"/>
                <w:szCs w:val="21"/>
                <w:lang w:eastAsia="zh-CN"/>
              </w:rPr>
              <w:t>个镀锌钢螺杆调整脚或者万向轮，以支撑柜体及调节水平，柜体底部离地板距离应不少于</w:t>
            </w:r>
            <w:r>
              <w:rPr>
                <w:rFonts w:ascii="Arial" w:hAnsi="Arial" w:cs="Arial"/>
                <w:szCs w:val="21"/>
                <w:lang w:eastAsia="zh-CN"/>
              </w:rPr>
              <w:t>10mm</w:t>
            </w:r>
            <w:r>
              <w:rPr>
                <w:rFonts w:hint="eastAsia" w:ascii="Arial" w:hAnsi="Arial" w:cs="Arial"/>
                <w:szCs w:val="21"/>
                <w:lang w:eastAsia="zh-CN"/>
              </w:rPr>
              <w:t>以隔离地面潮气。</w:t>
            </w:r>
          </w:p>
        </w:tc>
        <w:tc>
          <w:tcPr>
            <w:tcW w:w="2125" w:type="dxa"/>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gridSpan w:val="2"/>
            <w:tcBorders>
              <w:bottom w:val="single" w:color="auto" w:sz="4" w:space="0"/>
            </w:tcBorders>
            <w:vAlign w:val="center"/>
          </w:tcPr>
          <w:p>
            <w:pPr>
              <w:spacing w:line="360" w:lineRule="auto"/>
              <w:jc w:val="both"/>
              <w:rPr>
                <w:rFonts w:ascii="Arial" w:hAnsi="Arial" w:cs="Arial"/>
                <w:b/>
                <w:bCs/>
                <w:szCs w:val="21"/>
                <w:lang w:eastAsia="zh-CN"/>
              </w:rPr>
            </w:pPr>
            <w:r>
              <w:rPr>
                <w:rFonts w:ascii="Arial" w:hAnsi="Arial" w:cs="Arial"/>
                <w:b/>
                <w:bCs/>
                <w:szCs w:val="21"/>
                <w:lang w:eastAsia="zh-CN"/>
              </w:rPr>
              <w:t>视窗玻璃：</w:t>
            </w:r>
            <w:r>
              <w:rPr>
                <w:rFonts w:ascii="Arial" w:hAnsi="Arial" w:cs="Arial"/>
                <w:szCs w:val="21"/>
                <w:lang w:eastAsia="zh-CN"/>
              </w:rPr>
              <w:t>采用3mm+3mm安全夹胶防爆玻璃，并有防止爆裂飞散的能力，防止爆裂，飞散伤人。</w:t>
            </w:r>
          </w:p>
        </w:tc>
        <w:tc>
          <w:tcPr>
            <w:tcW w:w="2125" w:type="dxa"/>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63" w:type="dxa"/>
            <w:gridSpan w:val="4"/>
            <w:tcBorders>
              <w:bottom w:val="single" w:color="auto" w:sz="4" w:space="0"/>
            </w:tcBorders>
            <w:shd w:val="clear" w:color="auto" w:fill="FFFFFF" w:themeFill="background1"/>
            <w:vAlign w:val="center"/>
          </w:tcPr>
          <w:p>
            <w:pPr>
              <w:spacing w:line="360" w:lineRule="auto"/>
              <w:jc w:val="both"/>
              <w:rPr>
                <w:b/>
                <w:bCs/>
                <w:szCs w:val="21"/>
                <w:lang w:eastAsia="zh-CN"/>
              </w:rPr>
            </w:pPr>
            <w:r>
              <w:rPr>
                <w:rFonts w:hint="eastAsia"/>
                <w:b/>
                <w:bCs/>
                <w:szCs w:val="21"/>
                <w:lang w:eastAsia="zh-CN"/>
              </w:rPr>
              <w:t>负压称量罩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gridSpan w:val="2"/>
            <w:tcBorders>
              <w:bottom w:val="single" w:color="auto" w:sz="4" w:space="0"/>
            </w:tcBorders>
            <w:vAlign w:val="center"/>
          </w:tcPr>
          <w:p>
            <w:pPr>
              <w:spacing w:line="360" w:lineRule="auto"/>
              <w:rPr>
                <w:rFonts w:ascii="Arial" w:hAnsi="Arial" w:cs="Arial"/>
                <w:szCs w:val="21"/>
                <w:lang w:eastAsia="zh-CN"/>
              </w:rPr>
            </w:pPr>
            <w:r>
              <w:rPr>
                <w:rFonts w:hint="eastAsia" w:ascii="Arial" w:hAnsi="Arial" w:cs="Arial"/>
                <w:szCs w:val="21"/>
                <w:lang w:eastAsia="zh-CN"/>
              </w:rPr>
              <w:t>表面材料等采用奥氏体304不锈钢材质，并提供有效的材质证明书。</w:t>
            </w:r>
          </w:p>
        </w:tc>
        <w:tc>
          <w:tcPr>
            <w:tcW w:w="2125" w:type="dxa"/>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gridSpan w:val="2"/>
            <w:tcBorders>
              <w:bottom w:val="single" w:color="auto" w:sz="4" w:space="0"/>
            </w:tcBorders>
            <w:vAlign w:val="center"/>
          </w:tcPr>
          <w:p>
            <w:pPr>
              <w:spacing w:line="360" w:lineRule="auto"/>
              <w:rPr>
                <w:rFonts w:ascii="Arial" w:hAnsi="Arial" w:cs="Arial"/>
                <w:szCs w:val="21"/>
                <w:lang w:eastAsia="zh-CN"/>
              </w:rPr>
            </w:pPr>
            <w:r>
              <w:rPr>
                <w:rFonts w:hint="eastAsia" w:ascii="Arial" w:hAnsi="Arial" w:cs="Arial"/>
                <w:szCs w:val="21"/>
                <w:lang w:eastAsia="zh-CN"/>
              </w:rPr>
              <w:t>操作空间内壁光滑、无死角，便于安装、拆卸、清洗。</w:t>
            </w:r>
          </w:p>
        </w:tc>
        <w:tc>
          <w:tcPr>
            <w:tcW w:w="2125" w:type="dxa"/>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63" w:type="dxa"/>
            <w:gridSpan w:val="4"/>
            <w:tcBorders>
              <w:bottom w:val="nil"/>
            </w:tcBorders>
            <w:shd w:val="clear" w:color="auto" w:fill="FFFFFF" w:themeFill="background1"/>
            <w:vAlign w:val="center"/>
          </w:tcPr>
          <w:p>
            <w:pPr>
              <w:spacing w:line="360" w:lineRule="auto"/>
              <w:jc w:val="both"/>
              <w:rPr>
                <w:rFonts w:hint="eastAsia"/>
                <w:b/>
                <w:bCs/>
                <w:szCs w:val="21"/>
                <w:lang w:eastAsia="zh-CN"/>
              </w:rPr>
            </w:pPr>
            <w:r>
              <w:rPr>
                <w:rFonts w:hint="eastAsia"/>
                <w:b/>
                <w:bCs/>
                <w:szCs w:val="21"/>
                <w:lang w:eastAsia="zh-CN"/>
              </w:rPr>
              <w:t>公用要求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tcBorders>
              <w:top w:val="nil"/>
            </w:tcBorders>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gridSpan w:val="2"/>
            <w:tcBorders>
              <w:top w:val="nil"/>
            </w:tcBorders>
            <w:vAlign w:val="center"/>
          </w:tcPr>
          <w:p>
            <w:pPr>
              <w:spacing w:line="360" w:lineRule="auto"/>
              <w:jc w:val="both"/>
              <w:rPr>
                <w:rFonts w:ascii="Times New Roman" w:hAnsi="Times New Roman"/>
                <w:color w:val="000000"/>
                <w:szCs w:val="21"/>
                <w:lang w:eastAsia="zh-CN"/>
              </w:rPr>
            </w:pPr>
            <w:r>
              <w:rPr>
                <w:rFonts w:hint="eastAsia" w:ascii="Times New Roman" w:hAnsi="Times New Roman"/>
                <w:color w:val="000000"/>
                <w:szCs w:val="21"/>
                <w:lang w:eastAsia="zh-CN"/>
              </w:rPr>
              <w:t>外表面光滑平整耐腐蚀不能生锈，可经受多次臭氧熏蒸而不腐蚀，且没有明显划痕、凹陷、脱落、裂纹、锈蚀以及其它肉眼可见的外观缺陷，易清洗消毒。</w:t>
            </w:r>
          </w:p>
        </w:tc>
        <w:tc>
          <w:tcPr>
            <w:tcW w:w="2125" w:type="dxa"/>
            <w:tcBorders>
              <w:top w:val="nil"/>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gridSpan w:val="2"/>
            <w:vAlign w:val="center"/>
          </w:tcPr>
          <w:p>
            <w:pPr>
              <w:spacing w:line="360" w:lineRule="auto"/>
              <w:jc w:val="both"/>
              <w:rPr>
                <w:rFonts w:ascii="Times New Roman" w:hAnsi="Times New Roman"/>
                <w:color w:val="000000"/>
                <w:szCs w:val="21"/>
                <w:lang w:eastAsia="zh-CN"/>
              </w:rPr>
            </w:pPr>
            <w:r>
              <w:rPr>
                <w:rFonts w:hint="eastAsia" w:ascii="宋体" w:hAnsi="宋体"/>
                <w:iCs/>
                <w:szCs w:val="21"/>
                <w:lang w:eastAsia="zh-CN"/>
              </w:rPr>
              <w:t>设备外壳等材料符合洁净室使用要求，可以耐受75%乙醇、0.2%新洁尔灭等消毒剂擦拭消毒，同时也可以耐受空气消毒剂包括甲醛、臭氧、双氧水、氢氧化钠和过氧乙酸。</w:t>
            </w:r>
            <w:r>
              <w:rPr>
                <w:rFonts w:hint="eastAsia" w:ascii="宋体" w:hAnsi="宋体"/>
                <w:iCs/>
                <w:szCs w:val="21"/>
              </w:rPr>
              <w:t>满足擦拭消毒和空气消毒要求。</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gridSpan w:val="2"/>
            <w:vAlign w:val="center"/>
          </w:tcPr>
          <w:p>
            <w:pPr>
              <w:spacing w:line="360" w:lineRule="auto"/>
              <w:jc w:val="both"/>
              <w:rPr>
                <w:rFonts w:ascii="Times New Roman" w:hAnsi="Times New Roman"/>
                <w:color w:val="000000"/>
                <w:szCs w:val="21"/>
                <w:lang w:eastAsia="zh-CN"/>
              </w:rPr>
            </w:pPr>
            <w:r>
              <w:rPr>
                <w:rFonts w:ascii="Times New Roman" w:hAnsi="Times New Roman"/>
                <w:color w:val="000000"/>
                <w:szCs w:val="21"/>
                <w:lang w:eastAsia="zh-CN"/>
              </w:rPr>
              <w:t xml:space="preserve">标识：至少应有以下永久贴牢和清楚易认的标识： </w:t>
            </w:r>
          </w:p>
          <w:p>
            <w:pPr>
              <w:spacing w:line="360" w:lineRule="auto"/>
              <w:jc w:val="both"/>
              <w:rPr>
                <w:rFonts w:ascii="Times New Roman" w:hAnsi="Times New Roman"/>
                <w:color w:val="000000"/>
                <w:szCs w:val="21"/>
                <w:lang w:eastAsia="zh-CN"/>
              </w:rPr>
            </w:pPr>
            <w:r>
              <w:rPr>
                <w:rFonts w:ascii="Times New Roman" w:hAnsi="Times New Roman"/>
                <w:color w:val="000000"/>
                <w:szCs w:val="21"/>
                <w:lang w:eastAsia="zh-CN"/>
              </w:rPr>
              <w:t>（1）制造/供应单位；（2）产品注册号；（3）型号；（4）生产日期或编号；（5）对设备必要的说明；（6）安全标识。（</w:t>
            </w:r>
            <w:r>
              <w:rPr>
                <w:rFonts w:hint="eastAsia" w:ascii="Times New Roman" w:hAnsi="Times New Roman"/>
                <w:color w:val="000000"/>
                <w:szCs w:val="21"/>
                <w:lang w:eastAsia="zh-CN"/>
              </w:rPr>
              <w:t>7</w:t>
            </w:r>
            <w:r>
              <w:rPr>
                <w:rFonts w:ascii="Times New Roman" w:hAnsi="Times New Roman"/>
                <w:color w:val="000000"/>
                <w:szCs w:val="21"/>
                <w:lang w:eastAsia="zh-CN"/>
              </w:rPr>
              <w:t>）</w:t>
            </w:r>
            <w:r>
              <w:rPr>
                <w:rFonts w:hint="eastAsia" w:ascii="Times New Roman" w:hAnsi="Times New Roman"/>
                <w:color w:val="000000"/>
                <w:szCs w:val="21"/>
                <w:lang w:eastAsia="zh-CN"/>
              </w:rPr>
              <w:t>温度范围</w:t>
            </w:r>
            <w:r>
              <w:rPr>
                <w:rFonts w:ascii="Times New Roman" w:hAnsi="Times New Roman"/>
                <w:color w:val="000000"/>
                <w:szCs w:val="21"/>
                <w:lang w:eastAsia="zh-CN"/>
              </w:rPr>
              <w:t>。（</w:t>
            </w:r>
            <w:r>
              <w:rPr>
                <w:rFonts w:hint="eastAsia" w:ascii="Times New Roman" w:hAnsi="Times New Roman"/>
                <w:color w:val="000000"/>
                <w:szCs w:val="21"/>
                <w:lang w:eastAsia="zh-CN"/>
              </w:rPr>
              <w:t>8</w:t>
            </w:r>
            <w:r>
              <w:rPr>
                <w:rFonts w:ascii="Times New Roman" w:hAnsi="Times New Roman"/>
                <w:color w:val="000000"/>
                <w:szCs w:val="21"/>
                <w:lang w:eastAsia="zh-CN"/>
              </w:rPr>
              <w:t>）</w:t>
            </w:r>
            <w:r>
              <w:rPr>
                <w:rFonts w:hint="eastAsia" w:ascii="Times New Roman" w:hAnsi="Times New Roman"/>
                <w:color w:val="000000"/>
                <w:szCs w:val="21"/>
                <w:lang w:eastAsia="zh-CN"/>
              </w:rPr>
              <w:t>内室规格</w:t>
            </w:r>
            <w:r>
              <w:rPr>
                <w:rFonts w:ascii="Times New Roman" w:hAnsi="Times New Roman"/>
                <w:color w:val="000000"/>
                <w:szCs w:val="21"/>
                <w:lang w:eastAsia="zh-CN"/>
              </w:rPr>
              <w:t>。（</w:t>
            </w:r>
            <w:r>
              <w:rPr>
                <w:rFonts w:hint="eastAsia" w:ascii="Times New Roman" w:hAnsi="Times New Roman"/>
                <w:color w:val="000000"/>
                <w:szCs w:val="21"/>
                <w:lang w:eastAsia="zh-CN"/>
              </w:rPr>
              <w:t>9</w:t>
            </w:r>
            <w:r>
              <w:rPr>
                <w:rFonts w:ascii="Times New Roman" w:hAnsi="Times New Roman"/>
                <w:color w:val="000000"/>
                <w:szCs w:val="21"/>
                <w:lang w:eastAsia="zh-CN"/>
              </w:rPr>
              <w:t>）</w:t>
            </w:r>
            <w:r>
              <w:rPr>
                <w:rFonts w:hint="eastAsia" w:ascii="Times New Roman" w:hAnsi="Times New Roman"/>
                <w:color w:val="000000"/>
                <w:szCs w:val="21"/>
                <w:lang w:eastAsia="zh-CN"/>
              </w:rPr>
              <w:t>电压、电流、功率、频率</w:t>
            </w:r>
            <w:r>
              <w:rPr>
                <w:rFonts w:ascii="Times New Roman" w:hAnsi="Times New Roman"/>
                <w:color w:val="000000"/>
                <w:szCs w:val="21"/>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bookmarkEnd w:id="23"/>
      <w:bookmarkEnd w:id="24"/>
      <w:permEnd w:id="17"/>
    </w:tbl>
    <w:p>
      <w:pPr>
        <w:pStyle w:val="44"/>
        <w:spacing w:after="158" w:afterLines="50" w:line="360" w:lineRule="auto"/>
        <w:ind w:left="425" w:firstLine="0" w:firstLineChars="0"/>
        <w:rPr>
          <w:rFonts w:ascii="Times New Roman" w:hAnsi="Times New Roman"/>
          <w:szCs w:val="21"/>
        </w:rPr>
      </w:pPr>
    </w:p>
    <w:p>
      <w:pPr>
        <w:pStyle w:val="44"/>
        <w:numPr>
          <w:ilvl w:val="0"/>
          <w:numId w:val="3"/>
        </w:numPr>
        <w:spacing w:after="158" w:afterLines="50" w:line="360" w:lineRule="auto"/>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tbl>
      <w:tblPr>
        <w:tblStyle w:val="21"/>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62"/>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spacing w:line="360" w:lineRule="auto"/>
              <w:jc w:val="center"/>
              <w:rPr>
                <w:b/>
                <w:szCs w:val="21"/>
              </w:rPr>
            </w:pPr>
            <w:permStart w:id="18" w:edGrp="everyone"/>
            <w:permEnd w:id="18"/>
            <w:r>
              <w:rPr>
                <w:b/>
                <w:szCs w:val="21"/>
              </w:rPr>
              <w:t>编号</w:t>
            </w:r>
          </w:p>
        </w:tc>
        <w:tc>
          <w:tcPr>
            <w:tcW w:w="7162" w:type="dxa"/>
            <w:shd w:val="clear" w:color="auto" w:fill="D9D9D9"/>
            <w:vAlign w:val="center"/>
          </w:tcPr>
          <w:p>
            <w:pPr>
              <w:spacing w:line="360" w:lineRule="auto"/>
              <w:jc w:val="center"/>
              <w:rPr>
                <w:b/>
                <w:szCs w:val="21"/>
                <w:lang w:eastAsia="zh-CN"/>
              </w:rPr>
            </w:pPr>
            <w:r>
              <w:rPr>
                <w:b/>
                <w:szCs w:val="21"/>
                <w:lang w:eastAsia="zh-CN"/>
              </w:rPr>
              <w:t>需求</w:t>
            </w:r>
          </w:p>
        </w:tc>
        <w:tc>
          <w:tcPr>
            <w:tcW w:w="2096"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spacing w:line="360" w:lineRule="auto"/>
              <w:ind w:firstLineChars="0"/>
              <w:rPr>
                <w:rFonts w:ascii="Times New Roman" w:hAnsi="Times New Roman"/>
                <w:szCs w:val="21"/>
              </w:rPr>
            </w:pPr>
          </w:p>
        </w:tc>
        <w:tc>
          <w:tcPr>
            <w:tcW w:w="9258" w:type="dxa"/>
            <w:gridSpan w:val="2"/>
            <w:shd w:val="clear" w:color="auto" w:fill="D9D9D9"/>
            <w:vAlign w:val="center"/>
          </w:tcPr>
          <w:p>
            <w:pPr>
              <w:spacing w:line="360" w:lineRule="auto"/>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spacing w:line="360" w:lineRule="auto"/>
              <w:ind w:left="851"/>
              <w:rPr>
                <w:szCs w:val="21"/>
                <w:lang w:eastAsia="zh-CN"/>
              </w:rPr>
            </w:pPr>
            <w:permStart w:id="19" w:edGrp="everyone"/>
          </w:p>
        </w:tc>
        <w:tc>
          <w:tcPr>
            <w:tcW w:w="9258" w:type="dxa"/>
            <w:gridSpan w:val="2"/>
            <w:vAlign w:val="center"/>
          </w:tcPr>
          <w:p>
            <w:pPr>
              <w:spacing w:line="360" w:lineRule="auto"/>
              <w:jc w:val="both"/>
              <w:rPr>
                <w:rFonts w:ascii="Times New Roman" w:hAnsi="Times New Roman"/>
                <w:color w:val="000000"/>
                <w:szCs w:val="21"/>
                <w:lang w:eastAsia="zh-CN"/>
              </w:rPr>
            </w:pPr>
            <w:r>
              <w:rPr>
                <w:rFonts w:hint="eastAsia" w:ascii="Times New Roman" w:hAnsi="Times New Roman"/>
                <w:color w:val="000000"/>
                <w:szCs w:val="21"/>
                <w:lang w:eastAsia="zh-CN"/>
              </w:rPr>
              <w:t>N/A</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spacing w:line="360" w:lineRule="auto"/>
              <w:ind w:firstLineChars="0"/>
              <w:rPr>
                <w:rFonts w:ascii="Times New Roman" w:hAnsi="Times New Roman"/>
                <w:szCs w:val="21"/>
              </w:rPr>
            </w:pPr>
          </w:p>
        </w:tc>
        <w:tc>
          <w:tcPr>
            <w:tcW w:w="9258" w:type="dxa"/>
            <w:gridSpan w:val="2"/>
            <w:shd w:val="clear" w:color="auto" w:fill="D9D9D9"/>
            <w:vAlign w:val="center"/>
          </w:tcPr>
          <w:p>
            <w:pPr>
              <w:spacing w:line="360" w:lineRule="auto"/>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spacing w:line="360" w:lineRule="auto"/>
              <w:ind w:left="851"/>
              <w:rPr>
                <w:szCs w:val="21"/>
              </w:rPr>
            </w:pPr>
            <w:permStart w:id="20" w:edGrp="everyone"/>
          </w:p>
        </w:tc>
        <w:tc>
          <w:tcPr>
            <w:tcW w:w="9258" w:type="dxa"/>
            <w:gridSpan w:val="2"/>
            <w:vAlign w:val="center"/>
          </w:tcPr>
          <w:p>
            <w:pPr>
              <w:spacing w:line="360" w:lineRule="auto"/>
              <w:jc w:val="both"/>
              <w:rPr>
                <w:szCs w:val="21"/>
                <w:lang w:val="en-US" w:eastAsia="zh-CN"/>
              </w:rPr>
            </w:pPr>
            <w:r>
              <w:rPr>
                <w:rFonts w:hint="eastAsia" w:ascii="Times New Roman" w:hAnsi="Times New Roman"/>
                <w:color w:val="000000"/>
                <w:szCs w:val="21"/>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tcBorders>
              <w:bottom w:val="single" w:color="auto" w:sz="4" w:space="0"/>
            </w:tcBorders>
            <w:shd w:val="clear" w:color="auto" w:fill="D9D9D9"/>
            <w:vAlign w:val="center"/>
          </w:tcPr>
          <w:p>
            <w:pPr>
              <w:pStyle w:val="44"/>
              <w:numPr>
                <w:ilvl w:val="0"/>
                <w:numId w:val="8"/>
              </w:numPr>
              <w:spacing w:line="360" w:lineRule="auto"/>
              <w:ind w:firstLineChars="0"/>
              <w:rPr>
                <w:rFonts w:ascii="Times New Roman" w:hAnsi="Times New Roman"/>
                <w:szCs w:val="21"/>
              </w:rPr>
            </w:pPr>
          </w:p>
        </w:tc>
        <w:tc>
          <w:tcPr>
            <w:tcW w:w="9258" w:type="dxa"/>
            <w:gridSpan w:val="2"/>
            <w:tcBorders>
              <w:bottom w:val="single" w:color="auto" w:sz="4" w:space="0"/>
            </w:tcBorders>
            <w:shd w:val="clear" w:color="auto" w:fill="D9D9D9"/>
            <w:vAlign w:val="center"/>
          </w:tcPr>
          <w:p>
            <w:pPr>
              <w:spacing w:line="360" w:lineRule="auto"/>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68" w:type="dxa"/>
            <w:gridSpan w:val="3"/>
            <w:shd w:val="clear" w:color="auto" w:fill="FFFFFF" w:themeFill="background1"/>
            <w:vAlign w:val="center"/>
          </w:tcPr>
          <w:p>
            <w:pPr>
              <w:spacing w:line="360" w:lineRule="auto"/>
              <w:jc w:val="both"/>
              <w:rPr>
                <w:rFonts w:ascii="Times New Roman" w:hAnsi="Times New Roman"/>
                <w:b/>
                <w:bCs/>
                <w:szCs w:val="21"/>
                <w:lang w:eastAsia="zh-CN"/>
              </w:rPr>
            </w:pPr>
            <w:permStart w:id="21" w:edGrp="everyone"/>
            <w:r>
              <w:rPr>
                <w:rFonts w:hint="eastAsia" w:ascii="Times New Roman" w:hAnsi="Times New Roman"/>
                <w:b/>
                <w:bCs/>
                <w:szCs w:val="21"/>
                <w:lang w:eastAsia="zh-CN"/>
              </w:rPr>
              <w:t>通风橱1#和通风橱</w:t>
            </w:r>
            <w:r>
              <w:rPr>
                <w:rFonts w:ascii="Times New Roman" w:hAnsi="Times New Roman"/>
                <w:b/>
                <w:bCs/>
                <w:szCs w:val="21"/>
                <w:lang w:eastAsia="zh-CN"/>
              </w:rPr>
              <w:t>2</w:t>
            </w:r>
            <w:r>
              <w:rPr>
                <w:rFonts w:hint="eastAsia" w:ascii="Times New Roman" w:hAnsi="Times New Roman"/>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62" w:type="dxa"/>
            <w:vAlign w:val="center"/>
          </w:tcPr>
          <w:p>
            <w:pPr>
              <w:spacing w:line="360" w:lineRule="auto"/>
              <w:jc w:val="both"/>
              <w:rPr>
                <w:rFonts w:ascii="Times New Roman" w:hAnsi="Times New Roman"/>
                <w:color w:val="000000"/>
                <w:szCs w:val="21"/>
                <w:lang w:eastAsia="zh-CN"/>
              </w:rPr>
            </w:pPr>
            <w:r>
              <w:rPr>
                <w:rFonts w:hint="eastAsia" w:ascii="Times New Roman" w:hAnsi="Times New Roman"/>
                <w:szCs w:val="21"/>
                <w:lang w:eastAsia="zh-CN"/>
              </w:rPr>
              <w:t>通风橱</w:t>
            </w:r>
            <w:r>
              <w:rPr>
                <w:rFonts w:hint="eastAsia" w:ascii="Times New Roman" w:hAnsi="Times New Roman"/>
                <w:color w:val="000000"/>
                <w:szCs w:val="21"/>
                <w:lang w:eastAsia="zh-CN"/>
              </w:rPr>
              <w:t>是一种专门设计的特殊安全设备，其捕捉及排除污染等安全性能指标应达到国际上普遍采用的ANSI/ASHRAE 110-2016、ANSI/AIHA Z9.5、SEFA 1及JB/T 6412-1999等相关标准规定，排风柜捕捉及排除污染性能应达到以下要求：泄漏率≤0.01ppm。供应商提供权威的第三方检测报告证书。</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62" w:type="dxa"/>
            <w:vAlign w:val="center"/>
          </w:tcPr>
          <w:p>
            <w:pPr>
              <w:spacing w:line="360" w:lineRule="auto"/>
              <w:jc w:val="both"/>
              <w:rPr>
                <w:rFonts w:ascii="Times New Roman" w:hAnsi="Times New Roman"/>
                <w:color w:val="000000"/>
                <w:szCs w:val="21"/>
                <w:lang w:eastAsia="zh-CN"/>
              </w:rPr>
            </w:pPr>
            <w:r>
              <w:rPr>
                <w:rFonts w:ascii="Arial" w:hAnsi="Arial" w:cs="Arial"/>
                <w:szCs w:val="21"/>
                <w:lang w:eastAsia="zh-CN"/>
              </w:rPr>
              <w:t>考虑节能要求</w:t>
            </w:r>
            <w:r>
              <w:rPr>
                <w:rFonts w:hint="eastAsia" w:ascii="Arial" w:hAnsi="Arial" w:cs="Arial"/>
                <w:szCs w:val="21"/>
                <w:lang w:eastAsia="zh-CN"/>
              </w:rPr>
              <w:t>，</w:t>
            </w:r>
            <w:r>
              <w:rPr>
                <w:rFonts w:ascii="Arial" w:hAnsi="Arial" w:cs="Arial"/>
                <w:szCs w:val="21"/>
                <w:lang w:eastAsia="zh-CN"/>
              </w:rPr>
              <w:t>本项目</w:t>
            </w:r>
            <w:r>
              <w:rPr>
                <w:rFonts w:hint="eastAsia" w:ascii="Times New Roman" w:hAnsi="Times New Roman"/>
                <w:szCs w:val="21"/>
                <w:lang w:eastAsia="zh-CN"/>
              </w:rPr>
              <w:t>通风橱</w:t>
            </w:r>
            <w:r>
              <w:rPr>
                <w:rFonts w:ascii="Arial" w:hAnsi="Arial" w:cs="Arial"/>
                <w:szCs w:val="21"/>
                <w:lang w:eastAsia="zh-CN"/>
              </w:rPr>
              <w:t>采用</w:t>
            </w:r>
            <w:r>
              <w:rPr>
                <w:rFonts w:hint="eastAsia" w:ascii="Arial" w:hAnsi="Arial" w:cs="Arial"/>
                <w:szCs w:val="21"/>
                <w:lang w:eastAsia="zh-CN"/>
              </w:rPr>
              <w:t>内</w:t>
            </w:r>
            <w:r>
              <w:rPr>
                <w:rFonts w:ascii="Arial" w:hAnsi="Arial" w:cs="Arial"/>
                <w:szCs w:val="21"/>
                <w:lang w:eastAsia="zh-CN"/>
              </w:rPr>
              <w:t>补风型</w:t>
            </w:r>
            <w:r>
              <w:rPr>
                <w:rFonts w:hint="eastAsia" w:ascii="Arial" w:hAnsi="Arial" w:cs="Arial"/>
                <w:szCs w:val="21"/>
                <w:lang w:eastAsia="zh-CN"/>
              </w:rPr>
              <w:t>，</w:t>
            </w:r>
            <w:r>
              <w:rPr>
                <w:rFonts w:ascii="Arial" w:hAnsi="Arial" w:cs="Arial"/>
                <w:szCs w:val="21"/>
                <w:lang w:eastAsia="zh-CN"/>
              </w:rPr>
              <w:t>排风量按照</w:t>
            </w:r>
            <w:r>
              <w:rPr>
                <w:rFonts w:hint="eastAsia" w:ascii="Arial" w:hAnsi="Arial" w:cs="Arial"/>
                <w:szCs w:val="21"/>
                <w:lang w:eastAsia="zh-CN"/>
              </w:rPr>
              <w:t>面风速</w:t>
            </w:r>
            <w:r>
              <w:rPr>
                <w:rFonts w:ascii="Arial" w:hAnsi="Arial" w:cs="Arial"/>
                <w:szCs w:val="21"/>
                <w:lang w:eastAsia="zh-CN"/>
              </w:rPr>
              <w:t>0.5m/s设计</w:t>
            </w:r>
            <w:r>
              <w:rPr>
                <w:rFonts w:hint="eastAsia" w:ascii="Arial" w:hAnsi="Arial" w:cs="Arial"/>
                <w:szCs w:val="21"/>
                <w:lang w:eastAsia="zh-CN"/>
              </w:rPr>
              <w:t>，</w:t>
            </w:r>
            <w:r>
              <w:rPr>
                <w:rFonts w:ascii="Arial" w:hAnsi="Arial" w:cs="Arial"/>
                <w:szCs w:val="21"/>
                <w:lang w:eastAsia="zh-CN"/>
              </w:rPr>
              <w:t>补风量</w:t>
            </w:r>
            <w:r>
              <w:rPr>
                <w:rFonts w:hint="eastAsia" w:ascii="Arial" w:hAnsi="Arial" w:cs="Arial"/>
                <w:szCs w:val="21"/>
                <w:lang w:eastAsia="zh-CN"/>
              </w:rPr>
              <w:t>不少于</w:t>
            </w:r>
            <w:r>
              <w:rPr>
                <w:rFonts w:ascii="Arial" w:hAnsi="Arial" w:cs="Arial"/>
                <w:szCs w:val="21"/>
                <w:lang w:eastAsia="zh-CN"/>
              </w:rPr>
              <w:t>排风量的</w:t>
            </w:r>
            <w:r>
              <w:rPr>
                <w:rFonts w:hint="eastAsia" w:ascii="Arial" w:hAnsi="Arial" w:cs="Arial"/>
                <w:color w:val="FF0000"/>
                <w:szCs w:val="21"/>
                <w:lang w:eastAsia="zh-CN"/>
              </w:rPr>
              <w:t>60%</w:t>
            </w:r>
            <w:r>
              <w:rPr>
                <w:rFonts w:ascii="Arial" w:hAnsi="Arial" w:cs="Arial"/>
                <w:szCs w:val="21"/>
                <w:lang w:eastAsia="zh-CN"/>
              </w:rPr>
              <w:t>。</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62" w:type="dxa"/>
            <w:vAlign w:val="center"/>
          </w:tcPr>
          <w:p>
            <w:pPr>
              <w:spacing w:line="360" w:lineRule="auto"/>
              <w:jc w:val="both"/>
              <w:rPr>
                <w:rFonts w:ascii="Times New Roman" w:hAnsi="Times New Roman"/>
                <w:color w:val="000000"/>
                <w:szCs w:val="21"/>
                <w:lang w:eastAsia="zh-CN"/>
              </w:rPr>
            </w:pPr>
            <w:r>
              <w:rPr>
                <w:rFonts w:hint="eastAsia" w:ascii="Arial" w:hAnsi="Arial" w:cs="Arial"/>
                <w:szCs w:val="21"/>
                <w:lang w:eastAsia="zh-CN"/>
              </w:rPr>
              <w:t>排</w:t>
            </w:r>
            <w:r>
              <w:rPr>
                <w:rFonts w:ascii="Arial" w:hAnsi="Arial" w:cs="Arial"/>
                <w:szCs w:val="21"/>
                <w:lang w:eastAsia="zh-CN"/>
              </w:rPr>
              <w:t>风柜</w:t>
            </w:r>
            <w:r>
              <w:rPr>
                <w:rFonts w:hint="eastAsia" w:ascii="Arial" w:hAnsi="Arial" w:cs="Arial"/>
                <w:szCs w:val="21"/>
                <w:lang w:eastAsia="zh-CN"/>
              </w:rPr>
              <w:t>需采用节能设计，为节能型产品，提供权威第三方节能认证报告，综合节能率在</w:t>
            </w:r>
            <w:r>
              <w:rPr>
                <w:rFonts w:hint="eastAsia" w:ascii="Arial" w:hAnsi="Arial" w:cs="Arial"/>
                <w:color w:val="FF0000"/>
                <w:szCs w:val="21"/>
                <w:lang w:eastAsia="zh-CN"/>
              </w:rPr>
              <w:t>50%</w:t>
            </w:r>
            <w:r>
              <w:rPr>
                <w:rFonts w:hint="eastAsia" w:ascii="Arial" w:hAnsi="Arial" w:cs="Arial"/>
                <w:szCs w:val="21"/>
                <w:lang w:eastAsia="zh-CN"/>
              </w:rPr>
              <w:t>以上。</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62" w:type="dxa"/>
            <w:vAlign w:val="center"/>
          </w:tcPr>
          <w:p>
            <w:pPr>
              <w:spacing w:line="360" w:lineRule="auto"/>
              <w:jc w:val="both"/>
              <w:rPr>
                <w:rFonts w:ascii="Times New Roman" w:hAnsi="Times New Roman"/>
                <w:color w:val="000000"/>
                <w:szCs w:val="21"/>
                <w:lang w:eastAsia="zh-CN"/>
              </w:rPr>
            </w:pPr>
            <w:r>
              <w:rPr>
                <w:rFonts w:hint="eastAsia" w:ascii="Arial" w:hAnsi="Arial" w:cs="Arial"/>
                <w:szCs w:val="21"/>
                <w:lang w:eastAsia="zh-CN"/>
              </w:rPr>
              <w:t>采用隐藏式补风风道设计，整体风道设计不影响柜体美观，结构稳固，耐用；风道需采用灵活的模块化设计，安装、检修、维护方便；</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62" w:type="dxa"/>
            <w:vAlign w:val="center"/>
          </w:tcPr>
          <w:p>
            <w:pPr>
              <w:spacing w:line="360" w:lineRule="auto"/>
              <w:rPr>
                <w:rFonts w:ascii="Arial" w:hAnsi="Arial" w:cs="Arial"/>
                <w:szCs w:val="21"/>
                <w:lang w:eastAsia="zh-CN"/>
              </w:rPr>
            </w:pPr>
            <w:r>
              <w:rPr>
                <w:rFonts w:hint="eastAsia" w:ascii="Arial" w:hAnsi="Arial" w:cs="Arial"/>
                <w:szCs w:val="21"/>
                <w:lang w:eastAsia="zh-CN"/>
              </w:rPr>
              <w:t>补风口位置位于操作面下前方，设计要求使人无明显的吹风感，移门处不会因为补风产生凝水。</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jc w:val="both"/>
              <w:rPr>
                <w:rFonts w:ascii="Times New Roman" w:hAnsi="Times New Roman"/>
                <w:szCs w:val="21"/>
                <w:lang w:eastAsia="zh-CN"/>
              </w:rPr>
            </w:pPr>
            <w:r>
              <w:rPr>
                <w:rFonts w:ascii="Arial" w:hAnsi="Arial" w:cs="Arial"/>
                <w:szCs w:val="21"/>
                <w:lang w:eastAsia="zh-CN"/>
              </w:rPr>
              <w:t>风压(压损)：应小于70Pa。</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62" w:type="dxa"/>
            <w:vAlign w:val="center"/>
          </w:tcPr>
          <w:p>
            <w:pPr>
              <w:spacing w:line="360" w:lineRule="auto"/>
              <w:jc w:val="both"/>
              <w:rPr>
                <w:rFonts w:ascii="Times New Roman" w:hAnsi="Times New Roman"/>
                <w:szCs w:val="21"/>
                <w:lang w:eastAsia="zh-CN"/>
              </w:rPr>
            </w:pPr>
            <w:r>
              <w:rPr>
                <w:rFonts w:ascii="Arial" w:hAnsi="Arial" w:cs="Arial"/>
                <w:szCs w:val="21"/>
                <w:lang w:eastAsia="zh-CN"/>
              </w:rPr>
              <w:t>可视烟雾流动显示试验：须无烟雾泄漏逸散出柜外，柜内无涡流死角且能平顺的将烟雾排出。</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62" w:type="dxa"/>
            <w:vAlign w:val="center"/>
          </w:tcPr>
          <w:p>
            <w:pPr>
              <w:spacing w:line="360" w:lineRule="auto"/>
              <w:rPr>
                <w:rFonts w:ascii="Arial" w:hAnsi="Arial" w:cs="Arial"/>
                <w:b/>
                <w:bCs/>
                <w:szCs w:val="21"/>
                <w:lang w:eastAsia="zh-CN"/>
              </w:rPr>
            </w:pPr>
            <w:r>
              <w:rPr>
                <w:rFonts w:ascii="Arial" w:hAnsi="Arial" w:cs="Arial"/>
                <w:b/>
                <w:bCs/>
                <w:szCs w:val="21"/>
                <w:lang w:eastAsia="zh-CN"/>
              </w:rPr>
              <w:t>柜身尺寸精度：</w:t>
            </w:r>
            <w:r>
              <w:rPr>
                <w:rFonts w:ascii="Arial" w:hAnsi="Arial" w:cs="Arial"/>
                <w:szCs w:val="21"/>
                <w:lang w:eastAsia="zh-CN"/>
              </w:rPr>
              <w:t>长、宽、高误差≤2mm；邻边垂直度：台面对角线、框架对角线1000mm≤1mm，2000mm≤1mm，3000mm≤2mm；地脚平衡性≤1mm。门与框架、门与门、门与抽屉缝隙、间隔1-2mm。</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62" w:type="dxa"/>
            <w:vAlign w:val="center"/>
          </w:tcPr>
          <w:p>
            <w:pPr>
              <w:spacing w:line="360" w:lineRule="auto"/>
              <w:rPr>
                <w:rFonts w:ascii="Arial" w:hAnsi="Arial" w:cs="Arial"/>
                <w:szCs w:val="21"/>
                <w:lang w:eastAsia="zh-CN"/>
              </w:rPr>
            </w:pPr>
            <w:r>
              <w:rPr>
                <w:rFonts w:hint="eastAsia" w:ascii="Arial" w:hAnsi="Arial" w:cs="Arial"/>
                <w:szCs w:val="21"/>
                <w:lang w:eastAsia="zh-CN"/>
              </w:rPr>
              <w:t>模块化结构，安装时无铆钉钻孔</w:t>
            </w:r>
          </w:p>
          <w:p>
            <w:pPr>
              <w:spacing w:line="360" w:lineRule="auto"/>
              <w:rPr>
                <w:rFonts w:ascii="Arial" w:hAnsi="Arial" w:cs="Arial"/>
                <w:szCs w:val="21"/>
                <w:lang w:eastAsia="zh-CN"/>
              </w:rPr>
            </w:pPr>
            <w:r>
              <w:rPr>
                <w:rFonts w:hint="eastAsia" w:ascii="Arial" w:hAnsi="Arial" w:cs="Arial"/>
                <w:szCs w:val="21"/>
                <w:lang w:eastAsia="zh-CN"/>
              </w:rPr>
              <w:t>合理的导流孔和导流板设计，使排风柜舱体达到近乎层流气流结构</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62" w:type="dxa"/>
            <w:vAlign w:val="center"/>
          </w:tcPr>
          <w:p>
            <w:pPr>
              <w:spacing w:line="360" w:lineRule="auto"/>
              <w:jc w:val="both"/>
              <w:rPr>
                <w:rFonts w:ascii="Times New Roman" w:hAnsi="Times New Roman"/>
                <w:color w:val="000000"/>
                <w:szCs w:val="21"/>
                <w:lang w:eastAsia="zh-CN"/>
              </w:rPr>
            </w:pPr>
            <w:r>
              <w:rPr>
                <w:rFonts w:ascii="Arial" w:hAnsi="Arial" w:cs="Arial"/>
                <w:b/>
                <w:bCs/>
                <w:szCs w:val="21"/>
                <w:lang w:eastAsia="zh-CN"/>
              </w:rPr>
              <w:t>上饰板：</w:t>
            </w:r>
            <w:r>
              <w:rPr>
                <w:rFonts w:hint="eastAsia" w:ascii="Arial" w:hAnsi="Arial" w:cs="Arial"/>
                <w:szCs w:val="21"/>
                <w:lang w:eastAsia="zh-CN"/>
              </w:rPr>
              <w:t>排</w:t>
            </w:r>
            <w:r>
              <w:rPr>
                <w:rFonts w:ascii="Arial" w:hAnsi="Arial" w:cs="Arial"/>
                <w:szCs w:val="21"/>
                <w:lang w:eastAsia="zh-CN"/>
              </w:rPr>
              <w:t>风柜安装完成，需加装</w:t>
            </w:r>
            <w:r>
              <w:rPr>
                <w:rFonts w:hint="eastAsia" w:ascii="Arial" w:hAnsi="Arial" w:cs="Arial"/>
                <w:szCs w:val="21"/>
                <w:lang w:eastAsia="zh-CN"/>
              </w:rPr>
              <w:t>排</w:t>
            </w:r>
            <w:r>
              <w:rPr>
                <w:rFonts w:ascii="Arial" w:hAnsi="Arial" w:cs="Arial"/>
                <w:szCs w:val="21"/>
                <w:lang w:eastAsia="zh-CN"/>
              </w:rPr>
              <w:t>风柜上饰板，和</w:t>
            </w:r>
            <w:r>
              <w:rPr>
                <w:rFonts w:hint="eastAsia" w:ascii="Arial" w:hAnsi="Arial" w:cs="Arial"/>
                <w:szCs w:val="21"/>
                <w:lang w:eastAsia="zh-CN"/>
              </w:rPr>
              <w:t>排</w:t>
            </w:r>
            <w:r>
              <w:rPr>
                <w:rFonts w:ascii="Arial" w:hAnsi="Arial" w:cs="Arial"/>
                <w:szCs w:val="21"/>
                <w:lang w:eastAsia="zh-CN"/>
              </w:rPr>
              <w:t>风柜前饰板同材质，并考虑快拆结构，便于维修。</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62" w:type="dxa"/>
            <w:vAlign w:val="center"/>
          </w:tcPr>
          <w:p>
            <w:pPr>
              <w:spacing w:line="360" w:lineRule="auto"/>
              <w:jc w:val="both"/>
              <w:rPr>
                <w:rFonts w:ascii="Arial" w:hAnsi="Arial" w:cs="Arial"/>
                <w:b/>
                <w:szCs w:val="21"/>
                <w:u w:val="single"/>
                <w:lang w:eastAsia="zh-CN"/>
              </w:rPr>
            </w:pPr>
            <w:r>
              <w:rPr>
                <w:rFonts w:ascii="Arial" w:hAnsi="Arial" w:cs="Arial"/>
                <w:b/>
                <w:szCs w:val="21"/>
                <w:u w:val="single"/>
                <w:lang w:eastAsia="zh-CN"/>
              </w:rPr>
              <w:t>调节门系统</w:t>
            </w:r>
          </w:p>
          <w:p>
            <w:pPr>
              <w:pStyle w:val="51"/>
              <w:spacing w:line="360" w:lineRule="auto"/>
              <w:rPr>
                <w:rFonts w:ascii="Arial" w:hAnsi="Arial" w:cs="Arial"/>
                <w:sz w:val="21"/>
                <w:szCs w:val="21"/>
              </w:rPr>
            </w:pPr>
            <w:r>
              <w:rPr>
                <w:rFonts w:ascii="Arial" w:hAnsi="Arial" w:cs="Arial"/>
                <w:sz w:val="21"/>
                <w:szCs w:val="21"/>
              </w:rPr>
              <w:t>视窗拉门：</w:t>
            </w:r>
          </w:p>
          <w:p>
            <w:pPr>
              <w:pStyle w:val="51"/>
              <w:spacing w:line="360" w:lineRule="auto"/>
              <w:rPr>
                <w:rFonts w:ascii="Arial" w:hAnsi="Arial" w:cs="Arial"/>
                <w:sz w:val="21"/>
                <w:szCs w:val="21"/>
              </w:rPr>
            </w:pPr>
            <w:r>
              <w:rPr>
                <w:rFonts w:ascii="Arial" w:hAnsi="Arial" w:cs="Arial"/>
                <w:sz w:val="21"/>
                <w:szCs w:val="21"/>
              </w:rPr>
              <w:t>1、活动式垂直水平拉升，置于工作空间与操作者之间以保护操作者安全。</w:t>
            </w:r>
          </w:p>
          <w:p>
            <w:pPr>
              <w:pStyle w:val="51"/>
              <w:spacing w:line="360" w:lineRule="auto"/>
              <w:rPr>
                <w:rFonts w:ascii="Arial" w:hAnsi="Arial" w:cs="Arial"/>
                <w:sz w:val="21"/>
                <w:szCs w:val="21"/>
              </w:rPr>
            </w:pPr>
            <w:r>
              <w:rPr>
                <w:rFonts w:ascii="Arial" w:hAnsi="Arial" w:cs="Arial"/>
                <w:sz w:val="21"/>
                <w:szCs w:val="21"/>
              </w:rPr>
              <w:t>2、结合平衡位置，拉门可停于任意活动点。</w:t>
            </w:r>
          </w:p>
          <w:p>
            <w:pPr>
              <w:spacing w:line="360" w:lineRule="auto"/>
              <w:jc w:val="both"/>
              <w:rPr>
                <w:rFonts w:ascii="Arial" w:hAnsi="Arial" w:cs="Arial"/>
                <w:szCs w:val="21"/>
                <w:lang w:eastAsia="zh-CN"/>
              </w:rPr>
            </w:pPr>
            <w:r>
              <w:rPr>
                <w:rFonts w:ascii="Arial" w:hAnsi="Arial" w:cs="Arial"/>
                <w:szCs w:val="21"/>
                <w:lang w:eastAsia="zh-CN"/>
              </w:rPr>
              <w:t>3、调节门上方设有玻璃视窗，视野可完全清晰、无阻碍。</w:t>
            </w:r>
          </w:p>
          <w:p>
            <w:pPr>
              <w:spacing w:line="360" w:lineRule="auto"/>
              <w:rPr>
                <w:rFonts w:ascii="Arial" w:hAnsi="Arial" w:cs="Arial"/>
                <w:szCs w:val="21"/>
                <w:lang w:eastAsia="zh-CN"/>
              </w:rPr>
            </w:pPr>
            <w:r>
              <w:rPr>
                <w:rFonts w:ascii="Arial" w:hAnsi="Arial" w:cs="Arial"/>
                <w:szCs w:val="21"/>
                <w:lang w:eastAsia="zh-CN"/>
              </w:rPr>
              <w:t>调节门最高开启高度在</w:t>
            </w:r>
            <w:r>
              <w:rPr>
                <w:rFonts w:hint="eastAsia" w:ascii="Arial" w:hAnsi="Arial" w:cs="Arial"/>
                <w:szCs w:val="21"/>
                <w:lang w:eastAsia="zh-CN"/>
              </w:rPr>
              <w:t>台面</w:t>
            </w:r>
            <w:r>
              <w:rPr>
                <w:rFonts w:ascii="Arial" w:hAnsi="Arial" w:cs="Arial"/>
                <w:szCs w:val="21"/>
                <w:lang w:eastAsia="zh-CN"/>
              </w:rPr>
              <w:t>上方至少750mm；</w:t>
            </w:r>
          </w:p>
          <w:p>
            <w:pPr>
              <w:spacing w:line="360" w:lineRule="auto"/>
              <w:jc w:val="both"/>
              <w:rPr>
                <w:rFonts w:ascii="Arial" w:hAnsi="Arial" w:cs="Arial"/>
                <w:b/>
                <w:bCs/>
                <w:szCs w:val="21"/>
                <w:lang w:eastAsia="zh-CN"/>
              </w:rPr>
            </w:pPr>
            <w:r>
              <w:rPr>
                <w:rFonts w:ascii="Arial" w:hAnsi="Arial" w:cs="Arial"/>
                <w:szCs w:val="21"/>
                <w:lang w:eastAsia="zh-CN"/>
              </w:rPr>
              <w:t>调节门最低关闭高度在</w:t>
            </w:r>
            <w:r>
              <w:rPr>
                <w:rFonts w:hint="eastAsia" w:ascii="Arial" w:hAnsi="Arial" w:cs="Arial"/>
                <w:szCs w:val="21"/>
                <w:lang w:eastAsia="zh-CN"/>
              </w:rPr>
              <w:t>台面</w:t>
            </w:r>
            <w:r>
              <w:rPr>
                <w:rFonts w:ascii="Arial" w:hAnsi="Arial" w:cs="Arial"/>
                <w:szCs w:val="21"/>
                <w:lang w:eastAsia="zh-CN"/>
              </w:rPr>
              <w:t>上方约3</w:t>
            </w:r>
            <w:r>
              <w:rPr>
                <w:rFonts w:hint="eastAsia" w:ascii="Arial" w:hAnsi="Arial" w:cs="Arial"/>
                <w:szCs w:val="21"/>
                <w:lang w:eastAsia="zh-CN"/>
              </w:rPr>
              <w:t>0</w:t>
            </w:r>
            <w:r>
              <w:rPr>
                <w:rFonts w:ascii="Arial" w:hAnsi="Arial" w:cs="Arial"/>
                <w:szCs w:val="21"/>
                <w:lang w:eastAsia="zh-CN"/>
              </w:rPr>
              <w:t>~5</w:t>
            </w:r>
            <w:r>
              <w:rPr>
                <w:rFonts w:hint="eastAsia" w:ascii="Arial" w:hAnsi="Arial" w:cs="Arial"/>
                <w:szCs w:val="21"/>
                <w:lang w:eastAsia="zh-CN"/>
              </w:rPr>
              <w:t>0</w:t>
            </w:r>
            <w:r>
              <w:rPr>
                <w:rFonts w:ascii="Arial" w:hAnsi="Arial" w:cs="Arial"/>
                <w:szCs w:val="21"/>
                <w:lang w:eastAsia="zh-CN"/>
              </w:rPr>
              <w:t>mm内。</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r>
              <w:rPr>
                <w:rFonts w:hint="eastAsia" w:ascii="Times New Roman" w:hAnsi="Times New Roman"/>
                <w:szCs w:val="21"/>
              </w:rPr>
              <w:t>8</w:t>
            </w:r>
          </w:p>
        </w:tc>
        <w:tc>
          <w:tcPr>
            <w:tcW w:w="7162" w:type="dxa"/>
            <w:vAlign w:val="center"/>
          </w:tcPr>
          <w:p>
            <w:pPr>
              <w:spacing w:line="360" w:lineRule="auto"/>
              <w:jc w:val="both"/>
              <w:rPr>
                <w:rFonts w:ascii="Arial" w:hAnsi="Arial" w:cs="Arial"/>
                <w:szCs w:val="21"/>
                <w:lang w:eastAsia="zh-CN"/>
              </w:rPr>
            </w:pPr>
            <w:r>
              <w:rPr>
                <w:rFonts w:ascii="Arial" w:hAnsi="Arial" w:cs="Arial"/>
                <w:b/>
                <w:szCs w:val="21"/>
                <w:u w:val="single"/>
              </w:rPr>
              <w:t>控制系统</w:t>
            </w:r>
          </w:p>
          <w:p>
            <w:pPr>
              <w:spacing w:line="360" w:lineRule="auto"/>
              <w:rPr>
                <w:rFonts w:ascii="Arial" w:hAnsi="Arial" w:cs="Arial"/>
                <w:szCs w:val="21"/>
                <w:lang w:eastAsia="zh-CN"/>
              </w:rPr>
            </w:pPr>
            <w:r>
              <w:rPr>
                <w:rFonts w:hint="eastAsia" w:ascii="Arial" w:hAnsi="Arial" w:cs="Arial"/>
                <w:szCs w:val="21"/>
                <w:lang w:eastAsia="zh-CN"/>
              </w:rPr>
              <w:t>1、</w:t>
            </w:r>
            <w:r>
              <w:rPr>
                <w:rFonts w:ascii="Arial" w:hAnsi="Arial" w:cs="Arial"/>
                <w:szCs w:val="21"/>
                <w:lang w:eastAsia="zh-CN"/>
              </w:rPr>
              <w:t>变风量系统采用</w:t>
            </w:r>
            <w:r>
              <w:rPr>
                <w:rFonts w:hint="eastAsia" w:ascii="Arial" w:hAnsi="Arial" w:cs="Arial"/>
                <w:szCs w:val="21"/>
                <w:lang w:eastAsia="zh-CN"/>
              </w:rPr>
              <w:t>多叶</w:t>
            </w:r>
            <w:r>
              <w:rPr>
                <w:rFonts w:ascii="Arial" w:hAnsi="Arial" w:cs="Arial"/>
                <w:szCs w:val="21"/>
                <w:lang w:eastAsia="zh-CN"/>
              </w:rPr>
              <w:t>变风量风阀，具备压力无关性特性（必须提供第三方压力无关性认证报告）</w:t>
            </w:r>
          </w:p>
          <w:p>
            <w:pPr>
              <w:spacing w:line="360" w:lineRule="auto"/>
              <w:rPr>
                <w:rFonts w:ascii="Arial" w:hAnsi="Arial" w:cs="Arial"/>
                <w:szCs w:val="21"/>
                <w:lang w:eastAsia="zh-CN"/>
              </w:rPr>
            </w:pPr>
            <w:r>
              <w:rPr>
                <w:rFonts w:ascii="Times New Roman" w:hAnsi="Times New Roman"/>
                <w:szCs w:val="21"/>
                <w:lang w:val="en-US" w:eastAsia="zh-CN"/>
              </w:rPr>
              <w:t>2</w:t>
            </w:r>
            <w:r>
              <w:rPr>
                <w:rFonts w:hint="eastAsia" w:ascii="Times New Roman" w:hAnsi="Times New Roman"/>
                <w:szCs w:val="21"/>
                <w:lang w:val="en-US" w:eastAsia="zh-CN"/>
              </w:rPr>
              <w:t>、</w:t>
            </w:r>
            <w:r>
              <w:rPr>
                <w:rFonts w:hint="eastAsia" w:ascii="Times New Roman" w:hAnsi="Times New Roman"/>
                <w:szCs w:val="21"/>
                <w:lang w:eastAsia="zh-CN"/>
              </w:rPr>
              <w:t>通风橱采</w:t>
            </w:r>
            <w:r>
              <w:rPr>
                <w:rFonts w:hint="eastAsia" w:ascii="Arial" w:hAnsi="Arial" w:cs="Arial"/>
                <w:szCs w:val="21"/>
                <w:lang w:eastAsia="zh-CN"/>
              </w:rPr>
              <w:t>用风量控制方式，控制排、补风风量值在设定的范围，并具有排、补风连锁控制功能，当排风关闭时补风相应关闭，从而确保产品的性能。</w:t>
            </w:r>
          </w:p>
          <w:p>
            <w:pPr>
              <w:spacing w:line="360" w:lineRule="auto"/>
              <w:rPr>
                <w:rFonts w:ascii="Arial" w:hAnsi="Arial" w:cs="Arial"/>
                <w:szCs w:val="21"/>
                <w:lang w:eastAsia="zh-CN"/>
              </w:rPr>
            </w:pPr>
            <w:r>
              <w:rPr>
                <w:rFonts w:ascii="Arial" w:hAnsi="Arial" w:cs="Arial"/>
                <w:szCs w:val="21"/>
                <w:lang w:eastAsia="zh-CN"/>
              </w:rPr>
              <w:t>3</w:t>
            </w:r>
            <w:r>
              <w:rPr>
                <w:rFonts w:hint="eastAsia" w:ascii="Arial" w:hAnsi="Arial" w:cs="Arial"/>
                <w:szCs w:val="21"/>
                <w:lang w:eastAsia="zh-CN"/>
              </w:rPr>
              <w:t>、VAV系统可根据移门高度变化自动调节，以满足不同状态下的安全排、补风量要求。</w:t>
            </w:r>
            <w:r>
              <w:rPr>
                <w:rFonts w:ascii="Arial" w:hAnsi="Arial" w:cs="Arial"/>
                <w:szCs w:val="21"/>
                <w:lang w:eastAsia="zh-CN"/>
              </w:rPr>
              <w:t xml:space="preserve"> </w:t>
            </w:r>
          </w:p>
          <w:p>
            <w:pPr>
              <w:spacing w:line="360" w:lineRule="auto"/>
              <w:rPr>
                <w:rFonts w:ascii="Arial" w:hAnsi="Arial" w:cs="Arial"/>
                <w:szCs w:val="21"/>
                <w:lang w:eastAsia="zh-CN"/>
              </w:rPr>
            </w:pPr>
            <w:r>
              <w:rPr>
                <w:rFonts w:hint="eastAsia" w:ascii="Arial" w:hAnsi="Arial" w:cs="Arial"/>
                <w:szCs w:val="21"/>
                <w:lang w:eastAsia="zh-CN"/>
              </w:rPr>
              <w:t>4、支持一般工作模式、夜间工作工作模式；支持意外紧急排放功能键。</w:t>
            </w:r>
          </w:p>
          <w:p>
            <w:pPr>
              <w:spacing w:line="360" w:lineRule="auto"/>
              <w:rPr>
                <w:rFonts w:ascii="Arial" w:hAnsi="Arial" w:cs="Arial"/>
                <w:szCs w:val="21"/>
                <w:lang w:eastAsia="zh-CN"/>
              </w:rPr>
            </w:pPr>
            <w:r>
              <w:rPr>
                <w:rFonts w:hint="eastAsia" w:ascii="Arial" w:hAnsi="Arial" w:cs="Arial"/>
                <w:szCs w:val="21"/>
                <w:lang w:eastAsia="zh-CN"/>
              </w:rPr>
              <w:t>5、必须提供控制系统及风阀</w:t>
            </w:r>
            <w:r>
              <w:rPr>
                <w:rFonts w:ascii="Arial" w:hAnsi="Arial" w:cs="Arial"/>
                <w:szCs w:val="21"/>
                <w:lang w:eastAsia="zh-CN"/>
              </w:rPr>
              <w:t>CE</w:t>
            </w:r>
            <w:r>
              <w:rPr>
                <w:rFonts w:hint="eastAsia" w:ascii="Arial" w:hAnsi="Arial" w:cs="Arial"/>
                <w:szCs w:val="21"/>
                <w:lang w:eastAsia="zh-CN"/>
              </w:rPr>
              <w:t>认证报告。</w:t>
            </w:r>
          </w:p>
          <w:p>
            <w:pPr>
              <w:spacing w:line="360" w:lineRule="auto"/>
              <w:rPr>
                <w:rFonts w:ascii="Arial" w:hAnsi="Arial" w:cs="Arial"/>
                <w:szCs w:val="21"/>
                <w:lang w:eastAsia="zh-CN"/>
              </w:rPr>
            </w:pPr>
            <w:r>
              <w:rPr>
                <w:rFonts w:ascii="Arial" w:hAnsi="Arial" w:cs="Arial"/>
                <w:szCs w:val="21"/>
                <w:lang w:val="en-US" w:eastAsia="zh-CN"/>
              </w:rPr>
              <w:t>6</w:t>
            </w:r>
            <w:r>
              <w:rPr>
                <w:rFonts w:hint="eastAsia" w:ascii="Arial" w:hAnsi="Arial" w:cs="Arial"/>
                <w:szCs w:val="21"/>
                <w:lang w:val="en-US" w:eastAsia="zh-CN"/>
              </w:rPr>
              <w:t>、</w:t>
            </w:r>
            <w:r>
              <w:rPr>
                <w:rFonts w:ascii="Arial" w:hAnsi="Arial" w:cs="Arial"/>
                <w:szCs w:val="21"/>
                <w:lang w:eastAsia="zh-CN"/>
              </w:rPr>
              <w:t>使用</w:t>
            </w:r>
            <w:r>
              <w:rPr>
                <w:rFonts w:hint="eastAsia" w:ascii="Arial" w:hAnsi="Arial" w:cs="Arial"/>
                <w:szCs w:val="21"/>
                <w:lang w:eastAsia="zh-CN"/>
              </w:rPr>
              <w:t>LCD</w:t>
            </w:r>
            <w:r>
              <w:rPr>
                <w:rFonts w:ascii="Arial" w:hAnsi="Arial" w:cs="Arial"/>
                <w:szCs w:val="21"/>
                <w:lang w:eastAsia="zh-CN"/>
              </w:rPr>
              <w:t>显示</w:t>
            </w:r>
            <w:r>
              <w:rPr>
                <w:rFonts w:hint="eastAsia" w:ascii="Arial" w:hAnsi="Arial" w:cs="Arial"/>
                <w:szCs w:val="21"/>
                <w:lang w:eastAsia="zh-CN"/>
              </w:rPr>
              <w:t>屏</w:t>
            </w:r>
            <w:r>
              <w:rPr>
                <w:rFonts w:ascii="Arial" w:hAnsi="Arial" w:cs="Arial"/>
                <w:szCs w:val="21"/>
                <w:lang w:eastAsia="zh-CN"/>
              </w:rPr>
              <w:t>，交互式人机界面，实时显示管道排</w:t>
            </w:r>
            <w:r>
              <w:rPr>
                <w:rFonts w:hint="eastAsia" w:ascii="Arial" w:hAnsi="Arial" w:cs="Arial"/>
                <w:szCs w:val="21"/>
                <w:lang w:eastAsia="zh-CN"/>
              </w:rPr>
              <w:t>、</w:t>
            </w:r>
            <w:r>
              <w:rPr>
                <w:rFonts w:ascii="Arial" w:hAnsi="Arial" w:cs="Arial"/>
                <w:szCs w:val="21"/>
                <w:lang w:eastAsia="zh-CN"/>
              </w:rPr>
              <w:t>补风量、风阀开启角度、</w:t>
            </w:r>
            <w:r>
              <w:rPr>
                <w:rFonts w:hint="eastAsia" w:ascii="Arial" w:hAnsi="Arial" w:cs="Arial"/>
                <w:szCs w:val="21"/>
                <w:lang w:eastAsia="zh-CN"/>
              </w:rPr>
              <w:t>室内抽风量</w:t>
            </w:r>
            <w:r>
              <w:rPr>
                <w:rFonts w:ascii="Arial" w:hAnsi="Arial" w:cs="Arial"/>
                <w:szCs w:val="21"/>
                <w:lang w:eastAsia="zh-CN"/>
              </w:rPr>
              <w:t>以及门高</w:t>
            </w:r>
            <w:r>
              <w:rPr>
                <w:rFonts w:hint="eastAsia" w:ascii="Arial" w:hAnsi="Arial" w:cs="Arial"/>
                <w:szCs w:val="21"/>
                <w:lang w:eastAsia="zh-CN"/>
              </w:rPr>
              <w:t>数据</w:t>
            </w:r>
            <w:r>
              <w:rPr>
                <w:rFonts w:ascii="Arial" w:hAnsi="Arial" w:cs="Arial"/>
                <w:szCs w:val="21"/>
                <w:lang w:eastAsia="zh-CN"/>
              </w:rPr>
              <w:t>。</w:t>
            </w:r>
          </w:p>
          <w:p>
            <w:pPr>
              <w:spacing w:line="360" w:lineRule="auto"/>
              <w:rPr>
                <w:rFonts w:ascii="Arial" w:hAnsi="Arial" w:cs="Arial"/>
                <w:szCs w:val="21"/>
                <w:lang w:eastAsia="zh-CN"/>
              </w:rPr>
            </w:pPr>
            <w:r>
              <w:rPr>
                <w:rFonts w:ascii="Arial" w:hAnsi="Arial" w:cs="Arial"/>
                <w:szCs w:val="21"/>
                <w:lang w:val="en-US" w:eastAsia="zh-CN"/>
              </w:rPr>
              <w:t>7</w:t>
            </w:r>
            <w:r>
              <w:rPr>
                <w:rFonts w:hint="eastAsia" w:ascii="Arial" w:hAnsi="Arial" w:cs="Arial"/>
                <w:szCs w:val="21"/>
                <w:lang w:val="en-US" w:eastAsia="zh-CN"/>
              </w:rPr>
              <w:t>、</w:t>
            </w:r>
            <w:r>
              <w:rPr>
                <w:rFonts w:ascii="Arial" w:hAnsi="Arial" w:cs="Arial"/>
                <w:szCs w:val="21"/>
                <w:lang w:eastAsia="zh-CN"/>
              </w:rPr>
              <w:t>支持风量控制模式，可依据实测风量值进行精确调节</w:t>
            </w:r>
            <w:r>
              <w:rPr>
                <w:rFonts w:hint="eastAsia" w:ascii="Arial" w:hAnsi="Arial" w:cs="Arial"/>
                <w:szCs w:val="21"/>
                <w:lang w:eastAsia="zh-CN"/>
              </w:rPr>
              <w:t>，并且具备低风量报警、移门超限报警等功能。</w:t>
            </w:r>
          </w:p>
          <w:p>
            <w:pPr>
              <w:spacing w:line="360" w:lineRule="auto"/>
              <w:rPr>
                <w:rFonts w:ascii="Arial" w:hAnsi="Arial" w:cs="Arial"/>
                <w:szCs w:val="21"/>
                <w:lang w:eastAsia="zh-CN"/>
              </w:rPr>
            </w:pPr>
            <w:r>
              <w:rPr>
                <w:rFonts w:hint="eastAsia" w:ascii="Arial" w:hAnsi="Arial" w:cs="Arial"/>
                <w:szCs w:val="21"/>
                <w:lang w:eastAsia="zh-CN"/>
              </w:rPr>
              <w:t>8、排风柜面宽、补风比例、位移复位、排风面风速、门高限位、人体红外感应时间均可就地设置，LCD</w:t>
            </w:r>
            <w:r>
              <w:rPr>
                <w:rFonts w:ascii="Arial" w:hAnsi="Arial" w:cs="Arial"/>
                <w:szCs w:val="21"/>
                <w:lang w:eastAsia="zh-CN"/>
              </w:rPr>
              <w:t>显示</w:t>
            </w:r>
            <w:r>
              <w:rPr>
                <w:rFonts w:hint="eastAsia" w:ascii="Arial" w:hAnsi="Arial" w:cs="Arial"/>
                <w:szCs w:val="21"/>
                <w:lang w:eastAsia="zh-CN"/>
              </w:rPr>
              <w:t>屏应有相应调整目录，且进入界面应设置密码保护，避免误操作。</w:t>
            </w:r>
          </w:p>
          <w:p>
            <w:pPr>
              <w:spacing w:line="360" w:lineRule="auto"/>
              <w:rPr>
                <w:rFonts w:ascii="Arial" w:hAnsi="Arial" w:cs="Arial"/>
                <w:szCs w:val="21"/>
                <w:lang w:eastAsia="zh-CN"/>
              </w:rPr>
            </w:pPr>
            <w:r>
              <w:rPr>
                <w:rFonts w:ascii="Arial" w:hAnsi="Arial" w:cs="Arial"/>
                <w:szCs w:val="21"/>
                <w:lang w:val="en-US" w:eastAsia="zh-CN"/>
              </w:rPr>
              <w:t>9</w:t>
            </w:r>
            <w:r>
              <w:rPr>
                <w:rFonts w:hint="eastAsia" w:ascii="Arial" w:hAnsi="Arial" w:cs="Arial"/>
                <w:szCs w:val="21"/>
                <w:lang w:val="en-US" w:eastAsia="zh-CN"/>
              </w:rPr>
              <w:t>、</w:t>
            </w:r>
            <w:r>
              <w:rPr>
                <w:rFonts w:hint="eastAsia" w:ascii="Arial" w:hAnsi="Arial" w:cs="Arial"/>
                <w:szCs w:val="21"/>
                <w:lang w:eastAsia="zh-CN"/>
              </w:rPr>
              <w:t>具备紧急排风按键，紧急情况下，通过此按键实现最大排风操作，同时补风风阀自动闭合。紧急情况解除，可通过顺时针旋动按钮复原，同时操作面板报警解除。当断电或故障时，风阀应处于最大排风状态。</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7"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62" w:type="dxa"/>
            <w:vAlign w:val="center"/>
          </w:tcPr>
          <w:p>
            <w:pPr>
              <w:spacing w:line="360" w:lineRule="auto"/>
              <w:jc w:val="both"/>
              <w:rPr>
                <w:rFonts w:ascii="Arial" w:hAnsi="Arial" w:cs="Arial"/>
                <w:b/>
                <w:szCs w:val="21"/>
                <w:lang w:eastAsia="zh-CN"/>
              </w:rPr>
            </w:pPr>
            <w:r>
              <w:rPr>
                <w:rFonts w:hint="eastAsia" w:ascii="Arial" w:hAnsi="Arial" w:cs="Arial"/>
                <w:b/>
                <w:szCs w:val="21"/>
                <w:lang w:eastAsia="zh-CN"/>
              </w:rPr>
              <w:t>排风动力系统</w:t>
            </w:r>
          </w:p>
          <w:p>
            <w:pPr>
              <w:spacing w:line="360" w:lineRule="auto"/>
              <w:jc w:val="both"/>
              <w:rPr>
                <w:rFonts w:ascii="Arial" w:hAnsi="Arial" w:cs="Arial"/>
                <w:bCs/>
                <w:szCs w:val="21"/>
                <w:lang w:eastAsia="zh-CN"/>
              </w:rPr>
            </w:pPr>
            <w:r>
              <w:rPr>
                <w:rFonts w:hint="eastAsia" w:ascii="Arial" w:hAnsi="Arial" w:cs="Arial"/>
                <w:bCs/>
                <w:szCs w:val="21"/>
                <w:lang w:eastAsia="zh-CN"/>
              </w:rPr>
              <w:t>1、配套支持变风量控制系统。</w:t>
            </w:r>
          </w:p>
          <w:p>
            <w:pPr>
              <w:spacing w:line="360" w:lineRule="auto"/>
              <w:jc w:val="both"/>
              <w:rPr>
                <w:rFonts w:ascii="Arial" w:hAnsi="Arial" w:cs="Arial"/>
                <w:bCs/>
                <w:szCs w:val="21"/>
                <w:lang w:eastAsia="zh-CN"/>
              </w:rPr>
            </w:pPr>
            <w:r>
              <w:rPr>
                <w:rFonts w:hint="eastAsia" w:ascii="Arial" w:hAnsi="Arial" w:cs="Arial"/>
                <w:bCs/>
                <w:szCs w:val="21"/>
                <w:lang w:eastAsia="zh-CN"/>
              </w:rPr>
              <w:t>2、风管风速：送、排风风管支管内风速6-9m/s，干管内风速8-12m/s。</w:t>
            </w:r>
          </w:p>
          <w:p>
            <w:pPr>
              <w:spacing w:line="360" w:lineRule="auto"/>
              <w:jc w:val="both"/>
              <w:rPr>
                <w:rFonts w:ascii="Arial" w:hAnsi="Arial" w:cs="Arial"/>
                <w:bCs/>
                <w:szCs w:val="21"/>
                <w:lang w:eastAsia="zh-CN"/>
              </w:rPr>
            </w:pPr>
            <w:r>
              <w:rPr>
                <w:rFonts w:hint="eastAsia" w:ascii="Arial" w:hAnsi="Arial" w:cs="Arial"/>
                <w:bCs/>
                <w:szCs w:val="21"/>
                <w:lang w:eastAsia="zh-CN"/>
              </w:rPr>
              <w:t>3、风速、风量稳定、噪声低（≤60dB），符合国家相关标准及招标要求；</w:t>
            </w:r>
          </w:p>
          <w:p>
            <w:pPr>
              <w:spacing w:line="360" w:lineRule="auto"/>
              <w:jc w:val="both"/>
              <w:rPr>
                <w:rFonts w:ascii="Arial" w:hAnsi="Arial" w:cs="Arial"/>
                <w:bCs/>
                <w:szCs w:val="21"/>
                <w:lang w:eastAsia="zh-CN"/>
              </w:rPr>
            </w:pPr>
            <w:r>
              <w:rPr>
                <w:rFonts w:hint="eastAsia" w:ascii="Arial" w:hAnsi="Arial" w:cs="Arial"/>
                <w:bCs/>
                <w:szCs w:val="21"/>
                <w:lang w:eastAsia="zh-CN"/>
              </w:rPr>
              <w:t>4、在保证工作人员安全的基础上最大可能实现节能，并可根据通风柜所做实验的性质对排风量进行设定。</w:t>
            </w:r>
          </w:p>
          <w:p>
            <w:pPr>
              <w:spacing w:line="360" w:lineRule="auto"/>
              <w:jc w:val="both"/>
              <w:rPr>
                <w:rFonts w:ascii="Arial" w:hAnsi="Arial" w:cs="Arial"/>
                <w:bCs/>
                <w:szCs w:val="21"/>
                <w:lang w:eastAsia="zh-CN"/>
              </w:rPr>
            </w:pPr>
            <w:r>
              <w:rPr>
                <w:rFonts w:hint="eastAsia" w:ascii="Arial" w:hAnsi="Arial" w:cs="Arial"/>
                <w:bCs/>
                <w:szCs w:val="21"/>
                <w:lang w:eastAsia="zh-CN"/>
              </w:rPr>
              <w:t>5、万向罩风量恒定，可以根据需要进行独立调节。</w:t>
            </w:r>
          </w:p>
          <w:p>
            <w:pPr>
              <w:spacing w:line="360" w:lineRule="auto"/>
              <w:jc w:val="both"/>
              <w:rPr>
                <w:rFonts w:ascii="Arial" w:hAnsi="Arial" w:cs="Arial"/>
                <w:bCs/>
                <w:szCs w:val="21"/>
                <w:lang w:eastAsia="zh-CN"/>
              </w:rPr>
            </w:pPr>
            <w:r>
              <w:rPr>
                <w:rFonts w:hint="eastAsia" w:ascii="Arial" w:hAnsi="Arial" w:cs="Arial"/>
                <w:bCs/>
                <w:szCs w:val="21"/>
                <w:lang w:eastAsia="zh-CN"/>
              </w:rPr>
              <w:t>6、实验室通风系统风管材质：</w:t>
            </w:r>
          </w:p>
          <w:p>
            <w:pPr>
              <w:spacing w:line="360" w:lineRule="auto"/>
              <w:jc w:val="both"/>
              <w:rPr>
                <w:rFonts w:ascii="Arial" w:hAnsi="Arial" w:cs="Arial"/>
                <w:bCs/>
                <w:szCs w:val="21"/>
                <w:lang w:eastAsia="zh-CN"/>
              </w:rPr>
            </w:pPr>
            <w:r>
              <w:rPr>
                <w:rFonts w:hint="eastAsia" w:ascii="Arial" w:hAnsi="Arial" w:cs="Arial"/>
                <w:bCs/>
                <w:szCs w:val="21"/>
                <w:lang w:eastAsia="zh-CN"/>
              </w:rPr>
              <w:t>1）</w:t>
            </w:r>
            <w:r>
              <w:rPr>
                <w:rFonts w:hint="eastAsia" w:ascii="Arial" w:hAnsi="Arial" w:cs="Arial"/>
                <w:bCs/>
                <w:szCs w:val="21"/>
                <w:lang w:eastAsia="zh-CN"/>
              </w:rPr>
              <w:tab/>
            </w:r>
            <w:r>
              <w:rPr>
                <w:rFonts w:hint="eastAsia" w:ascii="Arial" w:hAnsi="Arial" w:cs="Arial"/>
                <w:bCs/>
                <w:szCs w:val="21"/>
                <w:lang w:eastAsia="zh-CN"/>
              </w:rPr>
              <w:t>室内、室外排风管道全部采用PP材质，</w:t>
            </w:r>
          </w:p>
          <w:p>
            <w:pPr>
              <w:spacing w:line="360" w:lineRule="auto"/>
              <w:jc w:val="both"/>
              <w:rPr>
                <w:rFonts w:ascii="Arial" w:hAnsi="Arial" w:cs="Arial"/>
                <w:bCs/>
                <w:szCs w:val="21"/>
                <w:lang w:eastAsia="zh-CN"/>
              </w:rPr>
            </w:pPr>
            <w:r>
              <w:rPr>
                <w:rFonts w:hint="eastAsia" w:ascii="Arial" w:hAnsi="Arial" w:cs="Arial"/>
                <w:bCs/>
                <w:szCs w:val="21"/>
                <w:lang w:eastAsia="zh-CN"/>
              </w:rPr>
              <w:t>2）</w:t>
            </w:r>
            <w:r>
              <w:rPr>
                <w:rFonts w:hint="eastAsia" w:ascii="Arial" w:hAnsi="Arial" w:cs="Arial"/>
                <w:bCs/>
                <w:szCs w:val="21"/>
                <w:lang w:eastAsia="zh-CN"/>
              </w:rPr>
              <w:tab/>
            </w:r>
            <w:r>
              <w:rPr>
                <w:rFonts w:hint="eastAsia" w:ascii="Arial" w:hAnsi="Arial" w:cs="Arial"/>
                <w:bCs/>
                <w:szCs w:val="21"/>
                <w:lang w:eastAsia="zh-CN"/>
              </w:rPr>
              <w:t xml:space="preserve">风管管材厚度6-8（mm） </w:t>
            </w:r>
          </w:p>
          <w:p>
            <w:pPr>
              <w:spacing w:line="360" w:lineRule="auto"/>
              <w:jc w:val="both"/>
              <w:rPr>
                <w:rFonts w:ascii="Arial" w:hAnsi="Arial" w:cs="Arial"/>
                <w:bCs/>
                <w:szCs w:val="21"/>
                <w:lang w:eastAsia="zh-CN"/>
              </w:rPr>
            </w:pPr>
            <w:r>
              <w:rPr>
                <w:rFonts w:hint="eastAsia" w:ascii="Arial" w:hAnsi="Arial" w:cs="Arial"/>
                <w:bCs/>
                <w:szCs w:val="21"/>
                <w:lang w:eastAsia="zh-CN"/>
              </w:rPr>
              <w:t>7、本通风工程风管施工要求：</w:t>
            </w:r>
          </w:p>
          <w:p>
            <w:pPr>
              <w:spacing w:line="360" w:lineRule="auto"/>
              <w:jc w:val="both"/>
              <w:rPr>
                <w:rFonts w:ascii="Arial" w:hAnsi="Arial" w:cs="Arial"/>
                <w:bCs/>
                <w:szCs w:val="21"/>
                <w:lang w:eastAsia="zh-CN"/>
              </w:rPr>
            </w:pPr>
            <w:r>
              <w:rPr>
                <w:rFonts w:hint="eastAsia" w:ascii="Arial" w:hAnsi="Arial" w:cs="Arial"/>
                <w:bCs/>
                <w:szCs w:val="21"/>
                <w:lang w:eastAsia="zh-CN"/>
              </w:rPr>
              <w:t>1）</w:t>
            </w:r>
            <w:r>
              <w:rPr>
                <w:rFonts w:hint="eastAsia" w:ascii="Arial" w:hAnsi="Arial" w:cs="Arial"/>
                <w:bCs/>
                <w:szCs w:val="21"/>
                <w:lang w:eastAsia="zh-CN"/>
              </w:rPr>
              <w:tab/>
            </w:r>
            <w:r>
              <w:rPr>
                <w:rFonts w:hint="eastAsia" w:ascii="Arial" w:hAnsi="Arial" w:cs="Arial"/>
                <w:bCs/>
                <w:szCs w:val="21"/>
                <w:lang w:eastAsia="zh-CN"/>
              </w:rPr>
              <w:t>排风系统风管设计壁厚：主风管厚度为</w:t>
            </w:r>
            <w:r>
              <w:rPr>
                <w:rFonts w:hint="eastAsia" w:ascii="Arial" w:hAnsi="Arial" w:cs="Arial"/>
                <w:bCs/>
                <w:szCs w:val="21"/>
              </w:rPr>
              <w:t>δ</w:t>
            </w:r>
            <w:r>
              <w:rPr>
                <w:rFonts w:hint="eastAsia" w:ascii="Arial" w:hAnsi="Arial" w:cs="Arial"/>
                <w:bCs/>
                <w:szCs w:val="21"/>
                <w:lang w:eastAsia="zh-CN"/>
              </w:rPr>
              <w:t>≥6mm，支风管厚度为</w:t>
            </w:r>
            <w:r>
              <w:rPr>
                <w:rFonts w:hint="eastAsia" w:ascii="Arial" w:hAnsi="Arial" w:cs="Arial"/>
                <w:bCs/>
                <w:szCs w:val="21"/>
              </w:rPr>
              <w:t>δ</w:t>
            </w:r>
            <w:r>
              <w:rPr>
                <w:rFonts w:hint="eastAsia" w:ascii="Arial" w:hAnsi="Arial" w:cs="Arial"/>
                <w:bCs/>
                <w:szCs w:val="21"/>
                <w:lang w:eastAsia="zh-CN"/>
              </w:rPr>
              <w:t>≥4mm</w:t>
            </w:r>
          </w:p>
          <w:p>
            <w:pPr>
              <w:spacing w:line="360" w:lineRule="auto"/>
              <w:jc w:val="both"/>
              <w:rPr>
                <w:rFonts w:ascii="Arial" w:hAnsi="Arial" w:cs="Arial"/>
                <w:bCs/>
                <w:szCs w:val="21"/>
                <w:lang w:eastAsia="zh-CN"/>
              </w:rPr>
            </w:pPr>
            <w:r>
              <w:rPr>
                <w:rFonts w:hint="eastAsia" w:ascii="Arial" w:hAnsi="Arial" w:cs="Arial"/>
                <w:bCs/>
                <w:szCs w:val="21"/>
                <w:lang w:eastAsia="zh-CN"/>
              </w:rPr>
              <w:t>2）</w:t>
            </w:r>
            <w:r>
              <w:rPr>
                <w:rFonts w:hint="eastAsia" w:ascii="Arial" w:hAnsi="Arial" w:cs="Arial"/>
                <w:bCs/>
                <w:szCs w:val="21"/>
                <w:lang w:eastAsia="zh-CN"/>
              </w:rPr>
              <w:tab/>
            </w:r>
            <w:r>
              <w:rPr>
                <w:rFonts w:hint="eastAsia" w:ascii="Arial" w:hAnsi="Arial" w:cs="Arial"/>
                <w:bCs/>
                <w:szCs w:val="21"/>
                <w:lang w:eastAsia="zh-CN"/>
              </w:rPr>
              <w:t xml:space="preserve">所有圆形风管采用承插方式连接；方形风管采用法兰式连接（做法见下图），法兰板材厚度≥10mm，宽度≥40mm，密封方式采用中性硅胶. </w:t>
            </w:r>
          </w:p>
          <w:p>
            <w:pPr>
              <w:spacing w:line="360" w:lineRule="auto"/>
              <w:jc w:val="both"/>
              <w:rPr>
                <w:rFonts w:ascii="Arial" w:hAnsi="Arial" w:cs="Arial"/>
                <w:bCs/>
                <w:szCs w:val="21"/>
                <w:lang w:eastAsia="zh-CN"/>
              </w:rPr>
            </w:pPr>
            <w:r>
              <w:rPr>
                <w:rFonts w:hint="eastAsia" w:ascii="Arial" w:hAnsi="Arial" w:cs="Arial"/>
                <w:bCs/>
                <w:szCs w:val="21"/>
                <w:lang w:eastAsia="zh-CN"/>
              </w:rPr>
              <w:t>8、PP板材为防火等级B1级及以上板材</w:t>
            </w:r>
          </w:p>
          <w:p>
            <w:pPr>
              <w:spacing w:line="360" w:lineRule="auto"/>
              <w:jc w:val="both"/>
              <w:rPr>
                <w:rFonts w:ascii="Arial" w:hAnsi="Arial" w:cs="Arial"/>
                <w:b/>
                <w:szCs w:val="21"/>
                <w:u w:val="single"/>
                <w:lang w:eastAsia="zh-CN"/>
              </w:rPr>
            </w:pPr>
            <w:r>
              <w:rPr>
                <w:rFonts w:hint="eastAsia" w:ascii="Arial" w:hAnsi="Arial" w:cs="Arial"/>
                <w:bCs/>
                <w:szCs w:val="21"/>
                <w:lang w:eastAsia="zh-CN"/>
              </w:rPr>
              <w:t>9、施工单位和施工人员具备相关资质。</w:t>
            </w:r>
          </w:p>
        </w:tc>
        <w:tc>
          <w:tcPr>
            <w:tcW w:w="2096" w:type="dxa"/>
            <w:vAlign w:val="center"/>
          </w:tcPr>
          <w:p>
            <w:pPr>
              <w:spacing w:line="360" w:lineRule="auto"/>
              <w:jc w:val="cente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5"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Arial" w:hAnsi="Arial" w:cs="Arial"/>
                <w:szCs w:val="21"/>
                <w:lang w:eastAsia="zh-CN"/>
              </w:rPr>
            </w:pPr>
            <w:r>
              <w:rPr>
                <w:rFonts w:ascii="Arial" w:hAnsi="Arial" w:cs="Arial"/>
                <w:b/>
                <w:szCs w:val="21"/>
                <w:lang w:eastAsia="zh-CN"/>
              </w:rPr>
              <w:t>电气基本配置</w:t>
            </w:r>
          </w:p>
          <w:p>
            <w:pPr>
              <w:spacing w:line="360" w:lineRule="auto"/>
              <w:rPr>
                <w:rFonts w:ascii="Arial" w:hAnsi="Arial" w:cs="Arial"/>
                <w:szCs w:val="21"/>
                <w:lang w:eastAsia="zh-CN"/>
              </w:rPr>
            </w:pPr>
            <w:r>
              <w:rPr>
                <w:rFonts w:hint="eastAsia" w:ascii="Arial" w:hAnsi="Arial" w:cs="Arial"/>
                <w:szCs w:val="21"/>
                <w:lang w:eastAsia="zh-CN"/>
              </w:rPr>
              <w:t>1、</w:t>
            </w:r>
            <w:r>
              <w:rPr>
                <w:rFonts w:ascii="Arial" w:hAnsi="Arial" w:cs="Arial"/>
                <w:szCs w:val="21"/>
                <w:lang w:eastAsia="zh-CN"/>
              </w:rPr>
              <w:t>电源插座</w:t>
            </w:r>
            <w:r>
              <w:rPr>
                <w:rFonts w:hint="eastAsia" w:ascii="Arial" w:hAnsi="Arial" w:cs="Arial"/>
                <w:szCs w:val="21"/>
                <w:lang w:eastAsia="zh-CN"/>
              </w:rPr>
              <w:t>86式</w:t>
            </w:r>
            <w:r>
              <w:rPr>
                <w:rFonts w:ascii="Arial" w:hAnsi="Arial" w:cs="Arial"/>
                <w:szCs w:val="21"/>
                <w:shd w:val="clear" w:color="auto" w:fill="FFFFFF" w:themeFill="background1"/>
                <w:lang w:eastAsia="zh-CN"/>
              </w:rPr>
              <w:t>4个</w:t>
            </w:r>
            <w:r>
              <w:rPr>
                <w:rFonts w:ascii="Arial" w:hAnsi="Arial" w:cs="Arial"/>
                <w:szCs w:val="21"/>
                <w:lang w:eastAsia="zh-CN"/>
              </w:rPr>
              <w:t>，</w:t>
            </w:r>
            <w:r>
              <w:rPr>
                <w:rFonts w:hint="eastAsia" w:ascii="Arial" w:hAnsi="Arial" w:cs="Arial"/>
                <w:szCs w:val="21"/>
                <w:lang w:eastAsia="zh-CN"/>
              </w:rPr>
              <w:t>需要防水溅功能，</w:t>
            </w:r>
            <w:r>
              <w:rPr>
                <w:rFonts w:ascii="Arial" w:hAnsi="Arial" w:cs="Arial"/>
                <w:szCs w:val="21"/>
                <w:lang w:eastAsia="zh-CN"/>
              </w:rPr>
              <w:t>其中220V/10A 3个，220V/16A 1个，配备电路过载及短路保护装置。</w:t>
            </w:r>
          </w:p>
          <w:p>
            <w:pPr>
              <w:spacing w:line="360" w:lineRule="auto"/>
              <w:rPr>
                <w:rFonts w:ascii="Arial" w:hAnsi="Arial" w:cs="Arial"/>
                <w:szCs w:val="21"/>
                <w:lang w:eastAsia="zh-CN"/>
              </w:rPr>
            </w:pPr>
            <w:r>
              <w:rPr>
                <w:rFonts w:hint="eastAsia" w:ascii="Arial" w:hAnsi="Arial" w:cs="Arial"/>
                <w:szCs w:val="21"/>
                <w:lang w:eastAsia="zh-CN"/>
              </w:rPr>
              <w:t>2、</w:t>
            </w:r>
            <w:r>
              <w:rPr>
                <w:rFonts w:ascii="Arial" w:hAnsi="Arial" w:cs="Arial"/>
                <w:szCs w:val="21"/>
                <w:lang w:eastAsia="zh-CN"/>
              </w:rPr>
              <w:t>插座安装位置：每台排风柜两侧立柱</w:t>
            </w:r>
            <w:r>
              <w:rPr>
                <w:rFonts w:hint="eastAsia" w:ascii="Arial" w:hAnsi="Arial" w:cs="Arial"/>
                <w:szCs w:val="21"/>
                <w:lang w:eastAsia="zh-CN"/>
              </w:rPr>
              <w:t>、</w:t>
            </w:r>
            <w:r>
              <w:rPr>
                <w:rFonts w:ascii="Arial" w:hAnsi="Arial" w:cs="Arial"/>
                <w:szCs w:val="21"/>
                <w:lang w:eastAsia="zh-CN"/>
              </w:rPr>
              <w:t>内村板或工作台下部与下柜体柜门上部之间。</w:t>
            </w:r>
          </w:p>
          <w:p>
            <w:pPr>
              <w:spacing w:line="360" w:lineRule="auto"/>
              <w:rPr>
                <w:rFonts w:ascii="Arial" w:hAnsi="Arial" w:cs="Arial"/>
                <w:szCs w:val="21"/>
                <w:lang w:eastAsia="zh-CN"/>
              </w:rPr>
            </w:pPr>
            <w:r>
              <w:rPr>
                <w:rFonts w:ascii="Arial" w:hAnsi="Arial" w:cs="Arial"/>
                <w:szCs w:val="21"/>
                <w:lang w:eastAsia="zh-CN"/>
              </w:rPr>
              <w:t>3</w:t>
            </w:r>
            <w:r>
              <w:rPr>
                <w:rFonts w:hint="eastAsia" w:ascii="Arial" w:hAnsi="Arial" w:cs="Arial"/>
                <w:szCs w:val="21"/>
                <w:lang w:eastAsia="zh-CN"/>
              </w:rPr>
              <w:t>、</w:t>
            </w:r>
            <w:r>
              <w:rPr>
                <w:rFonts w:ascii="Arial" w:hAnsi="Arial" w:cs="Arial"/>
                <w:szCs w:val="21"/>
                <w:lang w:eastAsia="zh-CN"/>
              </w:rPr>
              <w:t>照明系统1套，</w:t>
            </w:r>
            <w:r>
              <w:rPr>
                <w:rFonts w:hint="eastAsia" w:ascii="Arial" w:hAnsi="Arial" w:cs="Arial"/>
                <w:szCs w:val="21"/>
                <w:lang w:eastAsia="zh-CN"/>
              </w:rPr>
              <w:t>全罩式LED灯设计，满足IP65防护要求，确保排风柜台面工作区域的照度不低于700LUX。</w:t>
            </w:r>
            <w:r>
              <w:rPr>
                <w:rFonts w:ascii="Arial" w:hAnsi="Arial" w:cs="Arial"/>
                <w:szCs w:val="21"/>
                <w:lang w:eastAsia="zh-CN"/>
              </w:rPr>
              <w:t xml:space="preserve"> </w:t>
            </w:r>
          </w:p>
          <w:p>
            <w:pPr>
              <w:spacing w:line="360" w:lineRule="auto"/>
              <w:rPr>
                <w:rFonts w:ascii="Arial" w:hAnsi="Arial" w:cs="Arial"/>
                <w:szCs w:val="21"/>
                <w:lang w:eastAsia="zh-CN"/>
              </w:rPr>
            </w:pPr>
            <w:r>
              <w:rPr>
                <w:rFonts w:ascii="Arial" w:hAnsi="Arial" w:cs="Arial"/>
                <w:szCs w:val="21"/>
                <w:lang w:eastAsia="zh-CN"/>
              </w:rPr>
              <w:t>4</w:t>
            </w:r>
            <w:r>
              <w:rPr>
                <w:rFonts w:hint="eastAsia" w:ascii="Arial" w:hAnsi="Arial" w:cs="Arial"/>
                <w:szCs w:val="21"/>
                <w:lang w:eastAsia="zh-CN"/>
              </w:rPr>
              <w:t>、设备接地：排风柜金属部件具有电气接地设计。</w:t>
            </w:r>
          </w:p>
          <w:p>
            <w:pPr>
              <w:spacing w:line="360" w:lineRule="auto"/>
              <w:rPr>
                <w:rFonts w:ascii="Arial" w:hAnsi="Arial" w:cs="Arial"/>
                <w:szCs w:val="21"/>
                <w:lang w:eastAsia="zh-CN"/>
              </w:rPr>
            </w:pPr>
            <w:r>
              <w:rPr>
                <w:rFonts w:ascii="Arial" w:hAnsi="Arial" w:cs="Arial"/>
                <w:szCs w:val="21"/>
                <w:lang w:eastAsia="zh-CN"/>
              </w:rPr>
              <w:t>5</w:t>
            </w:r>
            <w:r>
              <w:rPr>
                <w:rFonts w:hint="eastAsia" w:ascii="Arial" w:hAnsi="Arial" w:cs="Arial"/>
                <w:szCs w:val="21"/>
                <w:lang w:eastAsia="zh-CN"/>
              </w:rPr>
              <w:t>、电源总开关：排风柜配置2P断路器20A，实验室人员在操作时如遇紧急情况可以强制性停止排风柜电路系统，是用于防止误操作的安全保障。</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3"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Arial" w:hAnsi="Arial" w:cs="Arial"/>
                <w:szCs w:val="21"/>
                <w:lang w:eastAsia="zh-CN"/>
              </w:rPr>
            </w:pPr>
            <w:r>
              <w:rPr>
                <w:rFonts w:ascii="Arial" w:hAnsi="Arial" w:cs="Arial"/>
                <w:b/>
                <w:szCs w:val="21"/>
                <w:u w:val="single"/>
                <w:lang w:eastAsia="zh-CN"/>
              </w:rPr>
              <w:t>附属配置</w:t>
            </w:r>
          </w:p>
          <w:p>
            <w:pPr>
              <w:spacing w:line="360" w:lineRule="auto"/>
              <w:rPr>
                <w:rFonts w:ascii="Arial" w:hAnsi="Arial" w:cs="Arial"/>
                <w:szCs w:val="21"/>
                <w:lang w:eastAsia="zh-CN"/>
              </w:rPr>
            </w:pPr>
            <w:r>
              <w:rPr>
                <w:rFonts w:ascii="Arial" w:hAnsi="Arial" w:cs="Arial"/>
                <w:szCs w:val="21"/>
                <w:lang w:eastAsia="zh-CN"/>
              </w:rPr>
              <w:t>PP杯槽：采用高密度黑色PP一体成型抗蚀杯槽</w:t>
            </w:r>
            <w:r>
              <w:rPr>
                <w:rFonts w:hint="eastAsia" w:ascii="Arial" w:hAnsi="Arial" w:cs="Arial"/>
                <w:szCs w:val="21"/>
                <w:lang w:eastAsia="zh-CN"/>
              </w:rPr>
              <w:t>，约1</w:t>
            </w:r>
            <w:r>
              <w:rPr>
                <w:rFonts w:ascii="Arial" w:hAnsi="Arial" w:cs="Arial"/>
                <w:szCs w:val="21"/>
                <w:lang w:eastAsia="zh-CN"/>
              </w:rPr>
              <w:t>00</w:t>
            </w:r>
            <w:r>
              <w:rPr>
                <w:rFonts w:hint="eastAsia" w:ascii="Arial" w:hAnsi="Arial" w:cs="Arial"/>
                <w:szCs w:val="21"/>
                <w:lang w:eastAsia="zh-CN"/>
              </w:rPr>
              <w:t>mm×</w:t>
            </w:r>
            <w:r>
              <w:rPr>
                <w:rFonts w:ascii="Arial" w:hAnsi="Arial" w:cs="Arial"/>
                <w:szCs w:val="21"/>
                <w:lang w:eastAsia="zh-CN"/>
              </w:rPr>
              <w:t>300</w:t>
            </w:r>
            <w:r>
              <w:rPr>
                <w:rFonts w:hint="eastAsia" w:ascii="Arial" w:hAnsi="Arial" w:cs="Arial"/>
                <w:szCs w:val="21"/>
                <w:lang w:eastAsia="zh-CN"/>
              </w:rPr>
              <w:t>mm。</w:t>
            </w:r>
          </w:p>
          <w:p>
            <w:pPr>
              <w:spacing w:line="360" w:lineRule="auto"/>
              <w:rPr>
                <w:rFonts w:ascii="Arial" w:hAnsi="Arial" w:cs="Arial"/>
                <w:szCs w:val="21"/>
                <w:lang w:eastAsia="zh-CN"/>
              </w:rPr>
            </w:pPr>
            <w:r>
              <w:rPr>
                <w:rFonts w:ascii="Arial" w:hAnsi="Arial" w:cs="Arial"/>
                <w:szCs w:val="21"/>
                <w:lang w:eastAsia="zh-CN"/>
              </w:rPr>
              <w:t>壁式遥控水阀、水嘴，主体为铜质，表面环氧树脂涂层，耐腐蚀、耐热，防紫外线辐射；</w:t>
            </w:r>
            <w:r>
              <w:rPr>
                <w:rFonts w:hint="eastAsia" w:ascii="Arial" w:hAnsi="Arial" w:cs="Arial"/>
                <w:szCs w:val="21"/>
                <w:lang w:eastAsia="zh-CN"/>
              </w:rPr>
              <w:t>从阀门到出口处管路：水、气体为PU管，真空管道用不锈钢管。</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5"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pacing w:line="360" w:lineRule="auto"/>
              <w:rPr>
                <w:rFonts w:ascii="Arial" w:hAnsi="Arial" w:cs="Arial"/>
                <w:szCs w:val="21"/>
                <w:lang w:eastAsia="zh-CN"/>
              </w:rPr>
            </w:pPr>
            <w:r>
              <w:rPr>
                <w:rFonts w:ascii="Arial" w:hAnsi="Arial" w:cs="Arial"/>
                <w:b/>
                <w:szCs w:val="21"/>
                <w:u w:val="single"/>
                <w:lang w:eastAsia="zh-CN"/>
              </w:rPr>
              <w:t>性能测试</w:t>
            </w:r>
          </w:p>
          <w:p>
            <w:pPr>
              <w:spacing w:line="360" w:lineRule="auto"/>
              <w:rPr>
                <w:rFonts w:ascii="Arial" w:hAnsi="Arial" w:cs="Arial"/>
                <w:szCs w:val="21"/>
                <w:lang w:eastAsia="zh-CN"/>
              </w:rPr>
            </w:pPr>
            <w:r>
              <w:rPr>
                <w:rFonts w:hint="eastAsia" w:ascii="Arial" w:hAnsi="Arial" w:cs="Arial"/>
                <w:szCs w:val="21"/>
                <w:lang w:eastAsia="zh-CN"/>
              </w:rPr>
              <w:t>1、</w:t>
            </w:r>
            <w:r>
              <w:rPr>
                <w:rFonts w:ascii="Arial" w:hAnsi="Arial" w:cs="Arial"/>
                <w:szCs w:val="21"/>
                <w:lang w:eastAsia="zh-CN"/>
              </w:rPr>
              <w:t>安装完成后，厂家应免费烟雾测试，测试结果应合格，白色烟雾应能全部通过排风口排除，无外溢，柜内无涡流死角且能平顺的将烟雾排出。测试数量由用户决定。</w:t>
            </w:r>
          </w:p>
          <w:p>
            <w:pPr>
              <w:spacing w:line="360" w:lineRule="auto"/>
              <w:rPr>
                <w:rFonts w:ascii="Arial" w:hAnsi="Arial" w:cs="Arial"/>
                <w:szCs w:val="21"/>
                <w:lang w:eastAsia="zh-CN"/>
              </w:rPr>
            </w:pPr>
            <w:r>
              <w:rPr>
                <w:rFonts w:hint="eastAsia" w:ascii="Arial" w:hAnsi="Arial" w:cs="Arial"/>
                <w:szCs w:val="21"/>
                <w:lang w:eastAsia="zh-CN"/>
              </w:rPr>
              <w:t>2、安装完成后，厂家示踪气体泄漏率按照新版</w:t>
            </w:r>
            <w:r>
              <w:rPr>
                <w:rFonts w:ascii="Arial" w:hAnsi="Arial" w:cs="Arial"/>
                <w:szCs w:val="21"/>
                <w:lang w:eastAsia="zh-CN"/>
              </w:rPr>
              <w:t>ASHRAE110-2016</w:t>
            </w:r>
            <w:r>
              <w:rPr>
                <w:rFonts w:hint="eastAsia" w:ascii="Arial" w:hAnsi="Arial" w:cs="Arial"/>
                <w:szCs w:val="21"/>
                <w:lang w:eastAsia="zh-CN"/>
              </w:rPr>
              <w:t>测试应合格。测试数量由用户决定。</w:t>
            </w:r>
          </w:p>
          <w:p>
            <w:pPr>
              <w:spacing w:line="360" w:lineRule="auto"/>
              <w:rPr>
                <w:rFonts w:ascii="Arial" w:hAnsi="Arial" w:cs="Arial"/>
                <w:szCs w:val="21"/>
                <w:lang w:eastAsia="zh-CN"/>
              </w:rPr>
            </w:pPr>
            <w:r>
              <w:rPr>
                <w:rFonts w:hint="eastAsia" w:ascii="Arial" w:hAnsi="Arial" w:cs="Arial"/>
                <w:bCs/>
                <w:szCs w:val="21"/>
                <w:lang w:eastAsia="zh-CN"/>
              </w:rPr>
              <w:t>3、浓度控制等级小于</w:t>
            </w:r>
            <w:r>
              <w:rPr>
                <w:rFonts w:ascii="Arial" w:hAnsi="Arial" w:cs="Arial"/>
                <w:bCs/>
                <w:szCs w:val="21"/>
                <w:lang w:eastAsia="zh-CN"/>
              </w:rPr>
              <w:t>0.1ppm (</w:t>
            </w:r>
            <w:r>
              <w:rPr>
                <w:rFonts w:hint="eastAsia" w:ascii="Arial" w:hAnsi="Arial" w:cs="Arial"/>
                <w:bCs/>
                <w:szCs w:val="21"/>
                <w:lang w:eastAsia="zh-CN"/>
              </w:rPr>
              <w:t>检测内容包括静态检测，动态检测，及调节门周边检漏测试</w:t>
            </w:r>
            <w:r>
              <w:rPr>
                <w:rFonts w:ascii="Arial" w:hAnsi="Arial" w:cs="Arial"/>
                <w:bCs/>
                <w:szCs w:val="21"/>
                <w:lang w:eastAsia="zh-CN"/>
              </w:rPr>
              <w:t>)</w:t>
            </w:r>
            <w:r>
              <w:rPr>
                <w:rFonts w:hint="eastAsia" w:ascii="Arial" w:hAnsi="Arial" w:cs="Arial"/>
                <w:bCs/>
                <w:szCs w:val="21"/>
                <w:lang w:eastAsia="zh-CN"/>
              </w:rPr>
              <w:t>。</w:t>
            </w:r>
          </w:p>
          <w:p>
            <w:pPr>
              <w:spacing w:line="360" w:lineRule="auto"/>
              <w:rPr>
                <w:rFonts w:ascii="Arial" w:hAnsi="Arial" w:cs="Arial"/>
                <w:szCs w:val="21"/>
                <w:highlight w:val="yellow"/>
                <w:lang w:eastAsia="zh-CN"/>
              </w:rPr>
            </w:pPr>
            <w:r>
              <w:rPr>
                <w:rFonts w:ascii="Arial" w:hAnsi="Arial" w:cs="Arial"/>
                <w:szCs w:val="21"/>
                <w:lang w:eastAsia="zh-CN"/>
              </w:rPr>
              <w:t>4</w:t>
            </w:r>
            <w:r>
              <w:rPr>
                <w:rFonts w:hint="eastAsia" w:ascii="Arial" w:hAnsi="Arial" w:cs="Arial"/>
                <w:szCs w:val="21"/>
                <w:lang w:eastAsia="zh-CN"/>
              </w:rPr>
              <w:t>、所有性能要求的现场测试，需要中标厂家测试的，中标厂家应提供测试仪器、检测用气体及耗材，买方协助完</w:t>
            </w:r>
            <w:r>
              <w:rPr>
                <w:rFonts w:ascii="Arial" w:hAnsi="Arial" w:cs="Arial"/>
                <w:szCs w:val="21"/>
                <w:lang w:eastAsia="zh-CN"/>
              </w:rPr>
              <w:t>成。</w:t>
            </w:r>
          </w:p>
        </w:tc>
        <w:tc>
          <w:tcPr>
            <w:tcW w:w="2096" w:type="dxa"/>
            <w:tcBorders>
              <w:bottom w:val="single" w:color="auto" w:sz="4" w:space="0"/>
            </w:tcBorders>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5"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napToGrid w:val="0"/>
              <w:spacing w:line="360" w:lineRule="auto"/>
              <w:rPr>
                <w:rFonts w:ascii="宋体"/>
                <w:b/>
                <w:bCs/>
                <w:szCs w:val="21"/>
                <w:lang w:eastAsia="zh-CN"/>
              </w:rPr>
            </w:pPr>
            <w:r>
              <w:rPr>
                <w:rFonts w:hint="eastAsia" w:ascii="宋体" w:hAnsi="宋体"/>
                <w:b/>
                <w:bCs/>
                <w:szCs w:val="21"/>
                <w:lang w:eastAsia="zh-CN"/>
              </w:rPr>
              <w:t>施工界限划分：</w:t>
            </w:r>
          </w:p>
          <w:p>
            <w:pPr>
              <w:pStyle w:val="44"/>
              <w:numPr>
                <w:ilvl w:val="0"/>
                <w:numId w:val="9"/>
              </w:numPr>
              <w:snapToGrid w:val="0"/>
              <w:spacing w:line="360" w:lineRule="auto"/>
              <w:ind w:firstLineChars="0"/>
              <w:rPr>
                <w:rFonts w:ascii="宋体" w:hAnsi="宋体"/>
                <w:szCs w:val="21"/>
              </w:rPr>
            </w:pPr>
            <w:r>
              <w:rPr>
                <w:rFonts w:hint="eastAsia" w:ascii="宋体" w:hAnsi="宋体"/>
                <w:szCs w:val="21"/>
              </w:rPr>
              <w:t>排风柜：乙方负责乙方提供的排风柜、自控风阀等的运输、卸货、搬运、安装、调试。</w:t>
            </w:r>
          </w:p>
          <w:p>
            <w:pPr>
              <w:pStyle w:val="44"/>
              <w:numPr>
                <w:ilvl w:val="0"/>
                <w:numId w:val="9"/>
              </w:numPr>
              <w:snapToGrid w:val="0"/>
              <w:spacing w:line="360" w:lineRule="auto"/>
              <w:ind w:firstLineChars="0"/>
              <w:rPr>
                <w:rFonts w:ascii="宋体" w:hAnsi="宋体"/>
                <w:szCs w:val="21"/>
              </w:rPr>
            </w:pPr>
            <w:r>
              <w:rPr>
                <w:rFonts w:ascii="宋体" w:hAnsi="宋体"/>
                <w:szCs w:val="21"/>
              </w:rPr>
              <w:t xml:space="preserve">强电: </w:t>
            </w:r>
            <w:r>
              <w:rPr>
                <w:rFonts w:hint="eastAsia" w:ascii="宋体" w:hAnsi="宋体"/>
                <w:szCs w:val="21"/>
              </w:rPr>
              <w:t>甲方只负责将电源主线接至通风橱主断路器，自排风柜主断路器至插座、灯具之间的连接由乙方负责。</w:t>
            </w:r>
          </w:p>
          <w:p>
            <w:pPr>
              <w:pStyle w:val="44"/>
              <w:numPr>
                <w:ilvl w:val="0"/>
                <w:numId w:val="9"/>
              </w:numPr>
              <w:snapToGrid w:val="0"/>
              <w:spacing w:line="360" w:lineRule="auto"/>
              <w:ind w:firstLineChars="0"/>
              <w:rPr>
                <w:rFonts w:ascii="宋体" w:hAnsi="宋体"/>
                <w:szCs w:val="21"/>
              </w:rPr>
            </w:pPr>
            <w:r>
              <w:rPr>
                <w:rFonts w:ascii="宋体" w:hAnsi="宋体"/>
                <w:szCs w:val="21"/>
              </w:rPr>
              <w:t>通风部分：</w:t>
            </w:r>
            <w:r>
              <w:rPr>
                <w:rFonts w:hint="eastAsia" w:ascii="宋体" w:hAnsi="宋体"/>
                <w:szCs w:val="21"/>
              </w:rPr>
              <w:t>乙</w:t>
            </w:r>
            <w:r>
              <w:rPr>
                <w:rFonts w:ascii="宋体" w:hAnsi="宋体"/>
                <w:szCs w:val="21"/>
              </w:rPr>
              <w:t>方负责</w:t>
            </w:r>
            <w:r>
              <w:rPr>
                <w:rFonts w:hint="eastAsia" w:ascii="宋体" w:hAnsi="宋体"/>
                <w:szCs w:val="21"/>
              </w:rPr>
              <w:t>排风柜</w:t>
            </w:r>
            <w:r>
              <w:rPr>
                <w:rFonts w:ascii="宋体" w:hAnsi="宋体"/>
                <w:szCs w:val="21"/>
              </w:rPr>
              <w:t>至风管之间的管路连接、负责自控风阀阀体的安装。自控执行器、传感器、与</w:t>
            </w:r>
            <w:r>
              <w:rPr>
                <w:rFonts w:hint="eastAsia" w:ascii="宋体" w:hAnsi="宋体"/>
                <w:szCs w:val="21"/>
              </w:rPr>
              <w:t>排风柜</w:t>
            </w:r>
            <w:r>
              <w:rPr>
                <w:rFonts w:ascii="宋体" w:hAnsi="宋体"/>
                <w:szCs w:val="21"/>
              </w:rPr>
              <w:t>之间的控制线缆由乙方负责提供、安装、测试。</w:t>
            </w:r>
          </w:p>
          <w:p>
            <w:pPr>
              <w:widowControl w:val="0"/>
              <w:numPr>
                <w:ilvl w:val="0"/>
                <w:numId w:val="9"/>
              </w:numPr>
              <w:overflowPunct/>
              <w:autoSpaceDE/>
              <w:autoSpaceDN/>
              <w:snapToGrid w:val="0"/>
              <w:spacing w:line="360" w:lineRule="auto"/>
              <w:textAlignment w:val="auto"/>
              <w:rPr>
                <w:rFonts w:ascii="宋体" w:hAnsi="宋体"/>
                <w:szCs w:val="21"/>
                <w:lang w:eastAsia="zh-CN"/>
              </w:rPr>
            </w:pPr>
            <w:r>
              <w:rPr>
                <w:rFonts w:hint="eastAsia" w:ascii="宋体" w:hAnsi="宋体"/>
                <w:szCs w:val="21"/>
                <w:lang w:eastAsia="zh-CN"/>
              </w:rPr>
              <w:t>注射用水:甲方负责将注射用水接到各个房间的吊顶上，或由地面穿至实验台下。自甲方预留水点至排风柜的水管由乙方负责安装和施工。</w:t>
            </w:r>
          </w:p>
          <w:p>
            <w:pPr>
              <w:pStyle w:val="44"/>
              <w:numPr>
                <w:ilvl w:val="0"/>
                <w:numId w:val="9"/>
              </w:numPr>
              <w:snapToGrid w:val="0"/>
              <w:spacing w:line="360" w:lineRule="auto"/>
              <w:ind w:firstLineChars="0"/>
              <w:rPr>
                <w:rFonts w:ascii="Arial" w:hAnsi="Arial" w:cs="Arial"/>
                <w:b/>
                <w:szCs w:val="21"/>
                <w:u w:val="single"/>
              </w:rPr>
            </w:pPr>
            <w:r>
              <w:rPr>
                <w:rFonts w:hint="eastAsia" w:ascii="宋体" w:hAnsi="宋体"/>
                <w:szCs w:val="21"/>
              </w:rPr>
              <w:t>排水：由乙方负责将水槽的排水，排至甲方预留的房间排水管内。</w:t>
            </w:r>
          </w:p>
        </w:tc>
        <w:tc>
          <w:tcPr>
            <w:tcW w:w="2096" w:type="dxa"/>
            <w:tcBorders>
              <w:bottom w:val="single" w:color="auto" w:sz="4" w:space="0"/>
            </w:tcBorders>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0568" w:type="dxa"/>
            <w:gridSpan w:val="3"/>
            <w:shd w:val="clear" w:color="auto" w:fill="FFFFFF" w:themeFill="background1"/>
            <w:vAlign w:val="center"/>
          </w:tcPr>
          <w:p>
            <w:pPr>
              <w:spacing w:line="360" w:lineRule="auto"/>
              <w:jc w:val="both"/>
              <w:rPr>
                <w:rFonts w:ascii="Times New Roman" w:hAnsi="Times New Roman"/>
                <w:b/>
                <w:bCs/>
                <w:szCs w:val="21"/>
                <w:lang w:eastAsia="zh-CN"/>
              </w:rPr>
            </w:pPr>
            <w:r>
              <w:rPr>
                <w:rFonts w:hint="eastAsia" w:ascii="Times New Roman" w:hAnsi="Times New Roman"/>
                <w:b/>
                <w:bCs/>
                <w:szCs w:val="21"/>
                <w:lang w:eastAsia="zh-CN"/>
              </w:rPr>
              <w:t>负压称量罩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cs="宋体"/>
                <w:szCs w:val="21"/>
                <w:lang w:val="zh-CN" w:eastAsia="zh-CN"/>
              </w:rPr>
            </w:pPr>
            <w:r>
              <w:rPr>
                <w:rFonts w:hint="eastAsia" w:ascii="宋体" w:hAnsi="宋体" w:cs="宋体"/>
                <w:szCs w:val="21"/>
                <w:lang w:val="zh-CN" w:eastAsia="zh-CN"/>
              </w:rPr>
              <w:t>送风风速在0.</w:t>
            </w:r>
            <w:r>
              <w:rPr>
                <w:rFonts w:ascii="宋体" w:hAnsi="宋体" w:cs="宋体"/>
                <w:szCs w:val="21"/>
                <w:lang w:val="zh-CN" w:eastAsia="zh-CN"/>
              </w:rPr>
              <w:t>4</w:t>
            </w:r>
            <w:r>
              <w:rPr>
                <w:rFonts w:hint="eastAsia" w:ascii="宋体" w:hAnsi="宋体" w:cs="宋体"/>
                <w:szCs w:val="21"/>
                <w:lang w:val="zh-CN" w:eastAsia="zh-CN"/>
              </w:rPr>
              <w:t xml:space="preserve">m/s-0.5m/s之间，配备相应的均流膜，使风速分布均匀，保证单点风速与平均风速相差在±20%以内 </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cs="宋体"/>
                <w:szCs w:val="21"/>
                <w:lang w:val="zh-CN" w:eastAsia="zh-CN"/>
              </w:rPr>
            </w:pPr>
            <w:r>
              <w:rPr>
                <w:rFonts w:hint="eastAsia" w:ascii="宋体" w:hAnsi="宋体" w:cs="宋体"/>
                <w:szCs w:val="21"/>
                <w:lang w:val="zh-CN" w:eastAsia="zh-CN"/>
              </w:rPr>
              <w:t>气流形式为垂直的单向流</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cs="宋体"/>
                <w:szCs w:val="21"/>
                <w:lang w:val="zh-CN" w:eastAsia="zh-CN"/>
              </w:rPr>
            </w:pPr>
            <w:r>
              <w:rPr>
                <w:rFonts w:hint="eastAsia" w:ascii="宋体" w:hAnsi="宋体" w:cs="宋体"/>
                <w:szCs w:val="21"/>
                <w:lang w:val="zh-CN" w:eastAsia="zh-CN"/>
              </w:rPr>
              <w:t>系统应设置中效、高效过滤器，并有出厂检测报告。</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szCs w:val="21"/>
                <w:lang w:eastAsia="zh-CN"/>
              </w:rPr>
            </w:pPr>
            <w:r>
              <w:rPr>
                <w:rFonts w:hint="eastAsia" w:ascii="宋体" w:hAnsi="宋体"/>
                <w:szCs w:val="21"/>
                <w:lang w:eastAsia="zh-CN"/>
              </w:rPr>
              <w:t>工作区内照度达到</w:t>
            </w:r>
            <w:r>
              <w:rPr>
                <w:rFonts w:ascii="宋体" w:hAnsi="宋体"/>
                <w:szCs w:val="21"/>
                <w:lang w:eastAsia="zh-CN"/>
              </w:rPr>
              <w:t>4</w:t>
            </w:r>
            <w:r>
              <w:rPr>
                <w:rFonts w:hint="eastAsia" w:ascii="宋体" w:hAnsi="宋体"/>
                <w:szCs w:val="21"/>
                <w:lang w:eastAsia="zh-CN"/>
              </w:rPr>
              <w:t>00lux以上，照明灯的安装位置合理，便于维修、更换</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szCs w:val="21"/>
                <w:lang w:eastAsia="zh-CN"/>
              </w:rPr>
            </w:pPr>
            <w:r>
              <w:rPr>
                <w:rFonts w:hint="eastAsia" w:ascii="宋体" w:hAnsi="宋体"/>
                <w:szCs w:val="21"/>
                <w:lang w:eastAsia="zh-CN"/>
              </w:rPr>
              <w:t>有相应的压差表监测中、高效过滤器的前后压差</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szCs w:val="21"/>
                <w:lang w:eastAsia="zh-CN"/>
              </w:rPr>
            </w:pPr>
            <w:r>
              <w:rPr>
                <w:rFonts w:hint="eastAsia" w:ascii="宋体" w:hAnsi="宋体"/>
                <w:szCs w:val="21"/>
                <w:lang w:eastAsia="zh-CN"/>
              </w:rPr>
              <w:t>静压箱内带使PAO粒子均匀分布的装置。</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szCs w:val="21"/>
                <w:lang w:eastAsia="zh-CN"/>
              </w:rPr>
            </w:pPr>
            <w:r>
              <w:rPr>
                <w:rFonts w:hint="eastAsia" w:ascii="宋体" w:hAnsi="宋体"/>
                <w:szCs w:val="21"/>
                <w:lang w:eastAsia="zh-CN"/>
              </w:rPr>
              <w:t>设发烟口、高效过滤器上游浓度检测口。</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szCs w:val="21"/>
                <w:lang w:eastAsia="zh-CN"/>
              </w:rPr>
            </w:pPr>
            <w:r>
              <w:rPr>
                <w:rFonts w:hint="eastAsia" w:ascii="宋体" w:hAnsi="宋体"/>
                <w:szCs w:val="21"/>
                <w:lang w:eastAsia="zh-CN"/>
              </w:rPr>
              <w:t>回风口应能简单方便的拆卸，并保证一定的空间，以便对中效进行拆卸、清洁、更换，以及对风机进行维护保养</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szCs w:val="21"/>
                <w:lang w:eastAsia="zh-CN"/>
              </w:rPr>
            </w:pPr>
            <w:r>
              <w:rPr>
                <w:rFonts w:hint="eastAsia" w:ascii="宋体" w:hAnsi="宋体"/>
                <w:szCs w:val="21"/>
                <w:lang w:eastAsia="zh-CN"/>
              </w:rPr>
              <w:t>至少配备</w:t>
            </w:r>
            <w:r>
              <w:rPr>
                <w:rFonts w:ascii="宋体" w:hAnsi="宋体"/>
                <w:szCs w:val="21"/>
                <w:lang w:eastAsia="zh-CN"/>
              </w:rPr>
              <w:t>2</w:t>
            </w:r>
            <w:r>
              <w:rPr>
                <w:rFonts w:hint="eastAsia" w:ascii="宋体" w:hAnsi="宋体"/>
                <w:szCs w:val="21"/>
                <w:lang w:eastAsia="zh-CN"/>
              </w:rPr>
              <w:t>个以上的多功能开关插座</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pacing w:line="360" w:lineRule="auto"/>
              <w:rPr>
                <w:rFonts w:ascii="宋体" w:hAnsi="宋体"/>
                <w:szCs w:val="21"/>
                <w:lang w:eastAsia="zh-CN"/>
              </w:rPr>
            </w:pPr>
            <w:r>
              <w:rPr>
                <w:rFonts w:hint="eastAsia" w:ascii="宋体" w:hAnsi="宋体"/>
                <w:szCs w:val="21"/>
                <w:lang w:eastAsia="zh-CN"/>
              </w:rPr>
              <w:t>设备整体的振动不能影响物料的称量</w:t>
            </w:r>
          </w:p>
        </w:tc>
        <w:tc>
          <w:tcPr>
            <w:tcW w:w="2096" w:type="dxa"/>
            <w:tcBorders>
              <w:bottom w:val="single" w:color="auto" w:sz="4" w:space="0"/>
            </w:tcBorders>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napToGrid w:val="0"/>
              <w:spacing w:line="360" w:lineRule="auto"/>
              <w:rPr>
                <w:rFonts w:ascii="宋体"/>
                <w:b/>
                <w:bCs/>
                <w:szCs w:val="21"/>
                <w:lang w:eastAsia="zh-CN"/>
              </w:rPr>
            </w:pPr>
            <w:r>
              <w:rPr>
                <w:rFonts w:hint="eastAsia" w:ascii="宋体" w:hAnsi="宋体"/>
                <w:b/>
                <w:bCs/>
                <w:szCs w:val="21"/>
                <w:lang w:eastAsia="zh-CN"/>
              </w:rPr>
              <w:t>施工界限划分：</w:t>
            </w:r>
          </w:p>
          <w:p>
            <w:pPr>
              <w:pStyle w:val="44"/>
              <w:numPr>
                <w:ilvl w:val="0"/>
                <w:numId w:val="10"/>
              </w:numPr>
              <w:snapToGrid w:val="0"/>
              <w:spacing w:line="360" w:lineRule="auto"/>
              <w:ind w:firstLineChars="0"/>
              <w:rPr>
                <w:rFonts w:ascii="宋体" w:hAnsi="宋体"/>
                <w:szCs w:val="21"/>
              </w:rPr>
            </w:pPr>
            <w:r>
              <w:rPr>
                <w:rFonts w:hint="eastAsia" w:ascii="宋体" w:hAnsi="宋体"/>
                <w:szCs w:val="21"/>
              </w:rPr>
              <w:t>负压称量罩：乙方负责乙方提供的负压称量罩等的运输、卸货、搬运、安装、调试。</w:t>
            </w:r>
          </w:p>
          <w:p>
            <w:pPr>
              <w:pStyle w:val="44"/>
              <w:numPr>
                <w:ilvl w:val="0"/>
                <w:numId w:val="10"/>
              </w:numPr>
              <w:snapToGrid w:val="0"/>
              <w:spacing w:line="360" w:lineRule="auto"/>
              <w:ind w:firstLineChars="0"/>
              <w:rPr>
                <w:rFonts w:ascii="宋体" w:hAnsi="宋体"/>
                <w:szCs w:val="21"/>
              </w:rPr>
            </w:pPr>
            <w:r>
              <w:rPr>
                <w:rFonts w:ascii="宋体" w:hAnsi="宋体"/>
                <w:szCs w:val="21"/>
              </w:rPr>
              <w:t xml:space="preserve">强电: </w:t>
            </w:r>
            <w:r>
              <w:rPr>
                <w:rFonts w:hint="eastAsia" w:ascii="宋体" w:hAnsi="宋体"/>
                <w:szCs w:val="21"/>
              </w:rPr>
              <w:t>甲方只负责将电源主线接至负压称量罩主断路器，负压称量罩主断路器至插座、灯具之间的连接由乙方负责。</w:t>
            </w:r>
          </w:p>
          <w:p>
            <w:pPr>
              <w:pStyle w:val="44"/>
              <w:numPr>
                <w:ilvl w:val="0"/>
                <w:numId w:val="10"/>
              </w:numPr>
              <w:snapToGrid w:val="0"/>
              <w:spacing w:line="360" w:lineRule="auto"/>
              <w:ind w:firstLineChars="0"/>
              <w:rPr>
                <w:rFonts w:ascii="宋体" w:hAnsi="宋体"/>
                <w:szCs w:val="21"/>
              </w:rPr>
            </w:pPr>
            <w:r>
              <w:rPr>
                <w:rFonts w:ascii="宋体" w:hAnsi="宋体"/>
                <w:szCs w:val="21"/>
              </w:rPr>
              <w:t>通风部分：</w:t>
            </w:r>
            <w:r>
              <w:rPr>
                <w:rFonts w:hint="eastAsia" w:ascii="宋体" w:hAnsi="宋体"/>
                <w:szCs w:val="21"/>
              </w:rPr>
              <w:t>乙</w:t>
            </w:r>
            <w:r>
              <w:rPr>
                <w:rFonts w:ascii="宋体" w:hAnsi="宋体"/>
                <w:szCs w:val="21"/>
              </w:rPr>
              <w:t>方负责</w:t>
            </w:r>
            <w:r>
              <w:rPr>
                <w:rFonts w:hint="eastAsia" w:ascii="宋体" w:hAnsi="宋体"/>
                <w:szCs w:val="21"/>
              </w:rPr>
              <w:t>负压称量罩</w:t>
            </w:r>
            <w:r>
              <w:rPr>
                <w:rFonts w:ascii="宋体" w:hAnsi="宋体"/>
                <w:szCs w:val="21"/>
              </w:rPr>
              <w:t>至风管之间的管路连接、负责自控风阀阀体的安装。自控执行器、传感器、与</w:t>
            </w:r>
            <w:r>
              <w:rPr>
                <w:rFonts w:hint="eastAsia" w:ascii="宋体" w:hAnsi="宋体"/>
                <w:szCs w:val="21"/>
              </w:rPr>
              <w:t>排风柜</w:t>
            </w:r>
            <w:r>
              <w:rPr>
                <w:rFonts w:ascii="宋体" w:hAnsi="宋体"/>
                <w:szCs w:val="21"/>
              </w:rPr>
              <w:t>之间的控制线缆由乙方负责提供、安装、测试。</w:t>
            </w:r>
          </w:p>
        </w:tc>
        <w:tc>
          <w:tcPr>
            <w:tcW w:w="2096" w:type="dxa"/>
            <w:tcBorders>
              <w:bottom w:val="single" w:color="auto" w:sz="4" w:space="0"/>
            </w:tcBorders>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tcBorders>
              <w:bottom w:val="single" w:color="auto" w:sz="4" w:space="0"/>
            </w:tcBorders>
            <w:shd w:val="clear" w:color="auto" w:fill="D9D9D9"/>
            <w:vAlign w:val="center"/>
          </w:tcPr>
          <w:p>
            <w:pPr>
              <w:pStyle w:val="44"/>
              <w:numPr>
                <w:ilvl w:val="0"/>
                <w:numId w:val="8"/>
              </w:numPr>
              <w:spacing w:line="360" w:lineRule="auto"/>
              <w:ind w:firstLineChars="0"/>
              <w:rPr>
                <w:rFonts w:ascii="Times New Roman" w:hAnsi="Times New Roman"/>
                <w:szCs w:val="21"/>
              </w:rPr>
            </w:pPr>
          </w:p>
        </w:tc>
        <w:tc>
          <w:tcPr>
            <w:tcW w:w="9258" w:type="dxa"/>
            <w:gridSpan w:val="2"/>
            <w:shd w:val="clear" w:color="auto" w:fill="D9D9D9"/>
            <w:vAlign w:val="center"/>
          </w:tcPr>
          <w:p>
            <w:pPr>
              <w:spacing w:line="360" w:lineRule="auto"/>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spacing w:line="360" w:lineRule="auto"/>
              <w:jc w:val="both"/>
              <w:rPr>
                <w:szCs w:val="21"/>
                <w:lang w:eastAsia="zh-CN"/>
              </w:rPr>
            </w:pPr>
            <w:permStart w:id="22" w:edGrp="everyone"/>
          </w:p>
        </w:tc>
        <w:tc>
          <w:tcPr>
            <w:tcW w:w="9258" w:type="dxa"/>
            <w:gridSpan w:val="2"/>
            <w:vAlign w:val="center"/>
          </w:tcPr>
          <w:p>
            <w:pPr>
              <w:spacing w:line="360" w:lineRule="auto"/>
              <w:jc w:val="both"/>
              <w:rPr>
                <w:szCs w:val="21"/>
                <w:lang w:eastAsia="zh-CN"/>
              </w:rPr>
            </w:pPr>
            <w:r>
              <w:rPr>
                <w:rFonts w:ascii="Arial" w:hAnsi="Arial" w:cs="Arial"/>
                <w:szCs w:val="21"/>
                <w:lang w:eastAsia="zh-CN"/>
              </w:rPr>
              <w:t>N/A</w:t>
            </w:r>
          </w:p>
        </w:tc>
      </w:tr>
      <w:permEnd w:id="22"/>
    </w:tbl>
    <w:p>
      <w:pPr>
        <w:pStyle w:val="44"/>
        <w:numPr>
          <w:ilvl w:val="0"/>
          <w:numId w:val="3"/>
        </w:numPr>
        <w:spacing w:after="158" w:afterLines="50" w:line="360" w:lineRule="auto"/>
        <w:ind w:left="426" w:hanging="426" w:hangingChars="202"/>
        <w:outlineLvl w:val="0"/>
        <w:rPr>
          <w:rFonts w:ascii="Times New Roman" w:hAnsi="Times New Roman"/>
          <w:b/>
        </w:rPr>
      </w:pPr>
      <w:bookmarkStart w:id="27" w:name="_Toc522716122"/>
      <w:bookmarkStart w:id="28" w:name="_Toc522107742"/>
      <w:bookmarkStart w:id="29" w:name="_Toc482359946"/>
      <w:bookmarkStart w:id="30" w:name="_Toc482369815"/>
      <w:bookmarkStart w:id="31" w:name="_Toc482370071"/>
      <w:bookmarkStart w:id="32" w:name="_Toc482625289"/>
      <w:bookmarkStart w:id="33" w:name="_Toc482717202"/>
      <w:bookmarkStart w:id="34" w:name="_Toc481702480"/>
      <w:bookmarkStart w:id="35" w:name="_Toc482360291"/>
      <w:bookmarkStart w:id="36" w:name="_Toc482370151"/>
      <w:bookmarkStart w:id="37" w:name="_Toc482370359"/>
      <w:bookmarkStart w:id="38" w:name="_Toc482370767"/>
      <w:bookmarkStart w:id="39" w:name="_Toc483400317"/>
      <w:bookmarkStart w:id="40" w:name="_Toc483227237"/>
      <w:r>
        <w:rPr>
          <w:rFonts w:ascii="Times New Roman" w:hAnsi="Times New Roman"/>
          <w:b/>
        </w:rPr>
        <w:t>电气、自动控制要求</w:t>
      </w:r>
      <w:bookmarkEnd w:id="27"/>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spacing w:line="360" w:lineRule="auto"/>
              <w:jc w:val="center"/>
              <w:rPr>
                <w:b/>
                <w:szCs w:val="21"/>
              </w:rPr>
            </w:pPr>
            <w:permStart w:id="23" w:edGrp="everyone"/>
            <w:permEnd w:id="23"/>
            <w:r>
              <w:rPr>
                <w:b/>
                <w:szCs w:val="21"/>
              </w:rPr>
              <w:t>编号</w:t>
            </w:r>
          </w:p>
        </w:tc>
        <w:tc>
          <w:tcPr>
            <w:tcW w:w="7128" w:type="dxa"/>
            <w:shd w:val="clear" w:color="auto" w:fill="D9D9D9"/>
            <w:vAlign w:val="center"/>
          </w:tcPr>
          <w:p>
            <w:pPr>
              <w:spacing w:line="360" w:lineRule="auto"/>
              <w:jc w:val="center"/>
              <w:rPr>
                <w:b/>
                <w:szCs w:val="21"/>
                <w:lang w:eastAsia="zh-CN"/>
              </w:rPr>
            </w:pPr>
            <w:r>
              <w:rPr>
                <w:b/>
                <w:szCs w:val="21"/>
                <w:lang w:eastAsia="zh-CN"/>
              </w:rPr>
              <w:t>需求</w:t>
            </w:r>
          </w:p>
        </w:tc>
        <w:tc>
          <w:tcPr>
            <w:tcW w:w="2125"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tcBorders>
              <w:bottom w:val="single" w:color="auto" w:sz="4" w:space="0"/>
            </w:tcBorders>
            <w:shd w:val="clear" w:color="auto" w:fill="D9D9D9"/>
            <w:vAlign w:val="center"/>
          </w:tcPr>
          <w:p>
            <w:pPr>
              <w:pStyle w:val="44"/>
              <w:numPr>
                <w:ilvl w:val="2"/>
                <w:numId w:val="11"/>
              </w:numPr>
              <w:spacing w:line="360" w:lineRule="auto"/>
              <w:ind w:firstLineChars="0"/>
              <w:rPr>
                <w:rFonts w:ascii="Times New Roman" w:hAnsi="Times New Roman"/>
                <w:szCs w:val="21"/>
              </w:rPr>
            </w:pPr>
          </w:p>
        </w:tc>
        <w:tc>
          <w:tcPr>
            <w:tcW w:w="9253" w:type="dxa"/>
            <w:gridSpan w:val="2"/>
            <w:tcBorders>
              <w:bottom w:val="single" w:color="auto" w:sz="4" w:space="0"/>
            </w:tcBorders>
            <w:shd w:val="clear" w:color="auto" w:fill="D9D9D9"/>
            <w:vAlign w:val="center"/>
          </w:tcPr>
          <w:p>
            <w:pPr>
              <w:spacing w:line="360" w:lineRule="auto"/>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63" w:type="dxa"/>
            <w:gridSpan w:val="3"/>
            <w:shd w:val="clear" w:color="auto" w:fill="FFFFFF" w:themeFill="background1"/>
            <w:vAlign w:val="center"/>
          </w:tcPr>
          <w:p>
            <w:pPr>
              <w:spacing w:line="360" w:lineRule="auto"/>
              <w:jc w:val="both"/>
              <w:rPr>
                <w:szCs w:val="21"/>
                <w:lang w:eastAsia="zh-CN"/>
              </w:rPr>
            </w:pPr>
            <w:r>
              <w:rPr>
                <w:rFonts w:hint="eastAsia" w:ascii="Times New Roman" w:hAnsi="Times New Roman"/>
                <w:b/>
                <w:bCs/>
                <w:szCs w:val="21"/>
                <w:lang w:eastAsia="zh-CN"/>
              </w:rPr>
              <w:t>通风橱1#和通风橱</w:t>
            </w:r>
            <w:r>
              <w:rPr>
                <w:rFonts w:ascii="Times New Roman" w:hAnsi="Times New Roman"/>
                <w:b/>
                <w:bCs/>
                <w:szCs w:val="21"/>
                <w:lang w:eastAsia="zh-CN"/>
              </w:rPr>
              <w:t>2</w:t>
            </w:r>
            <w:r>
              <w:rPr>
                <w:rFonts w:hint="eastAsia" w:ascii="Times New Roman" w:hAnsi="Times New Roman"/>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tabs>
                <w:tab w:val="left" w:pos="3040"/>
              </w:tabs>
              <w:spacing w:line="360" w:lineRule="auto"/>
              <w:ind w:right="-20"/>
              <w:rPr>
                <w:rFonts w:ascii="Arial" w:hAnsi="Arial" w:cs="Arial"/>
                <w:szCs w:val="21"/>
                <w:lang w:eastAsia="zh-CN"/>
              </w:rPr>
            </w:pPr>
            <w:r>
              <w:rPr>
                <w:rFonts w:ascii="Arial" w:hAnsi="Arial" w:cs="Arial"/>
                <w:b/>
                <w:szCs w:val="21"/>
                <w:u w:val="single"/>
              </w:rPr>
              <w:t>操作面板</w:t>
            </w:r>
          </w:p>
          <w:p>
            <w:pPr>
              <w:tabs>
                <w:tab w:val="left" w:pos="3040"/>
              </w:tabs>
              <w:spacing w:line="360" w:lineRule="auto"/>
              <w:ind w:right="-20"/>
              <w:rPr>
                <w:rFonts w:ascii="Arial" w:hAnsi="Arial" w:cs="Arial"/>
                <w:szCs w:val="21"/>
                <w:lang w:eastAsia="zh-CN"/>
              </w:rPr>
            </w:pPr>
            <w:r>
              <w:rPr>
                <w:rFonts w:hint="eastAsia" w:ascii="Arial" w:hAnsi="Arial" w:cs="Arial"/>
                <w:szCs w:val="21"/>
                <w:lang w:eastAsia="zh-CN"/>
              </w:rPr>
              <w:t>灵敏型按键操作，LCD</w:t>
            </w:r>
            <w:r>
              <w:rPr>
                <w:rFonts w:ascii="Arial" w:hAnsi="Arial" w:cs="Arial"/>
                <w:szCs w:val="21"/>
                <w:lang w:eastAsia="zh-CN"/>
              </w:rPr>
              <w:t>显示</w:t>
            </w:r>
            <w:r>
              <w:rPr>
                <w:rFonts w:hint="eastAsia" w:ascii="Arial" w:hAnsi="Arial" w:cs="Arial"/>
                <w:szCs w:val="21"/>
                <w:lang w:eastAsia="zh-CN"/>
              </w:rPr>
              <w:t>屏。</w:t>
            </w:r>
          </w:p>
          <w:p>
            <w:pPr>
              <w:tabs>
                <w:tab w:val="left" w:pos="3040"/>
              </w:tabs>
              <w:spacing w:line="360" w:lineRule="auto"/>
              <w:ind w:right="-20"/>
              <w:rPr>
                <w:rFonts w:ascii="Arial" w:hAnsi="Arial" w:cs="Arial"/>
                <w:szCs w:val="21"/>
                <w:lang w:eastAsia="zh-CN"/>
              </w:rPr>
            </w:pPr>
            <w:r>
              <w:rPr>
                <w:rFonts w:ascii="Arial" w:hAnsi="Arial" w:cs="Arial"/>
                <w:szCs w:val="21"/>
                <w:lang w:eastAsia="zh-CN"/>
              </w:rPr>
              <w:t>可显示阀门开启角度、视窗高度、</w:t>
            </w:r>
            <w:r>
              <w:rPr>
                <w:rFonts w:hint="eastAsia" w:ascii="Arial" w:hAnsi="Arial" w:cs="Arial"/>
                <w:szCs w:val="21"/>
                <w:lang w:eastAsia="zh-CN"/>
              </w:rPr>
              <w:t>排、</w:t>
            </w:r>
            <w:r>
              <w:rPr>
                <w:rFonts w:ascii="Arial" w:hAnsi="Arial" w:cs="Arial"/>
                <w:szCs w:val="21"/>
                <w:lang w:eastAsia="zh-CN"/>
              </w:rPr>
              <w:t>补风量</w:t>
            </w:r>
            <w:r>
              <w:rPr>
                <w:rFonts w:hint="eastAsia" w:ascii="Arial" w:hAnsi="Arial" w:cs="Arial"/>
                <w:szCs w:val="21"/>
                <w:lang w:eastAsia="zh-CN"/>
              </w:rPr>
              <w:t>以及室内抽风量等。</w:t>
            </w:r>
          </w:p>
          <w:p>
            <w:pPr>
              <w:tabs>
                <w:tab w:val="left" w:pos="3040"/>
              </w:tabs>
              <w:spacing w:line="360" w:lineRule="auto"/>
              <w:ind w:right="-20"/>
              <w:rPr>
                <w:rFonts w:ascii="Arial" w:hAnsi="Arial" w:cs="Arial"/>
                <w:szCs w:val="21"/>
                <w:lang w:eastAsia="zh-CN"/>
              </w:rPr>
            </w:pPr>
            <w:r>
              <w:rPr>
                <w:rFonts w:ascii="Arial" w:hAnsi="Arial" w:cs="Arial"/>
                <w:szCs w:val="21"/>
                <w:lang w:eastAsia="zh-CN"/>
              </w:rPr>
              <w:t>具有视窗过高报警、</w:t>
            </w:r>
            <w:r>
              <w:rPr>
                <w:rFonts w:hint="eastAsia" w:ascii="Arial" w:hAnsi="Arial" w:cs="Arial"/>
                <w:szCs w:val="21"/>
                <w:lang w:eastAsia="zh-CN"/>
              </w:rPr>
              <w:t>风量过低</w:t>
            </w:r>
            <w:r>
              <w:rPr>
                <w:rFonts w:ascii="Arial" w:hAnsi="Arial" w:cs="Arial"/>
                <w:szCs w:val="21"/>
                <w:lang w:eastAsia="zh-CN"/>
              </w:rPr>
              <w:t>报警</w:t>
            </w:r>
            <w:r>
              <w:rPr>
                <w:rFonts w:hint="eastAsia" w:ascii="Arial" w:hAnsi="Arial" w:cs="Arial"/>
                <w:szCs w:val="21"/>
                <w:lang w:eastAsia="zh-CN"/>
              </w:rPr>
              <w:t>、</w:t>
            </w:r>
            <w:r>
              <w:rPr>
                <w:rFonts w:ascii="Arial" w:hAnsi="Arial" w:cs="Arial"/>
                <w:szCs w:val="21"/>
                <w:lang w:eastAsia="zh-CN"/>
              </w:rPr>
              <w:t>风阀故障报警等各种报警形式。</w:t>
            </w:r>
          </w:p>
          <w:p>
            <w:pPr>
              <w:tabs>
                <w:tab w:val="left" w:pos="3040"/>
              </w:tabs>
              <w:spacing w:line="360" w:lineRule="auto"/>
              <w:ind w:right="-20"/>
              <w:rPr>
                <w:rFonts w:ascii="Arial" w:hAnsi="Arial" w:cs="Arial"/>
                <w:szCs w:val="21"/>
                <w:lang w:eastAsia="zh-CN"/>
              </w:rPr>
            </w:pPr>
            <w:r>
              <w:rPr>
                <w:rFonts w:ascii="Arial" w:hAnsi="Arial" w:cs="Arial"/>
                <w:szCs w:val="21"/>
                <w:lang w:eastAsia="zh-CN"/>
              </w:rPr>
              <w:t>可调节视窗为手动、自动</w:t>
            </w:r>
            <w:r>
              <w:rPr>
                <w:rFonts w:hint="eastAsia" w:ascii="Arial" w:hAnsi="Arial" w:cs="Arial"/>
                <w:szCs w:val="21"/>
                <w:lang w:eastAsia="zh-CN"/>
              </w:rPr>
              <w:t>二</w:t>
            </w:r>
            <w:r>
              <w:rPr>
                <w:rFonts w:ascii="Arial" w:hAnsi="Arial" w:cs="Arial"/>
                <w:szCs w:val="21"/>
                <w:lang w:eastAsia="zh-CN"/>
              </w:rPr>
              <w:t>种形式。</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b/>
                <w:szCs w:val="21"/>
                <w:u w:val="single"/>
                <w:lang w:eastAsia="zh-CN"/>
              </w:rPr>
            </w:pPr>
            <w:r>
              <w:rPr>
                <w:rFonts w:ascii="Arial" w:hAnsi="Arial" w:cs="Arial"/>
                <w:b/>
                <w:szCs w:val="21"/>
                <w:u w:val="single"/>
                <w:lang w:eastAsia="zh-CN"/>
              </w:rPr>
              <w:t>VAV阀</w:t>
            </w:r>
          </w:p>
          <w:p>
            <w:pPr>
              <w:spacing w:line="360" w:lineRule="auto"/>
              <w:rPr>
                <w:rFonts w:ascii="Arial" w:hAnsi="Arial" w:cs="Arial"/>
                <w:szCs w:val="21"/>
                <w:lang w:eastAsia="zh-CN"/>
              </w:rPr>
            </w:pPr>
            <w:r>
              <w:rPr>
                <w:rFonts w:hint="eastAsia" w:ascii="Arial" w:hAnsi="Arial" w:cs="Arial"/>
                <w:szCs w:val="21"/>
                <w:lang w:eastAsia="zh-CN"/>
              </w:rPr>
              <w:t>用于实验室排风控制的专用防腐阀门，阀体，阀杆都要求PP防腐材质。采用多叶片集成风量监测技术风阀，需厂家提供权威第三方酸碱浸泡、酸碱盐雾耐受检测报告。</w:t>
            </w:r>
          </w:p>
          <w:p>
            <w:pPr>
              <w:spacing w:line="360" w:lineRule="auto"/>
              <w:rPr>
                <w:rFonts w:ascii="Arial" w:hAnsi="Arial" w:cs="Arial"/>
                <w:spacing w:val="7"/>
                <w:kern w:val="24"/>
                <w:szCs w:val="21"/>
                <w:lang w:eastAsia="zh-CN"/>
              </w:rPr>
            </w:pPr>
            <w:r>
              <w:rPr>
                <w:rFonts w:ascii="Arial" w:hAnsi="Arial" w:cs="Arial"/>
                <w:spacing w:val="7"/>
                <w:kern w:val="24"/>
                <w:szCs w:val="21"/>
                <w:lang w:eastAsia="zh-CN"/>
              </w:rPr>
              <w:t>可安装在控制点风管末端任何位置，无</w:t>
            </w:r>
            <w:r>
              <w:rPr>
                <w:rFonts w:hint="eastAsia" w:ascii="Arial" w:hAnsi="Arial" w:cs="Arial"/>
                <w:spacing w:val="7"/>
                <w:kern w:val="24"/>
                <w:szCs w:val="21"/>
                <w:lang w:eastAsia="zh-CN"/>
              </w:rPr>
              <w:t>安装</w:t>
            </w:r>
            <w:r>
              <w:rPr>
                <w:rFonts w:ascii="Arial" w:hAnsi="Arial" w:cs="Arial"/>
                <w:spacing w:val="7"/>
                <w:kern w:val="24"/>
                <w:szCs w:val="21"/>
                <w:lang w:eastAsia="zh-CN"/>
              </w:rPr>
              <w:t>方向要求。</w:t>
            </w:r>
          </w:p>
          <w:p>
            <w:pPr>
              <w:spacing w:line="360" w:lineRule="auto"/>
              <w:rPr>
                <w:rFonts w:ascii="Arial" w:hAnsi="Arial" w:cs="Arial"/>
                <w:szCs w:val="21"/>
                <w:lang w:eastAsia="zh-CN"/>
              </w:rPr>
            </w:pPr>
            <w:r>
              <w:rPr>
                <w:rFonts w:hint="eastAsia" w:ascii="Arial" w:hAnsi="Arial" w:cs="Arial"/>
                <w:szCs w:val="21"/>
                <w:lang w:eastAsia="zh-CN"/>
              </w:rPr>
              <w:t>风阀的流量测量装置和风阀流量控制应为一体化集成产品，必须是标准化模具量产产品，以保证产品质量，不接受临时设计定制产品。</w:t>
            </w:r>
          </w:p>
          <w:p>
            <w:pPr>
              <w:spacing w:line="360" w:lineRule="auto"/>
              <w:rPr>
                <w:rFonts w:ascii="Arial" w:hAnsi="Arial" w:cs="Arial"/>
                <w:szCs w:val="21"/>
                <w:lang w:eastAsia="zh-CN"/>
              </w:rPr>
            </w:pPr>
            <w:r>
              <w:rPr>
                <w:rFonts w:hint="eastAsia" w:ascii="Arial" w:hAnsi="Arial" w:cs="Arial"/>
                <w:szCs w:val="21"/>
                <w:lang w:eastAsia="zh-CN"/>
              </w:rPr>
              <w:t>变风量阀采用高速执行机构，系统响应时间（即排风柜移门停止、风阀风量稳定时间）小于2.5秒。</w:t>
            </w:r>
          </w:p>
          <w:p>
            <w:pPr>
              <w:spacing w:line="360" w:lineRule="auto"/>
              <w:rPr>
                <w:rFonts w:ascii="Arial" w:hAnsi="Arial" w:cs="Arial"/>
                <w:szCs w:val="21"/>
                <w:lang w:eastAsia="zh-CN"/>
              </w:rPr>
            </w:pPr>
            <w:r>
              <w:rPr>
                <w:rFonts w:hint="eastAsia" w:ascii="Arial" w:hAnsi="Arial" w:cs="Arial"/>
                <w:szCs w:val="21"/>
                <w:lang w:eastAsia="zh-CN"/>
              </w:rPr>
              <w:t>风阀风量可调比不低于15:1；</w:t>
            </w:r>
          </w:p>
          <w:p>
            <w:pPr>
              <w:spacing w:line="360" w:lineRule="auto"/>
              <w:rPr>
                <w:rFonts w:ascii="Arial" w:hAnsi="Arial" w:cs="Arial"/>
                <w:spacing w:val="7"/>
                <w:kern w:val="24"/>
                <w:szCs w:val="21"/>
                <w:lang w:eastAsia="zh-CN"/>
              </w:rPr>
            </w:pPr>
            <w:r>
              <w:rPr>
                <w:rFonts w:hint="eastAsia" w:ascii="Arial" w:hAnsi="Arial" w:cs="Arial"/>
                <w:szCs w:val="21"/>
                <w:lang w:eastAsia="zh-CN"/>
              </w:rPr>
              <w:t>风阀风量控制精度</w:t>
            </w:r>
            <w:r>
              <w:rPr>
                <w:rFonts w:ascii="Arial" w:hAnsi="Arial" w:cs="Arial"/>
                <w:spacing w:val="7"/>
                <w:kern w:val="24"/>
                <w:szCs w:val="21"/>
                <w:lang w:eastAsia="zh-CN"/>
              </w:rPr>
              <w:t>：</w:t>
            </w:r>
            <w:r>
              <w:rPr>
                <w:rFonts w:hint="eastAsia" w:ascii="宋体" w:hAnsi="宋体" w:cs="Arial"/>
                <w:spacing w:val="7"/>
                <w:kern w:val="24"/>
                <w:szCs w:val="21"/>
                <w:lang w:eastAsia="zh-CN"/>
              </w:rPr>
              <w:t>≥</w:t>
            </w:r>
            <w:r>
              <w:rPr>
                <w:rFonts w:hint="eastAsia" w:ascii="Arial" w:hAnsi="Arial" w:cs="Arial"/>
                <w:spacing w:val="7"/>
                <w:kern w:val="24"/>
                <w:szCs w:val="21"/>
                <w:lang w:eastAsia="zh-CN"/>
              </w:rPr>
              <w:t>95</w:t>
            </w:r>
            <w:r>
              <w:rPr>
                <w:rFonts w:ascii="Arial" w:hAnsi="Arial" w:cs="Arial"/>
                <w:spacing w:val="7"/>
                <w:kern w:val="24"/>
                <w:szCs w:val="21"/>
                <w:lang w:eastAsia="zh-CN"/>
              </w:rPr>
              <w:t>%。</w:t>
            </w:r>
          </w:p>
          <w:p>
            <w:pPr>
              <w:spacing w:line="360" w:lineRule="auto"/>
              <w:rPr>
                <w:rFonts w:ascii="Arial" w:hAnsi="Arial" w:cs="Arial"/>
                <w:szCs w:val="21"/>
                <w:lang w:eastAsia="zh-CN"/>
              </w:rPr>
            </w:pPr>
            <w:r>
              <w:rPr>
                <w:rFonts w:hint="eastAsia" w:ascii="Arial" w:hAnsi="Arial" w:cs="Arial"/>
                <w:spacing w:val="7"/>
                <w:kern w:val="24"/>
                <w:szCs w:val="21"/>
                <w:lang w:eastAsia="zh-CN"/>
              </w:rPr>
              <w:t>风阀</w:t>
            </w:r>
            <w:r>
              <w:rPr>
                <w:rFonts w:ascii="Arial" w:hAnsi="Arial" w:cs="Arial"/>
                <w:spacing w:val="7"/>
                <w:kern w:val="24"/>
                <w:szCs w:val="21"/>
                <w:lang w:eastAsia="zh-CN"/>
              </w:rPr>
              <w:t>高度不超过</w:t>
            </w:r>
            <w:r>
              <w:rPr>
                <w:rFonts w:hint="eastAsia" w:ascii="Arial" w:hAnsi="Arial" w:cs="Arial"/>
                <w:spacing w:val="7"/>
                <w:kern w:val="24"/>
                <w:szCs w:val="21"/>
                <w:lang w:eastAsia="zh-CN"/>
              </w:rPr>
              <w:t>15cm。</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b/>
                <w:szCs w:val="21"/>
                <w:u w:val="single"/>
                <w:lang w:eastAsia="zh-CN"/>
              </w:rPr>
              <w:t>排风柜专用门高传感器</w:t>
            </w:r>
          </w:p>
          <w:p>
            <w:pPr>
              <w:spacing w:line="360" w:lineRule="auto"/>
              <w:rPr>
                <w:rFonts w:ascii="Arial" w:hAnsi="Arial" w:cs="Arial"/>
                <w:spacing w:val="7"/>
                <w:kern w:val="24"/>
                <w:szCs w:val="21"/>
                <w:lang w:eastAsia="zh-CN"/>
              </w:rPr>
            </w:pPr>
            <w:r>
              <w:rPr>
                <w:rFonts w:ascii="Arial" w:hAnsi="Arial" w:cs="Arial"/>
                <w:spacing w:val="7"/>
                <w:kern w:val="24"/>
                <w:szCs w:val="21"/>
                <w:lang w:eastAsia="zh-CN"/>
              </w:rPr>
              <w:t>采用</w:t>
            </w:r>
            <w:r>
              <w:rPr>
                <w:rFonts w:hint="eastAsia" w:ascii="Arial" w:hAnsi="Arial" w:cs="Arial"/>
                <w:szCs w:val="21"/>
                <w:lang w:eastAsia="zh-CN"/>
              </w:rPr>
              <w:t>妙流、施耐德、</w:t>
            </w:r>
            <w:r>
              <w:rPr>
                <w:rFonts w:ascii="Arial" w:hAnsi="Arial" w:cs="Arial"/>
                <w:szCs w:val="21"/>
                <w:lang w:eastAsia="zh-CN"/>
              </w:rPr>
              <w:t>妥思</w:t>
            </w:r>
            <w:r>
              <w:rPr>
                <w:rFonts w:ascii="Arial" w:hAnsi="Arial" w:cs="Arial"/>
                <w:spacing w:val="7"/>
                <w:kern w:val="24"/>
                <w:szCs w:val="21"/>
                <w:lang w:eastAsia="zh-CN"/>
              </w:rPr>
              <w:t>品牌。用于测量调节门开度，可与控制器、VAV控制面板配合使用，安装与排风柜上</w:t>
            </w:r>
            <w:r>
              <w:rPr>
                <w:rFonts w:hint="eastAsia" w:ascii="Arial" w:hAnsi="Arial" w:cs="Arial"/>
                <w:spacing w:val="7"/>
                <w:kern w:val="24"/>
                <w:szCs w:val="21"/>
                <w:lang w:eastAsia="zh-CN"/>
              </w:rPr>
              <w:t>。</w:t>
            </w:r>
          </w:p>
          <w:p>
            <w:pPr>
              <w:spacing w:line="360" w:lineRule="auto"/>
              <w:rPr>
                <w:rFonts w:ascii="Arial" w:hAnsi="Arial" w:cs="Arial"/>
                <w:spacing w:val="7"/>
                <w:kern w:val="24"/>
                <w:szCs w:val="21"/>
                <w:lang w:eastAsia="zh-CN"/>
              </w:rPr>
            </w:pPr>
            <w:r>
              <w:rPr>
                <w:rFonts w:ascii="Arial" w:hAnsi="Arial" w:cs="Arial"/>
                <w:spacing w:val="7"/>
                <w:kern w:val="24"/>
                <w:szCs w:val="21"/>
                <w:lang w:eastAsia="zh-CN"/>
              </w:rPr>
              <w:t>传感器：精度高、响应快、抗震能力强、使用寿命长。</w:t>
            </w:r>
          </w:p>
          <w:p>
            <w:pPr>
              <w:spacing w:line="360" w:lineRule="auto"/>
              <w:rPr>
                <w:rFonts w:ascii="Arial" w:hAnsi="Arial" w:cs="Arial"/>
                <w:spacing w:val="7"/>
                <w:kern w:val="24"/>
                <w:szCs w:val="21"/>
                <w:lang w:eastAsia="zh-CN"/>
              </w:rPr>
            </w:pPr>
            <w:r>
              <w:rPr>
                <w:rFonts w:ascii="Arial" w:hAnsi="Arial" w:cs="Arial"/>
                <w:spacing w:val="7"/>
                <w:kern w:val="24"/>
                <w:szCs w:val="21"/>
                <w:lang w:eastAsia="zh-CN"/>
              </w:rPr>
              <w:t>测量范围：0~1000mm，测量精度：±1mm。</w:t>
            </w:r>
          </w:p>
          <w:p>
            <w:pPr>
              <w:spacing w:line="360" w:lineRule="auto"/>
              <w:rPr>
                <w:rFonts w:ascii="Arial" w:hAnsi="Arial" w:cs="Arial"/>
                <w:szCs w:val="21"/>
                <w:lang w:eastAsia="zh-CN"/>
              </w:rPr>
            </w:pPr>
            <w:r>
              <w:rPr>
                <w:rFonts w:ascii="Arial" w:hAnsi="Arial" w:cs="Arial"/>
                <w:spacing w:val="7"/>
                <w:kern w:val="24"/>
                <w:szCs w:val="21"/>
                <w:lang w:eastAsia="zh-CN"/>
              </w:rPr>
              <w:t>电源：DC</w:t>
            </w:r>
            <w:r>
              <w:rPr>
                <w:rFonts w:hint="eastAsia" w:ascii="Arial" w:hAnsi="Arial" w:cs="Arial"/>
                <w:spacing w:val="7"/>
                <w:kern w:val="24"/>
                <w:szCs w:val="21"/>
                <w:lang w:eastAsia="zh-CN"/>
              </w:rPr>
              <w:t xml:space="preserve"> 15-</w:t>
            </w:r>
            <w:r>
              <w:rPr>
                <w:rFonts w:ascii="Arial" w:hAnsi="Arial" w:cs="Arial"/>
                <w:spacing w:val="7"/>
                <w:kern w:val="24"/>
                <w:szCs w:val="21"/>
                <w:lang w:eastAsia="zh-CN"/>
              </w:rPr>
              <w:t>24v。</w:t>
            </w:r>
          </w:p>
          <w:p>
            <w:pPr>
              <w:spacing w:line="360" w:lineRule="auto"/>
              <w:rPr>
                <w:rFonts w:ascii="Arial" w:hAnsi="Arial" w:cs="Arial"/>
                <w:spacing w:val="7"/>
                <w:kern w:val="24"/>
                <w:szCs w:val="21"/>
                <w:lang w:eastAsia="zh-CN"/>
              </w:rPr>
            </w:pPr>
            <w:r>
              <w:rPr>
                <w:rFonts w:ascii="Arial" w:hAnsi="Arial" w:cs="Arial"/>
                <w:spacing w:val="7"/>
                <w:kern w:val="24"/>
                <w:szCs w:val="21"/>
                <w:lang w:eastAsia="zh-CN"/>
              </w:rPr>
              <w:t>时间常数：＜1s，输出信号：</w:t>
            </w:r>
            <w:r>
              <w:rPr>
                <w:rFonts w:hint="eastAsia" w:ascii="Arial" w:hAnsi="Arial" w:cs="Arial"/>
                <w:spacing w:val="7"/>
                <w:kern w:val="24"/>
                <w:szCs w:val="21"/>
                <w:lang w:eastAsia="zh-CN"/>
              </w:rPr>
              <w:t>4</w:t>
            </w:r>
            <w:r>
              <w:rPr>
                <w:rFonts w:ascii="Arial" w:hAnsi="Arial" w:cs="Arial"/>
                <w:spacing w:val="7"/>
                <w:kern w:val="24"/>
                <w:szCs w:val="21"/>
                <w:lang w:eastAsia="zh-CN"/>
              </w:rPr>
              <w:t>~</w:t>
            </w:r>
            <w:r>
              <w:rPr>
                <w:rFonts w:hint="eastAsia" w:ascii="Arial" w:hAnsi="Arial" w:cs="Arial"/>
                <w:spacing w:val="7"/>
                <w:kern w:val="24"/>
                <w:szCs w:val="21"/>
                <w:lang w:eastAsia="zh-CN"/>
              </w:rPr>
              <w:t>20</w:t>
            </w:r>
            <w:r>
              <w:rPr>
                <w:rFonts w:ascii="Arial" w:hAnsi="Arial" w:cs="Arial"/>
                <w:spacing w:val="7"/>
                <w:kern w:val="24"/>
                <w:szCs w:val="21"/>
                <w:lang w:eastAsia="zh-CN"/>
              </w:rPr>
              <w:t>mA</w:t>
            </w:r>
            <w:r>
              <w:rPr>
                <w:rFonts w:hint="eastAsia" w:ascii="Arial" w:hAnsi="Arial" w:cs="Arial"/>
                <w:spacing w:val="7"/>
                <w:kern w:val="24"/>
                <w:szCs w:val="21"/>
                <w:lang w:eastAsia="zh-CN"/>
              </w:rPr>
              <w:t>，</w:t>
            </w:r>
            <w:r>
              <w:rPr>
                <w:rFonts w:ascii="Arial" w:hAnsi="Arial" w:cs="Arial"/>
                <w:spacing w:val="7"/>
                <w:kern w:val="24"/>
                <w:szCs w:val="21"/>
                <w:lang w:eastAsia="zh-CN"/>
              </w:rPr>
              <w:t>线性精度0.</w:t>
            </w:r>
            <w:r>
              <w:rPr>
                <w:rFonts w:hint="eastAsia" w:ascii="Arial" w:hAnsi="Arial" w:cs="Arial"/>
                <w:spacing w:val="7"/>
                <w:kern w:val="24"/>
                <w:szCs w:val="21"/>
                <w:lang w:eastAsia="zh-CN"/>
              </w:rPr>
              <w:t>1</w:t>
            </w:r>
            <w:r>
              <w:rPr>
                <w:rFonts w:ascii="Arial" w:hAnsi="Arial" w:cs="Arial"/>
                <w:spacing w:val="7"/>
                <w:kern w:val="24"/>
                <w:szCs w:val="21"/>
                <w:lang w:eastAsia="zh-CN"/>
              </w:rPr>
              <w:t>%，100%可重复。</w:t>
            </w:r>
          </w:p>
          <w:p>
            <w:pPr>
              <w:spacing w:line="360" w:lineRule="auto"/>
              <w:rPr>
                <w:rFonts w:ascii="Arial" w:hAnsi="Arial" w:cs="Arial"/>
                <w:spacing w:val="7"/>
                <w:kern w:val="24"/>
                <w:szCs w:val="21"/>
                <w:lang w:eastAsia="zh-CN"/>
              </w:rPr>
            </w:pPr>
            <w:r>
              <w:rPr>
                <w:rFonts w:ascii="Arial" w:hAnsi="Arial" w:cs="Arial"/>
                <w:spacing w:val="7"/>
                <w:kern w:val="24"/>
                <w:szCs w:val="21"/>
                <w:lang w:eastAsia="zh-CN"/>
              </w:rPr>
              <w:t>轮毂材料</w:t>
            </w:r>
            <w:r>
              <w:rPr>
                <w:rFonts w:hint="eastAsia" w:ascii="Arial" w:hAnsi="Arial" w:cs="Arial"/>
                <w:spacing w:val="7"/>
                <w:kern w:val="24"/>
                <w:szCs w:val="21"/>
                <w:lang w:eastAsia="zh-CN"/>
              </w:rPr>
              <w:t>，</w:t>
            </w:r>
            <w:r>
              <w:rPr>
                <w:rFonts w:ascii="Arial" w:hAnsi="Arial" w:cs="Arial"/>
                <w:spacing w:val="7"/>
                <w:kern w:val="24"/>
                <w:szCs w:val="21"/>
                <w:lang w:eastAsia="zh-CN"/>
              </w:rPr>
              <w:t>铝合金</w:t>
            </w:r>
          </w:p>
          <w:p>
            <w:pPr>
              <w:spacing w:line="360" w:lineRule="auto"/>
              <w:rPr>
                <w:rFonts w:ascii="Arial" w:hAnsi="Arial" w:cs="Arial"/>
                <w:szCs w:val="21"/>
                <w:lang w:eastAsia="zh-CN"/>
              </w:rPr>
            </w:pPr>
            <w:r>
              <w:rPr>
                <w:rFonts w:ascii="Arial" w:hAnsi="Arial" w:cs="Arial"/>
                <w:spacing w:val="7"/>
                <w:kern w:val="24"/>
                <w:szCs w:val="21"/>
                <w:lang w:eastAsia="zh-CN"/>
              </w:rPr>
              <w:t>防护等级IP</w:t>
            </w:r>
            <w:r>
              <w:rPr>
                <w:rFonts w:hint="eastAsia" w:ascii="Arial" w:hAnsi="Arial" w:cs="Arial"/>
                <w:spacing w:val="7"/>
                <w:kern w:val="24"/>
                <w:szCs w:val="21"/>
                <w:lang w:eastAsia="zh-CN"/>
              </w:rPr>
              <w:t>55</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63" w:type="dxa"/>
            <w:gridSpan w:val="3"/>
            <w:vAlign w:val="center"/>
          </w:tcPr>
          <w:p>
            <w:pPr>
              <w:spacing w:line="360" w:lineRule="auto"/>
              <w:jc w:val="both"/>
              <w:rPr>
                <w:szCs w:val="21"/>
                <w:lang w:eastAsia="zh-CN"/>
              </w:rPr>
            </w:pPr>
            <w:r>
              <w:rPr>
                <w:rFonts w:hint="eastAsia"/>
                <w:b/>
                <w:bCs/>
                <w:szCs w:val="21"/>
                <w:lang w:eastAsia="zh-CN"/>
              </w:rPr>
              <w:t>负压称量罩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b/>
                <w:szCs w:val="21"/>
                <w:u w:val="single"/>
                <w:lang w:eastAsia="zh-CN"/>
              </w:rPr>
            </w:pPr>
            <w:r>
              <w:rPr>
                <w:rFonts w:hint="eastAsia" w:ascii="宋体" w:hAnsi="宋体"/>
                <w:szCs w:val="21"/>
                <w:lang w:eastAsia="zh-CN"/>
              </w:rPr>
              <w:t>配有液晶显示屏，可自动监测风速和压力，并有报警功能。</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tcBorders>
              <w:bottom w:val="single" w:color="auto" w:sz="4" w:space="0"/>
            </w:tcBorders>
            <w:shd w:val="clear" w:color="auto" w:fill="D9D9D9"/>
            <w:vAlign w:val="center"/>
          </w:tcPr>
          <w:p>
            <w:pPr>
              <w:pStyle w:val="44"/>
              <w:numPr>
                <w:ilvl w:val="2"/>
                <w:numId w:val="11"/>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spacing w:line="360" w:lineRule="auto"/>
              <w:ind w:left="993"/>
              <w:rPr>
                <w:rFonts w:ascii="Times New Roman" w:hAnsi="Times New Roman"/>
                <w:szCs w:val="21"/>
              </w:rPr>
            </w:pPr>
            <w:permStart w:id="24" w:edGrp="everyone"/>
          </w:p>
        </w:tc>
        <w:tc>
          <w:tcPr>
            <w:tcW w:w="9253" w:type="dxa"/>
            <w:gridSpan w:val="2"/>
            <w:vAlign w:val="center"/>
          </w:tcPr>
          <w:p>
            <w:pPr>
              <w:spacing w:line="360" w:lineRule="auto"/>
              <w:jc w:val="both"/>
              <w:rPr>
                <w:rFonts w:ascii="Arial" w:hAnsi="Arial" w:cs="Arial"/>
                <w:szCs w:val="21"/>
                <w:lang w:eastAsia="zh-CN"/>
              </w:rPr>
            </w:pPr>
            <w:r>
              <w:rPr>
                <w:rFonts w:ascii="Arial" w:hAnsi="Arial" w:cs="Arial"/>
                <w:szCs w:val="21"/>
                <w:lang w:eastAsia="zh-CN"/>
              </w:rPr>
              <w:t>N/A</w:t>
            </w:r>
          </w:p>
        </w:tc>
      </w:tr>
      <w:permEnd w:id="24"/>
    </w:tbl>
    <w:p>
      <w:pPr>
        <w:spacing w:after="158" w:afterLines="50" w:line="360" w:lineRule="auto"/>
        <w:rPr>
          <w:b/>
          <w:lang w:eastAsia="zh-CN"/>
        </w:rPr>
      </w:pPr>
    </w:p>
    <w:p>
      <w:pPr>
        <w:pStyle w:val="44"/>
        <w:numPr>
          <w:ilvl w:val="0"/>
          <w:numId w:val="3"/>
        </w:numPr>
        <w:spacing w:after="158" w:afterLines="50" w:line="360" w:lineRule="auto"/>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spacing w:line="360" w:lineRule="auto"/>
              <w:jc w:val="center"/>
              <w:rPr>
                <w:b/>
                <w:szCs w:val="21"/>
              </w:rPr>
            </w:pPr>
            <w:permStart w:id="25" w:edGrp="everyone"/>
            <w:permEnd w:id="25"/>
            <w:r>
              <w:rPr>
                <w:b/>
                <w:szCs w:val="21"/>
              </w:rPr>
              <w:t>编号</w:t>
            </w:r>
          </w:p>
        </w:tc>
        <w:tc>
          <w:tcPr>
            <w:tcW w:w="7126" w:type="dxa"/>
            <w:shd w:val="clear" w:color="auto" w:fill="D9D9D9"/>
            <w:vAlign w:val="center"/>
          </w:tcPr>
          <w:p>
            <w:pPr>
              <w:spacing w:line="360" w:lineRule="auto"/>
              <w:jc w:val="center"/>
              <w:rPr>
                <w:b/>
                <w:szCs w:val="21"/>
                <w:lang w:eastAsia="zh-CN"/>
              </w:rPr>
            </w:pPr>
            <w:r>
              <w:rPr>
                <w:b/>
                <w:szCs w:val="21"/>
                <w:lang w:eastAsia="zh-CN"/>
              </w:rPr>
              <w:t>需求</w:t>
            </w:r>
          </w:p>
        </w:tc>
        <w:tc>
          <w:tcPr>
            <w:tcW w:w="2127"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2"/>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vAlign w:val="center"/>
          </w:tcPr>
          <w:p>
            <w:pPr>
              <w:pStyle w:val="44"/>
              <w:numPr>
                <w:ilvl w:val="0"/>
                <w:numId w:val="7"/>
              </w:numPr>
              <w:spacing w:line="360" w:lineRule="auto"/>
              <w:ind w:left="470" w:hanging="120" w:firstLineChars="0"/>
              <w:rPr>
                <w:szCs w:val="21"/>
              </w:rPr>
            </w:pPr>
            <w:permStart w:id="26" w:edGrp="everyone"/>
          </w:p>
        </w:tc>
        <w:tc>
          <w:tcPr>
            <w:tcW w:w="7126" w:type="dxa"/>
            <w:vAlign w:val="center"/>
          </w:tcPr>
          <w:p>
            <w:pPr>
              <w:spacing w:line="360" w:lineRule="auto"/>
              <w:jc w:val="both"/>
              <w:rPr>
                <w:szCs w:val="21"/>
                <w:lang w:eastAsia="zh-CN"/>
              </w:rPr>
            </w:pPr>
            <w:r>
              <w:rPr>
                <w:rFonts w:hint="eastAsia"/>
                <w:szCs w:val="21"/>
                <w:lang w:eastAsia="zh-CN"/>
              </w:rPr>
              <w:t>柜体防泄漏</w:t>
            </w:r>
          </w:p>
        </w:tc>
        <w:tc>
          <w:tcPr>
            <w:tcW w:w="2127" w:type="dxa"/>
            <w:vAlign w:val="center"/>
          </w:tcPr>
          <w:p>
            <w:pPr>
              <w:spacing w:line="360" w:lineRule="auto"/>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vAlign w:val="center"/>
          </w:tcPr>
          <w:p>
            <w:pPr>
              <w:pStyle w:val="44"/>
              <w:numPr>
                <w:ilvl w:val="0"/>
                <w:numId w:val="7"/>
              </w:numPr>
              <w:spacing w:line="360" w:lineRule="auto"/>
              <w:ind w:left="470" w:hanging="120" w:firstLineChars="0"/>
              <w:rPr>
                <w:szCs w:val="21"/>
              </w:rPr>
            </w:pPr>
          </w:p>
        </w:tc>
        <w:tc>
          <w:tcPr>
            <w:tcW w:w="7126" w:type="dxa"/>
            <w:vAlign w:val="center"/>
          </w:tcPr>
          <w:p>
            <w:pPr>
              <w:spacing w:line="360" w:lineRule="auto"/>
              <w:jc w:val="both"/>
              <w:rPr>
                <w:szCs w:val="21"/>
                <w:lang w:eastAsia="zh-CN"/>
              </w:rPr>
            </w:pPr>
            <w:r>
              <w:rPr>
                <w:rFonts w:hint="eastAsia" w:ascii="Arial" w:hAnsi="Arial" w:cs="Arial"/>
                <w:szCs w:val="21"/>
                <w:lang w:eastAsia="zh-CN"/>
              </w:rPr>
              <w:t>通风橱具备紧急排风按键，紧急情况下，通过此按键实现最大排风操作，同时补风风阀自动闭合。紧急情况解除，可通过顺时针旋动按钮复原，同时操作面板报警解除。</w:t>
            </w:r>
          </w:p>
        </w:tc>
        <w:tc>
          <w:tcPr>
            <w:tcW w:w="2127" w:type="dxa"/>
            <w:vAlign w:val="center"/>
          </w:tcPr>
          <w:p>
            <w:pPr>
              <w:spacing w:line="360" w:lineRule="auto"/>
              <w:jc w:val="center"/>
              <w:rPr>
                <w:rFonts w:ascii="Times New Roman" w:hAnsi="Times New Roman"/>
                <w:szCs w:val="21"/>
                <w:lang w:eastAsia="zh-CN"/>
              </w:rPr>
            </w:pPr>
            <w:r>
              <w:rPr>
                <w:rFonts w:ascii="Times New Roman" w:hAnsi="Times New Roman"/>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2"/>
              </w:numPr>
              <w:spacing w:line="360" w:lineRule="auto"/>
              <w:ind w:firstLineChars="0"/>
              <w:rPr>
                <w:rFonts w:ascii="Times New Roman" w:hAnsi="Times New Roman"/>
                <w:szCs w:val="21"/>
              </w:rPr>
            </w:pPr>
          </w:p>
        </w:tc>
        <w:tc>
          <w:tcPr>
            <w:tcW w:w="7126" w:type="dxa"/>
            <w:shd w:val="clear" w:color="auto" w:fill="D9D9D9"/>
            <w:vAlign w:val="center"/>
          </w:tcPr>
          <w:p>
            <w:pPr>
              <w:spacing w:line="360" w:lineRule="auto"/>
              <w:jc w:val="both"/>
              <w:rPr>
                <w:szCs w:val="21"/>
                <w:lang w:eastAsia="zh-CN"/>
              </w:rPr>
            </w:pPr>
            <w:r>
              <w:rPr>
                <w:szCs w:val="21"/>
                <w:lang w:eastAsia="zh-CN"/>
              </w:rPr>
              <w:t>电气保护</w:t>
            </w:r>
          </w:p>
        </w:tc>
        <w:tc>
          <w:tcPr>
            <w:tcW w:w="2127" w:type="dxa"/>
            <w:shd w:val="clear" w:color="auto" w:fill="D9D9D9"/>
            <w:vAlign w:val="center"/>
          </w:tcPr>
          <w:p>
            <w:pPr>
              <w:spacing w:line="360" w:lineRule="auto"/>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27" w:edGrp="everyone"/>
          </w:p>
        </w:tc>
        <w:tc>
          <w:tcPr>
            <w:tcW w:w="7126" w:type="dxa"/>
            <w:vAlign w:val="center"/>
          </w:tcPr>
          <w:p>
            <w:pPr>
              <w:spacing w:line="360" w:lineRule="auto"/>
              <w:jc w:val="both"/>
              <w:rPr>
                <w:szCs w:val="21"/>
                <w:lang w:eastAsia="zh-CN"/>
              </w:rPr>
            </w:pPr>
            <w:r>
              <w:rPr>
                <w:rFonts w:hint="eastAsia"/>
                <w:szCs w:val="21"/>
                <w:lang w:eastAsia="zh-CN"/>
              </w:rPr>
              <w:t>电控系统所用部件和材料必须符合专业质量标准要求，且装配联接符合设计要求和相关专业质量标准要求，具有良好的绝缘和接地保护。安全保护接地需符合国家标准。</w:t>
            </w:r>
          </w:p>
          <w:p>
            <w:pPr>
              <w:spacing w:line="360" w:lineRule="auto"/>
              <w:jc w:val="both"/>
              <w:rPr>
                <w:szCs w:val="21"/>
                <w:lang w:eastAsia="zh-CN"/>
              </w:rPr>
            </w:pPr>
            <w:r>
              <w:rPr>
                <w:rFonts w:hint="eastAsia"/>
                <w:szCs w:val="21"/>
                <w:lang w:eastAsia="zh-CN"/>
              </w:rPr>
              <w:t xml:space="preserve">保护等级：NEMA4X/IP56 </w:t>
            </w:r>
          </w:p>
        </w:tc>
        <w:tc>
          <w:tcPr>
            <w:tcW w:w="2127" w:type="dxa"/>
            <w:vAlign w:val="center"/>
          </w:tcPr>
          <w:p>
            <w:pPr>
              <w:spacing w:line="360" w:lineRule="auto"/>
              <w:jc w:val="center"/>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28" w:edGrp="everyone"/>
          </w:p>
        </w:tc>
        <w:tc>
          <w:tcPr>
            <w:tcW w:w="7126" w:type="dxa"/>
            <w:vAlign w:val="center"/>
          </w:tcPr>
          <w:p>
            <w:pPr>
              <w:spacing w:line="360" w:lineRule="auto"/>
              <w:jc w:val="both"/>
              <w:rPr>
                <w:szCs w:val="21"/>
                <w:lang w:val="en-US" w:eastAsia="zh-CN"/>
              </w:rPr>
            </w:pPr>
            <w:r>
              <w:rPr>
                <w:rFonts w:hint="eastAsia"/>
                <w:szCs w:val="21"/>
                <w:lang w:val="en-US" w:eastAsia="zh-CN"/>
              </w:rPr>
              <w:t>其他保护：</w:t>
            </w:r>
          </w:p>
          <w:p>
            <w:pPr>
              <w:numPr>
                <w:ilvl w:val="0"/>
                <w:numId w:val="13"/>
              </w:numPr>
              <w:spacing w:line="360" w:lineRule="auto"/>
              <w:jc w:val="both"/>
              <w:rPr>
                <w:szCs w:val="21"/>
                <w:lang w:val="en-US" w:eastAsia="zh-CN"/>
              </w:rPr>
            </w:pPr>
            <w:r>
              <w:rPr>
                <w:rFonts w:hint="eastAsia"/>
                <w:szCs w:val="21"/>
                <w:lang w:val="en-US" w:eastAsia="zh-CN"/>
              </w:rPr>
              <w:t>设备热表面或发热部件上的明显部位必须设有警告标识。</w:t>
            </w:r>
          </w:p>
          <w:p>
            <w:pPr>
              <w:numPr>
                <w:ilvl w:val="0"/>
                <w:numId w:val="13"/>
              </w:numPr>
              <w:spacing w:line="360" w:lineRule="auto"/>
              <w:jc w:val="both"/>
              <w:rPr>
                <w:szCs w:val="21"/>
                <w:lang w:val="en-US" w:eastAsia="zh-CN"/>
              </w:rPr>
            </w:pPr>
            <w:r>
              <w:rPr>
                <w:rFonts w:hint="eastAsia"/>
                <w:szCs w:val="21"/>
                <w:lang w:val="en-US" w:eastAsia="zh-CN"/>
              </w:rPr>
              <w:t>设备操作位置及设备维修区域必须设易于人员接近的急停按钮，并有明显的标示。</w:t>
            </w:r>
          </w:p>
        </w:tc>
        <w:tc>
          <w:tcPr>
            <w:tcW w:w="2127" w:type="dxa"/>
            <w:vAlign w:val="center"/>
          </w:tcPr>
          <w:p>
            <w:pPr>
              <w:spacing w:line="360" w:lineRule="auto"/>
              <w:jc w:val="center"/>
              <w:rPr>
                <w:szCs w:val="21"/>
                <w:lang w:eastAsia="zh-CN"/>
              </w:rPr>
            </w:pPr>
            <w:r>
              <w:rPr>
                <w:rFonts w:hint="eastAsia"/>
                <w:szCs w:val="21"/>
                <w:lang w:eastAsia="zh-CN"/>
              </w:rPr>
              <w:t>关键</w:t>
            </w:r>
          </w:p>
        </w:tc>
      </w:tr>
      <w:permEnd w:id="28"/>
    </w:tbl>
    <w:p>
      <w:pPr>
        <w:spacing w:line="360" w:lineRule="auto"/>
        <w:rPr>
          <w:szCs w:val="21"/>
          <w:lang w:eastAsia="zh-CN"/>
        </w:rPr>
      </w:pPr>
    </w:p>
    <w:p>
      <w:pPr>
        <w:pStyle w:val="44"/>
        <w:numPr>
          <w:ilvl w:val="0"/>
          <w:numId w:val="3"/>
        </w:numPr>
        <w:spacing w:after="158" w:afterLines="50" w:line="360" w:lineRule="auto"/>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spacing w:line="360" w:lineRule="auto"/>
              <w:jc w:val="center"/>
              <w:rPr>
                <w:b/>
                <w:szCs w:val="21"/>
              </w:rPr>
            </w:pPr>
            <w:permStart w:id="29" w:edGrp="everyone"/>
            <w:permEnd w:id="29"/>
            <w:r>
              <w:rPr>
                <w:b/>
                <w:szCs w:val="21"/>
              </w:rPr>
              <w:t>编号</w:t>
            </w:r>
          </w:p>
        </w:tc>
        <w:tc>
          <w:tcPr>
            <w:tcW w:w="7128" w:type="dxa"/>
            <w:shd w:val="clear" w:color="auto" w:fill="D9D9D9"/>
            <w:vAlign w:val="center"/>
          </w:tcPr>
          <w:p>
            <w:pPr>
              <w:spacing w:line="360" w:lineRule="auto"/>
              <w:jc w:val="center"/>
              <w:rPr>
                <w:b/>
                <w:szCs w:val="21"/>
                <w:lang w:eastAsia="zh-CN"/>
              </w:rPr>
            </w:pPr>
            <w:r>
              <w:rPr>
                <w:b/>
                <w:szCs w:val="21"/>
                <w:lang w:eastAsia="zh-CN"/>
              </w:rPr>
              <w:t>需求</w:t>
            </w:r>
          </w:p>
        </w:tc>
        <w:tc>
          <w:tcPr>
            <w:tcW w:w="2125"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30" w:edGrp="everyone"/>
          </w:p>
        </w:tc>
        <w:tc>
          <w:tcPr>
            <w:tcW w:w="7128" w:type="dxa"/>
            <w:vAlign w:val="center"/>
          </w:tcPr>
          <w:p>
            <w:pPr>
              <w:spacing w:line="360" w:lineRule="auto"/>
              <w:jc w:val="both"/>
              <w:rPr>
                <w:szCs w:val="21"/>
                <w:lang w:eastAsia="zh-CN"/>
              </w:rPr>
            </w:pPr>
            <w:r>
              <w:rPr>
                <w:szCs w:val="21"/>
                <w:lang w:eastAsia="zh-CN"/>
              </w:rPr>
              <w:t xml:space="preserve"> </w:t>
            </w:r>
            <w:r>
              <w:rPr>
                <w:rFonts w:hint="eastAsia"/>
                <w:szCs w:val="21"/>
                <w:lang w:eastAsia="zh-CN"/>
              </w:rPr>
              <w:t>投标文件、合同及订单</w:t>
            </w:r>
            <w:r>
              <w:rPr>
                <w:rFonts w:hint="eastAsia" w:hAnsi="宋体"/>
                <w:szCs w:val="21"/>
                <w:lang w:eastAsia="zh-CN"/>
              </w:rPr>
              <w:t>，</w:t>
            </w:r>
            <w:r>
              <w:rPr>
                <w:rFonts w:hint="eastAsia"/>
                <w:szCs w:val="21"/>
                <w:lang w:eastAsia="zh-CN"/>
              </w:rPr>
              <w:t>设备开箱时验收。</w:t>
            </w:r>
          </w:p>
        </w:tc>
        <w:tc>
          <w:tcPr>
            <w:tcW w:w="2125" w:type="dxa"/>
            <w:vAlign w:val="center"/>
          </w:tcPr>
          <w:p>
            <w:pPr>
              <w:spacing w:line="360" w:lineRule="auto"/>
              <w:jc w:val="center"/>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31" w:edGrp="everyone"/>
          </w:p>
        </w:tc>
        <w:tc>
          <w:tcPr>
            <w:tcW w:w="7128" w:type="dxa"/>
            <w:vAlign w:val="center"/>
          </w:tcPr>
          <w:p>
            <w:pPr>
              <w:spacing w:line="360" w:lineRule="auto"/>
              <w:jc w:val="both"/>
              <w:rPr>
                <w:szCs w:val="21"/>
                <w:lang w:eastAsia="zh-CN"/>
              </w:rPr>
            </w:pPr>
            <w:r>
              <w:rPr>
                <w:rFonts w:hint="eastAsia" w:hAnsi="宋体"/>
                <w:szCs w:val="21"/>
                <w:lang w:eastAsia="zh-CN"/>
              </w:rPr>
              <w:t>卖方发运清单及相关检验报告，</w:t>
            </w:r>
            <w:r>
              <w:rPr>
                <w:rFonts w:hint="eastAsia"/>
                <w:szCs w:val="21"/>
                <w:lang w:eastAsia="zh-CN"/>
              </w:rPr>
              <w:t>设备开箱时验收</w:t>
            </w:r>
            <w:r>
              <w:rPr>
                <w:rFonts w:hint="eastAsia" w:hAnsi="宋体"/>
                <w:szCs w:val="21"/>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hAnsi="宋体"/>
                <w:color w:val="000000"/>
                <w:szCs w:val="21"/>
                <w:lang w:eastAsia="zh-CN"/>
              </w:rPr>
            </w:pPr>
            <w:r>
              <w:rPr>
                <w:rFonts w:hint="eastAsia" w:ascii="宋体" w:hAnsi="宋体"/>
                <w:color w:val="000000"/>
                <w:lang w:eastAsia="zh-CN"/>
              </w:rPr>
              <w:t>设计选型文件：设备详细功能说明、设计说明、配置说明与清单。</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hAnsi="宋体"/>
                <w:color w:val="000000"/>
                <w:szCs w:val="21"/>
                <w:lang w:eastAsia="zh-CN"/>
              </w:rPr>
            </w:pPr>
            <w:r>
              <w:rPr>
                <w:rFonts w:hint="eastAsia"/>
                <w:color w:val="000000"/>
                <w:szCs w:val="21"/>
                <w:lang w:eastAsia="zh-CN"/>
              </w:rPr>
              <w:t>图纸：实物图；各种验证、维修等活动所需的电子版及打印版设备布局图、设备尺寸图、设备局部图（与功能相关细节图）、接线图、PLC图（若有）、架构图、P&amp;ID图、控制原理图、计算机系统相关图纸（若涉及）、图纸清单。</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ascii="宋体" w:hAnsi="宋体" w:cs="宋体"/>
                <w:lang w:eastAsia="zh-CN"/>
              </w:rPr>
              <w:t>组件、配件、备件清单</w:t>
            </w:r>
            <w:r>
              <w:rPr>
                <w:rFonts w:hint="eastAsia" w:ascii="宋体" w:hAnsi="宋体"/>
                <w:lang w:eastAsia="zh-CN"/>
              </w:rPr>
              <w:t>：包括名称、编号、对应厂家名称、生产地、规格及必要说明。</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lang w:eastAsia="zh-CN"/>
              </w:rPr>
            </w:pPr>
            <w:r>
              <w:rPr>
                <w:rFonts w:hint="eastAsia"/>
                <w:szCs w:val="21"/>
                <w:lang w:eastAsia="zh-CN"/>
              </w:rPr>
              <w:t>设备厂家文件：出厂测试合格证、各组件说明书与合格证、相关检测报告、各种标示，提交不晚于IQ开始前。</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szCs w:val="21"/>
                <w:lang w:eastAsia="zh-CN"/>
              </w:rPr>
              <w:t>提供关键设备清单，提交不晚于IQ开始前。</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lang w:eastAsia="zh-CN"/>
              </w:rPr>
            </w:pPr>
            <w:r>
              <w:rPr>
                <w:rFonts w:hint="eastAsia" w:ascii="宋体" w:hAnsi="宋体" w:cs="宋体"/>
                <w:lang w:eastAsia="zh-CN"/>
              </w:rPr>
              <w:t>设备操作手册（</w:t>
            </w:r>
            <w:r>
              <w:rPr>
                <w:rFonts w:ascii="宋体" w:hAnsi="宋体" w:cs="宋体"/>
                <w:lang w:eastAsia="zh-CN"/>
              </w:rPr>
              <w:t>SOP</w:t>
            </w:r>
            <w:r>
              <w:rPr>
                <w:rFonts w:hint="eastAsia" w:ascii="宋体" w:hAnsi="宋体" w:cs="宋体"/>
                <w:lang w:eastAsia="zh-CN"/>
              </w:rPr>
              <w:t>）</w:t>
            </w:r>
            <w:r>
              <w:rPr>
                <w:rFonts w:hint="eastAsia" w:ascii="宋体" w:hAnsi="宋体"/>
                <w:lang w:eastAsia="zh-CN"/>
              </w:rPr>
              <w:t>：</w:t>
            </w:r>
            <w:r>
              <w:rPr>
                <w:rFonts w:hint="eastAsia" w:ascii="宋体" w:hAnsi="宋体" w:cs="宋体"/>
                <w:lang w:eastAsia="zh-CN"/>
              </w:rPr>
              <w:t>语言为中文，</w:t>
            </w:r>
            <w:r>
              <w:rPr>
                <w:rFonts w:hint="eastAsia" w:ascii="宋体" w:hAnsi="宋体"/>
                <w:lang w:eastAsia="zh-CN"/>
              </w:rPr>
              <w:t>应说明校准周期，并能提供校准服务，</w:t>
            </w:r>
            <w:r>
              <w:rPr>
                <w:rFonts w:hint="eastAsia"/>
                <w:szCs w:val="21"/>
                <w:lang w:eastAsia="zh-CN"/>
              </w:rPr>
              <w:t>设备开箱时验收</w:t>
            </w:r>
            <w:r>
              <w:rPr>
                <w:rFonts w:hint="eastAsia" w:ascii="宋体" w:hAnsi="宋体"/>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lang w:eastAsia="zh-CN"/>
              </w:rPr>
            </w:pPr>
            <w:r>
              <w:rPr>
                <w:rFonts w:hint="eastAsia" w:ascii="宋体" w:hAnsi="宋体"/>
                <w:lang w:eastAsia="zh-CN"/>
              </w:rPr>
              <w:t>校验报告及计量证书，</w:t>
            </w:r>
            <w:r>
              <w:rPr>
                <w:rFonts w:hint="eastAsia"/>
                <w:szCs w:val="21"/>
                <w:lang w:eastAsia="zh-CN"/>
              </w:rPr>
              <w:t>提交不晚于IQ开始前</w:t>
            </w:r>
            <w:r>
              <w:rPr>
                <w:rFonts w:hint="eastAsia" w:ascii="宋体" w:hAnsi="宋体"/>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lang w:eastAsia="zh-CN"/>
              </w:rPr>
            </w:pPr>
            <w:r>
              <w:rPr>
                <w:rFonts w:hint="eastAsia" w:ascii="宋体" w:hAnsi="宋体"/>
                <w:lang w:eastAsia="zh-CN"/>
              </w:rPr>
              <w:t>安全报告，</w:t>
            </w:r>
            <w:r>
              <w:rPr>
                <w:rFonts w:hint="eastAsia"/>
                <w:szCs w:val="21"/>
                <w:lang w:eastAsia="zh-CN"/>
              </w:rPr>
              <w:t>设备开箱时验收</w:t>
            </w:r>
            <w:r>
              <w:rPr>
                <w:rFonts w:hint="eastAsia" w:ascii="宋体" w:hAnsi="宋体"/>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lang w:eastAsia="zh-CN"/>
              </w:rPr>
            </w:pPr>
            <w:r>
              <w:rPr>
                <w:rFonts w:hint="eastAsia" w:ascii="宋体" w:hAnsi="宋体"/>
                <w:lang w:eastAsia="zh-CN"/>
              </w:rPr>
              <w:t>第三方材质证书（写明材料有效期），</w:t>
            </w:r>
            <w:r>
              <w:rPr>
                <w:rFonts w:hint="eastAsia"/>
                <w:szCs w:val="21"/>
                <w:lang w:eastAsia="zh-CN"/>
              </w:rPr>
              <w:t>设备开箱时验收</w:t>
            </w:r>
            <w:r>
              <w:rPr>
                <w:rFonts w:hint="eastAsia" w:ascii="宋体" w:hAnsi="宋体"/>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lang w:eastAsia="zh-CN"/>
              </w:rPr>
              <w:t>工厂验收测试报告、现场验收测试报告。</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lang w:eastAsia="zh-CN"/>
              </w:rPr>
              <w:t>调试文件：工厂验收测试报告、现场验收测试报告、调试计划（调试说明、调试清单、现场验收测试、保修信息、培训计划等），总测试计划，检查计划，检测清单，各测试结果，调试总结报告等。</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color w:val="000000"/>
                <w:lang w:eastAsia="zh-CN"/>
              </w:rPr>
            </w:pPr>
            <w:r>
              <w:rPr>
                <w:rFonts w:hint="eastAsia" w:ascii="宋体" w:hAnsi="宋体"/>
                <w:lang w:eastAsia="zh-CN"/>
              </w:rPr>
              <w:t>验证</w:t>
            </w:r>
            <w:r>
              <w:rPr>
                <w:rFonts w:hint="eastAsia" w:ascii="宋体" w:hAnsi="宋体"/>
                <w:color w:val="000000"/>
                <w:lang w:eastAsia="zh-CN"/>
              </w:rPr>
              <w:t>文件：</w:t>
            </w:r>
          </w:p>
          <w:p>
            <w:pPr>
              <w:spacing w:line="360" w:lineRule="auto"/>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1</w:t>
            </w:r>
            <w:r>
              <w:rPr>
                <w:rFonts w:hint="eastAsia" w:ascii="宋体" w:hAnsi="宋体"/>
                <w:color w:val="000000"/>
                <w:lang w:eastAsia="zh-CN"/>
              </w:rPr>
              <w:t>）验证计划，设计阶段，设计确认开始前提交</w:t>
            </w:r>
          </w:p>
          <w:p>
            <w:pPr>
              <w:spacing w:line="360" w:lineRule="auto"/>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2</w:t>
            </w:r>
            <w:r>
              <w:rPr>
                <w:rFonts w:hint="eastAsia" w:ascii="宋体" w:hAnsi="宋体"/>
                <w:color w:val="000000"/>
                <w:lang w:eastAsia="zh-CN"/>
              </w:rPr>
              <w:t>）满足</w:t>
            </w:r>
            <w:r>
              <w:rPr>
                <w:rFonts w:ascii="宋体" w:hAnsi="宋体"/>
                <w:color w:val="000000"/>
                <w:lang w:eastAsia="zh-CN"/>
              </w:rPr>
              <w:t>GMP</w:t>
            </w:r>
            <w:r>
              <w:rPr>
                <w:rFonts w:hint="eastAsia" w:ascii="宋体" w:hAnsi="宋体"/>
                <w:color w:val="000000"/>
                <w:lang w:eastAsia="zh-CN"/>
              </w:rPr>
              <w:t>等相关法规的评估文件，系统影响性评估在DQ开始前；</w:t>
            </w:r>
          </w:p>
          <w:p>
            <w:pPr>
              <w:spacing w:line="360" w:lineRule="auto"/>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3</w:t>
            </w:r>
            <w:r>
              <w:rPr>
                <w:rFonts w:hint="eastAsia" w:ascii="宋体" w:hAnsi="宋体"/>
                <w:color w:val="000000"/>
                <w:lang w:eastAsia="zh-CN"/>
              </w:rPr>
              <w:t>）设计确认及文件（</w:t>
            </w:r>
            <w:r>
              <w:rPr>
                <w:rFonts w:ascii="宋体" w:hAnsi="宋体"/>
                <w:color w:val="000000"/>
                <w:lang w:eastAsia="zh-CN"/>
              </w:rPr>
              <w:t>DQ</w:t>
            </w:r>
            <w:r>
              <w:rPr>
                <w:rFonts w:hint="eastAsia" w:ascii="宋体" w:hAnsi="宋体"/>
                <w:color w:val="000000"/>
                <w:lang w:eastAsia="zh-CN"/>
              </w:rPr>
              <w:t>），设计完成后，制造及安装开始前完成审批并提交；</w:t>
            </w:r>
          </w:p>
          <w:p>
            <w:pPr>
              <w:spacing w:line="360" w:lineRule="auto"/>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4</w:t>
            </w:r>
            <w:r>
              <w:rPr>
                <w:rFonts w:hint="eastAsia" w:ascii="宋体" w:hAnsi="宋体"/>
                <w:color w:val="000000"/>
                <w:lang w:eastAsia="zh-CN"/>
              </w:rPr>
              <w:t>）安装确认及文件（</w:t>
            </w:r>
            <w:r>
              <w:rPr>
                <w:rFonts w:ascii="宋体" w:hAnsi="宋体"/>
                <w:color w:val="000000"/>
                <w:lang w:eastAsia="zh-CN"/>
              </w:rPr>
              <w:t>IQ</w:t>
            </w:r>
            <w:r>
              <w:rPr>
                <w:rFonts w:hint="eastAsia" w:ascii="宋体" w:hAnsi="宋体"/>
                <w:color w:val="000000"/>
                <w:lang w:eastAsia="zh-CN"/>
              </w:rPr>
              <w:t>），SAT批准后开始执行，OQ开始前完成审批并提交；</w:t>
            </w:r>
          </w:p>
          <w:p>
            <w:pPr>
              <w:spacing w:line="360" w:lineRule="auto"/>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5</w:t>
            </w:r>
            <w:r>
              <w:rPr>
                <w:rFonts w:hint="eastAsia" w:ascii="宋体" w:hAnsi="宋体"/>
                <w:color w:val="000000"/>
                <w:lang w:eastAsia="zh-CN"/>
              </w:rPr>
              <w:t>）运行确认及文件（</w:t>
            </w:r>
            <w:r>
              <w:rPr>
                <w:rFonts w:ascii="宋体" w:hAnsi="宋体"/>
                <w:color w:val="000000"/>
                <w:lang w:eastAsia="zh-CN"/>
              </w:rPr>
              <w:t>OQ</w:t>
            </w:r>
            <w:r>
              <w:rPr>
                <w:rFonts w:hint="eastAsia" w:ascii="宋体" w:hAnsi="宋体"/>
                <w:color w:val="000000"/>
                <w:lang w:eastAsia="zh-CN"/>
              </w:rPr>
              <w:t>），IQ批准后开始执行，PQ开始前完成审批并提交；</w:t>
            </w:r>
          </w:p>
          <w:p>
            <w:pPr>
              <w:spacing w:line="360" w:lineRule="auto"/>
              <w:rPr>
                <w:rFonts w:ascii="宋体" w:hAnsi="宋体"/>
                <w:color w:val="000000"/>
                <w:lang w:eastAsia="zh-CN"/>
              </w:rPr>
            </w:pPr>
            <w:r>
              <w:rPr>
                <w:rFonts w:hint="eastAsia" w:ascii="宋体" w:hAnsi="宋体"/>
                <w:color w:val="000000"/>
                <w:lang w:eastAsia="zh-CN"/>
              </w:rPr>
              <w:t>（6）验证总结报告（</w:t>
            </w:r>
            <w:r>
              <w:rPr>
                <w:rFonts w:ascii="宋体" w:hAnsi="宋体"/>
                <w:color w:val="000000"/>
                <w:lang w:eastAsia="zh-CN"/>
              </w:rPr>
              <w:t>VSR</w:t>
            </w:r>
            <w:r>
              <w:rPr>
                <w:rFonts w:hint="eastAsia" w:ascii="宋体" w:hAnsi="宋体"/>
                <w:color w:val="000000"/>
                <w:lang w:eastAsia="zh-CN"/>
              </w:rPr>
              <w:t>），PQ完成后开始起草，最终验收前提交；</w:t>
            </w:r>
          </w:p>
          <w:p>
            <w:pPr>
              <w:spacing w:line="360" w:lineRule="auto"/>
              <w:jc w:val="both"/>
              <w:rPr>
                <w:rFonts w:ascii="宋体" w:hAnsi="宋体"/>
                <w:lang w:eastAsia="zh-CN"/>
              </w:rPr>
            </w:pPr>
            <w:r>
              <w:rPr>
                <w:rFonts w:hint="eastAsia" w:ascii="宋体" w:hAnsi="宋体"/>
                <w:color w:val="000000"/>
                <w:lang w:eastAsia="zh-CN"/>
              </w:rPr>
              <w:t>（7）设备生产商负责制定设备验证计划、评估文件、</w:t>
            </w:r>
            <w:r>
              <w:rPr>
                <w:rFonts w:ascii="宋体" w:hAnsi="宋体"/>
                <w:color w:val="000000"/>
                <w:lang w:eastAsia="zh-CN"/>
              </w:rPr>
              <w:t>DQ/IQ/OQ</w:t>
            </w:r>
            <w:r>
              <w:rPr>
                <w:rFonts w:hint="eastAsia" w:ascii="宋体" w:hAnsi="宋体"/>
                <w:color w:val="000000"/>
                <w:lang w:eastAsia="zh-CN"/>
              </w:rPr>
              <w:t>验证文件、验证总结报告，并负责验证工作的实施，该验证文件作为设备必备文件。</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lang w:eastAsia="zh-CN"/>
              </w:rPr>
              <w:t>设备交付计划表，</w:t>
            </w:r>
            <w:r>
              <w:rPr>
                <w:rFonts w:hint="eastAsia"/>
                <w:szCs w:val="21"/>
                <w:lang w:eastAsia="zh-CN"/>
              </w:rPr>
              <w:t>设备开箱时验收</w:t>
            </w:r>
            <w:r>
              <w:rPr>
                <w:rFonts w:hint="eastAsia" w:ascii="宋体" w:hAnsi="宋体"/>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lang w:eastAsia="zh-CN"/>
              </w:rPr>
              <w:t>使用操作说明书及维护保养说明（即  运行及维护手册）</w:t>
            </w:r>
            <w:r>
              <w:rPr>
                <w:rFonts w:ascii="宋体" w:hAnsi="宋体"/>
                <w:lang w:eastAsia="zh-CN"/>
              </w:rPr>
              <w:t>3</w:t>
            </w:r>
            <w:r>
              <w:rPr>
                <w:rFonts w:hint="eastAsia" w:ascii="宋体" w:hAnsi="宋体"/>
                <w:lang w:eastAsia="zh-CN"/>
              </w:rPr>
              <w:t>份，</w:t>
            </w:r>
            <w:r>
              <w:rPr>
                <w:rFonts w:hint="eastAsia"/>
                <w:szCs w:val="21"/>
                <w:lang w:eastAsia="zh-CN"/>
              </w:rPr>
              <w:t>设备开箱时验收</w:t>
            </w:r>
            <w:r>
              <w:rPr>
                <w:rFonts w:hint="eastAsia" w:ascii="宋体" w:hAnsi="宋体"/>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lang w:eastAsia="zh-CN"/>
              </w:rPr>
              <w:t>提供设备及其零部件使用寿命清单，</w:t>
            </w:r>
            <w:r>
              <w:rPr>
                <w:rFonts w:hint="eastAsia"/>
                <w:szCs w:val="21"/>
                <w:lang w:eastAsia="zh-CN"/>
              </w:rPr>
              <w:t>设备开箱时验收</w:t>
            </w:r>
            <w:r>
              <w:rPr>
                <w:rFonts w:hint="eastAsia" w:ascii="宋体" w:hAnsi="宋体"/>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rPr>
              <w:t>现场验收报告。</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lang w:eastAsia="zh-CN"/>
              </w:rPr>
              <w:t>文件具体要求：</w:t>
            </w:r>
          </w:p>
          <w:p>
            <w:pPr>
              <w:spacing w:line="360" w:lineRule="auto"/>
              <w:jc w:val="both"/>
              <w:rPr>
                <w:rFonts w:ascii="宋体" w:hAnsi="宋体"/>
                <w:lang w:eastAsia="zh-CN"/>
              </w:rPr>
            </w:pPr>
            <w:r>
              <w:rPr>
                <w:rFonts w:hint="eastAsia" w:ascii="宋体" w:hAnsi="宋体"/>
                <w:lang w:eastAsia="zh-CN"/>
              </w:rPr>
              <w:t>（1）系统相关方案中，应明确本系统的配置、规格，并且分析阐述每一个系统环节的必要性；</w:t>
            </w:r>
          </w:p>
          <w:p>
            <w:pPr>
              <w:spacing w:line="360" w:lineRule="auto"/>
              <w:jc w:val="both"/>
              <w:rPr>
                <w:rFonts w:ascii="宋体" w:hAnsi="宋体"/>
                <w:lang w:eastAsia="zh-CN"/>
              </w:rPr>
            </w:pPr>
            <w:r>
              <w:rPr>
                <w:rFonts w:hint="eastAsia" w:ascii="宋体" w:hAnsi="宋体"/>
                <w:lang w:eastAsia="zh-CN"/>
              </w:rPr>
              <w:t>（2）标书中明确系统所有组件的品牌、材质、型号，并且注明每一个组件的保修期；</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lang w:eastAsia="zh-CN"/>
              </w:rPr>
              <w:t>上述条款规定的文件需提供电子版，并在设备开箱验收时将最终批准的电子版及纸质版全套资料交工程技术部存档</w:t>
            </w:r>
          </w:p>
        </w:tc>
        <w:tc>
          <w:tcPr>
            <w:tcW w:w="2125" w:type="dxa"/>
            <w:vAlign w:val="center"/>
          </w:tcPr>
          <w:p>
            <w:pPr>
              <w:spacing w:line="360" w:lineRule="auto"/>
              <w:jc w:val="center"/>
              <w:rPr>
                <w:szCs w:val="21"/>
                <w:lang w:eastAsia="zh-CN"/>
              </w:rPr>
            </w:pPr>
            <w:r>
              <w:rPr>
                <w:rFonts w:hint="eastAsia"/>
                <w:szCs w:val="21"/>
                <w:lang w:eastAsia="zh-CN"/>
              </w:rPr>
              <w:t>关键</w:t>
            </w:r>
          </w:p>
        </w:tc>
      </w:tr>
      <w:permEnd w:id="31"/>
    </w:tbl>
    <w:p>
      <w:pPr>
        <w:spacing w:line="360" w:lineRule="auto"/>
        <w:rPr>
          <w:szCs w:val="21"/>
          <w:lang w:eastAsia="zh-CN"/>
        </w:rPr>
      </w:pPr>
    </w:p>
    <w:p>
      <w:pPr>
        <w:pStyle w:val="44"/>
        <w:numPr>
          <w:ilvl w:val="0"/>
          <w:numId w:val="3"/>
        </w:numPr>
        <w:spacing w:after="158" w:afterLines="50" w:line="360" w:lineRule="auto"/>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spacing w:line="360" w:lineRule="auto"/>
              <w:jc w:val="center"/>
              <w:rPr>
                <w:b/>
                <w:szCs w:val="21"/>
              </w:rPr>
            </w:pPr>
            <w:permStart w:id="32" w:edGrp="everyone"/>
            <w:permEnd w:id="32"/>
            <w:r>
              <w:rPr>
                <w:b/>
                <w:szCs w:val="21"/>
              </w:rPr>
              <w:t>编号</w:t>
            </w:r>
          </w:p>
        </w:tc>
        <w:tc>
          <w:tcPr>
            <w:tcW w:w="7128" w:type="dxa"/>
            <w:shd w:val="clear" w:color="auto" w:fill="D9D9D9"/>
            <w:vAlign w:val="center"/>
          </w:tcPr>
          <w:p>
            <w:pPr>
              <w:spacing w:line="360" w:lineRule="auto"/>
              <w:jc w:val="center"/>
              <w:rPr>
                <w:b/>
                <w:szCs w:val="21"/>
                <w:lang w:eastAsia="zh-CN"/>
              </w:rPr>
            </w:pPr>
            <w:r>
              <w:rPr>
                <w:b/>
                <w:szCs w:val="21"/>
                <w:lang w:eastAsia="zh-CN"/>
              </w:rPr>
              <w:t>需求</w:t>
            </w:r>
          </w:p>
        </w:tc>
        <w:tc>
          <w:tcPr>
            <w:tcW w:w="2125"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4"/>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33" w:edGrp="everyone"/>
          </w:p>
        </w:tc>
        <w:tc>
          <w:tcPr>
            <w:tcW w:w="7128" w:type="dxa"/>
            <w:vAlign w:val="center"/>
          </w:tcPr>
          <w:p>
            <w:pPr>
              <w:spacing w:line="360" w:lineRule="auto"/>
              <w:jc w:val="both"/>
              <w:rPr>
                <w:color w:val="000000"/>
                <w:szCs w:val="21"/>
                <w:lang w:eastAsia="zh-CN"/>
              </w:rPr>
            </w:pPr>
            <w:r>
              <w:rPr>
                <w:color w:val="000000"/>
                <w:lang w:eastAsia="zh-CN"/>
              </w:rPr>
              <w:t>设备供应商应免费对设备使用方人员进行全面培训，包括对生产操作人员及设备维护、维修人员，并填写培训记录。</w:t>
            </w:r>
          </w:p>
        </w:tc>
        <w:tc>
          <w:tcPr>
            <w:tcW w:w="2125" w:type="dxa"/>
            <w:vAlign w:val="center"/>
          </w:tcPr>
          <w:p>
            <w:pPr>
              <w:spacing w:line="360" w:lineRule="auto"/>
              <w:jc w:val="center"/>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34" w:edGrp="everyone"/>
          </w:p>
        </w:tc>
        <w:tc>
          <w:tcPr>
            <w:tcW w:w="7128" w:type="dxa"/>
            <w:vAlign w:val="center"/>
          </w:tcPr>
          <w:p>
            <w:pPr>
              <w:spacing w:line="360" w:lineRule="auto"/>
              <w:jc w:val="both"/>
              <w:rPr>
                <w:color w:val="000000"/>
                <w:szCs w:val="21"/>
                <w:lang w:eastAsia="zh-CN"/>
              </w:rPr>
            </w:pPr>
            <w:r>
              <w:rPr>
                <w:color w:val="000000"/>
                <w:lang w:eastAsia="zh-CN"/>
              </w:rPr>
              <w:t>生产操作人员培训包括设备结构原理、性能、操作、清洗消毒、故障排除等基本</w:t>
            </w:r>
            <w:r>
              <w:rPr>
                <w:color w:val="000000"/>
                <w:szCs w:val="21"/>
                <w:lang w:eastAsia="zh-CN"/>
              </w:rPr>
              <w:t>知识</w:t>
            </w:r>
            <w:r>
              <w:rPr>
                <w:color w:val="000000"/>
                <w:lang w:eastAsia="zh-CN"/>
              </w:rPr>
              <w:t>。合格标准为用户参加培训人员能够独立正确操作设备，会排除常见故障。</w:t>
            </w:r>
          </w:p>
        </w:tc>
        <w:tc>
          <w:tcPr>
            <w:tcW w:w="2125" w:type="dxa"/>
            <w:vAlign w:val="center"/>
          </w:tcPr>
          <w:p>
            <w:pPr>
              <w:spacing w:line="360" w:lineRule="auto"/>
              <w:jc w:val="center"/>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35" w:edGrp="everyone"/>
          </w:p>
        </w:tc>
        <w:tc>
          <w:tcPr>
            <w:tcW w:w="7128" w:type="dxa"/>
            <w:vAlign w:val="center"/>
          </w:tcPr>
          <w:p>
            <w:pPr>
              <w:spacing w:line="360" w:lineRule="auto"/>
              <w:jc w:val="both"/>
              <w:rPr>
                <w:color w:val="000000"/>
                <w:lang w:eastAsia="zh-CN"/>
              </w:rPr>
            </w:pPr>
            <w:r>
              <w:rPr>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spacing w:line="360" w:lineRule="auto"/>
              <w:jc w:val="center"/>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4"/>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36" w:edGrp="everyone"/>
          </w:p>
        </w:tc>
        <w:tc>
          <w:tcPr>
            <w:tcW w:w="7128" w:type="dxa"/>
            <w:vAlign w:val="center"/>
          </w:tcPr>
          <w:p>
            <w:pPr>
              <w:spacing w:line="360" w:lineRule="auto"/>
              <w:jc w:val="both"/>
              <w:rPr>
                <w:color w:val="000000"/>
                <w:szCs w:val="21"/>
                <w:lang w:eastAsia="zh-CN"/>
              </w:rPr>
            </w:pPr>
            <w:r>
              <w:rPr>
                <w:color w:val="000000"/>
                <w:lang w:eastAsia="zh-CN"/>
              </w:rPr>
              <w:t>设备运输在运输途中需做好防护措施，不得有任何损伤。</w:t>
            </w:r>
          </w:p>
        </w:tc>
        <w:tc>
          <w:tcPr>
            <w:tcW w:w="2125" w:type="dxa"/>
            <w:vAlign w:val="center"/>
          </w:tcPr>
          <w:p>
            <w:pPr>
              <w:spacing w:line="360" w:lineRule="auto"/>
              <w:jc w:val="center"/>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4"/>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37" w:edGrp="everyone"/>
          </w:p>
        </w:tc>
        <w:tc>
          <w:tcPr>
            <w:tcW w:w="7128" w:type="dxa"/>
            <w:vAlign w:val="center"/>
          </w:tcPr>
          <w:p>
            <w:pPr>
              <w:spacing w:line="360" w:lineRule="auto"/>
              <w:jc w:val="both"/>
              <w:rPr>
                <w:i/>
                <w:color w:val="000000"/>
                <w:szCs w:val="21"/>
                <w:lang w:eastAsia="zh-CN"/>
              </w:rPr>
            </w:pPr>
            <w:r>
              <w:rPr>
                <w:rFonts w:hint="eastAsia" w:ascii="宋体" w:hAnsi="宋体"/>
                <w:color w:val="000000"/>
                <w:lang w:eastAsia="zh-CN"/>
              </w:rPr>
              <w:t>验证包括</w:t>
            </w:r>
            <w:r>
              <w:rPr>
                <w:rFonts w:hint="eastAsia" w:ascii="宋体" w:hAnsi="宋体"/>
                <w:color w:val="000000"/>
                <w:szCs w:val="21"/>
                <w:lang w:eastAsia="zh-CN"/>
              </w:rPr>
              <w:t>验证计划</w:t>
            </w:r>
            <w:r>
              <w:rPr>
                <w:rFonts w:hint="eastAsia" w:ascii="宋体" w:hAnsi="宋体"/>
                <w:szCs w:val="21"/>
                <w:lang w:eastAsia="zh-CN"/>
              </w:rPr>
              <w:t>、G</w:t>
            </w:r>
            <w:r>
              <w:rPr>
                <w:rFonts w:ascii="宋体" w:hAnsi="宋体"/>
                <w:szCs w:val="21"/>
                <w:lang w:eastAsia="zh-CN"/>
              </w:rPr>
              <w:t>MP</w:t>
            </w:r>
            <w:r>
              <w:rPr>
                <w:rFonts w:hint="eastAsia" w:ascii="宋体" w:hAnsi="宋体"/>
                <w:szCs w:val="21"/>
                <w:lang w:eastAsia="zh-CN"/>
              </w:rPr>
              <w:t>相关系统及风险评估、</w:t>
            </w:r>
            <w:r>
              <w:rPr>
                <w:rFonts w:ascii="宋体" w:hAnsi="宋体"/>
                <w:szCs w:val="21"/>
                <w:lang w:eastAsia="zh-CN"/>
              </w:rPr>
              <w:t>D</w:t>
            </w:r>
            <w:r>
              <w:rPr>
                <w:rFonts w:ascii="宋体" w:hAnsi="宋体"/>
                <w:color w:val="000000"/>
                <w:szCs w:val="21"/>
                <w:lang w:eastAsia="zh-CN"/>
              </w:rPr>
              <w:t>Q</w:t>
            </w:r>
            <w:r>
              <w:rPr>
                <w:rFonts w:hint="eastAsia" w:ascii="宋体" w:hAnsi="宋体"/>
                <w:color w:val="000000"/>
                <w:szCs w:val="21"/>
                <w:lang w:eastAsia="zh-CN"/>
              </w:rPr>
              <w:t>、</w:t>
            </w:r>
            <w:r>
              <w:rPr>
                <w:rFonts w:ascii="宋体" w:hAnsi="宋体"/>
                <w:color w:val="000000"/>
                <w:szCs w:val="21"/>
                <w:lang w:eastAsia="zh-CN"/>
              </w:rPr>
              <w:t>SAT</w:t>
            </w:r>
            <w:r>
              <w:rPr>
                <w:rFonts w:hint="eastAsia" w:ascii="宋体" w:hAnsi="宋体"/>
                <w:color w:val="000000"/>
                <w:szCs w:val="21"/>
                <w:lang w:eastAsia="zh-CN"/>
              </w:rPr>
              <w:t>、</w:t>
            </w:r>
            <w:r>
              <w:rPr>
                <w:rFonts w:ascii="宋体" w:hAnsi="宋体"/>
                <w:color w:val="000000"/>
                <w:szCs w:val="21"/>
                <w:lang w:eastAsia="zh-CN"/>
              </w:rPr>
              <w:t>IQ</w:t>
            </w:r>
            <w:r>
              <w:rPr>
                <w:rFonts w:hint="eastAsia" w:ascii="宋体" w:hAnsi="宋体"/>
                <w:color w:val="000000"/>
                <w:szCs w:val="21"/>
                <w:lang w:eastAsia="zh-CN"/>
              </w:rPr>
              <w:t>、</w:t>
            </w:r>
            <w:r>
              <w:rPr>
                <w:rFonts w:ascii="宋体" w:hAnsi="宋体"/>
                <w:color w:val="000000"/>
                <w:szCs w:val="21"/>
                <w:lang w:eastAsia="zh-CN"/>
              </w:rPr>
              <w:t>OQ</w:t>
            </w:r>
            <w:r>
              <w:rPr>
                <w:rFonts w:hint="eastAsia" w:ascii="宋体" w:hAnsi="宋体"/>
                <w:color w:val="000000"/>
                <w:szCs w:val="21"/>
                <w:lang w:eastAsia="zh-CN"/>
              </w:rPr>
              <w:t>、</w:t>
            </w:r>
            <w:r>
              <w:rPr>
                <w:rFonts w:ascii="宋体" w:hAnsi="宋体"/>
                <w:color w:val="000000"/>
                <w:szCs w:val="21"/>
                <w:lang w:eastAsia="zh-CN"/>
              </w:rPr>
              <w:t>VSR</w:t>
            </w:r>
            <w:r>
              <w:rPr>
                <w:rFonts w:hint="eastAsia" w:ascii="宋体" w:hAnsi="宋体"/>
                <w:color w:val="000000"/>
                <w:szCs w:val="21"/>
                <w:lang w:eastAsia="zh-CN"/>
              </w:rPr>
              <w:t>文件与服务，供应商必须派出具备该类系统验证经验，且熟悉验证相关文件编写及验证工作实施的验证工程师开展验证工作。供应商协助完成</w:t>
            </w:r>
            <w:r>
              <w:rPr>
                <w:rFonts w:ascii="宋体" w:hAnsi="宋体"/>
                <w:color w:val="000000"/>
                <w:szCs w:val="21"/>
                <w:lang w:eastAsia="zh-CN"/>
              </w:rPr>
              <w:t>PQ</w:t>
            </w:r>
            <w:r>
              <w:rPr>
                <w:rFonts w:hint="eastAsia" w:ascii="宋体" w:hAnsi="宋体"/>
                <w:color w:val="000000"/>
                <w:szCs w:val="21"/>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38" w:edGrp="everyone"/>
          </w:p>
        </w:tc>
        <w:tc>
          <w:tcPr>
            <w:tcW w:w="7128" w:type="dxa"/>
            <w:vAlign w:val="center"/>
          </w:tcPr>
          <w:p>
            <w:pPr>
              <w:spacing w:line="360" w:lineRule="auto"/>
              <w:jc w:val="both"/>
              <w:rPr>
                <w:rFonts w:ascii="宋体" w:hAnsi="宋体"/>
                <w:color w:val="000000"/>
                <w:lang w:eastAsia="zh-CN"/>
              </w:rPr>
            </w:pPr>
            <w:r>
              <w:rPr>
                <w:rFonts w:hint="eastAsia" w:ascii="宋体" w:hAnsi="宋体"/>
                <w:color w:val="000000"/>
                <w:lang w:eastAsia="zh-CN"/>
              </w:rPr>
              <w:t>验证工作应按时保质完成，供应商需提供验证工作计划表。</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color w:val="000000"/>
                <w:lang w:eastAsia="zh-CN"/>
              </w:rPr>
            </w:pPr>
            <w:r>
              <w:rPr>
                <w:rFonts w:hint="eastAsia" w:ascii="宋体" w:hAnsi="宋体"/>
                <w:color w:val="000000"/>
                <w:lang w:eastAsia="zh-CN"/>
              </w:rPr>
              <w:t>验证项目应包含法规要求的测试项目，以及本公司提出的测试项目。</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color w:val="000000"/>
                <w:lang w:eastAsia="zh-CN"/>
              </w:rPr>
            </w:pPr>
            <w:r>
              <w:rPr>
                <w:rFonts w:hint="eastAsia" w:ascii="宋体" w:hAnsi="宋体"/>
                <w:color w:val="000000"/>
                <w:lang w:eastAsia="zh-CN"/>
              </w:rPr>
              <w:t>验证工作完成后，验证记录经本公司相关部门审核，并经质量保证部批准。</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color w:val="000000"/>
                <w:lang w:eastAsia="zh-CN"/>
              </w:rPr>
            </w:pPr>
            <w:r>
              <w:rPr>
                <w:rFonts w:hint="eastAsia" w:ascii="宋体" w:hAnsi="宋体"/>
                <w:color w:val="000000"/>
                <w:lang w:eastAsia="zh-CN"/>
              </w:rPr>
              <w:t>验收前，验证工作已成功完成，验证最终报告已经本公司相关部门审核，并经质量保证部批准。</w:t>
            </w:r>
          </w:p>
        </w:tc>
        <w:tc>
          <w:tcPr>
            <w:tcW w:w="2125" w:type="dxa"/>
            <w:vAlign w:val="center"/>
          </w:tcPr>
          <w:p>
            <w:pPr>
              <w:spacing w:line="360" w:lineRule="auto"/>
              <w:jc w:val="center"/>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pacing w:val="-4"/>
                <w:szCs w:val="21"/>
                <w:lang w:eastAsia="zh-CN"/>
              </w:rPr>
            </w:pPr>
            <w:r>
              <w:rPr>
                <w:rFonts w:ascii="Arial" w:hAnsi="Arial" w:cs="Arial"/>
                <w:spacing w:val="-4"/>
                <w:szCs w:val="21"/>
                <w:lang w:eastAsia="zh-CN"/>
              </w:rPr>
              <w:t>出厂测试必须由供应商完成，并提供合格证书。</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pacing w:val="-4"/>
                <w:szCs w:val="21"/>
                <w:lang w:eastAsia="zh-CN"/>
              </w:rPr>
            </w:pPr>
            <w:r>
              <w:rPr>
                <w:rFonts w:ascii="Arial" w:hAnsi="Arial" w:cs="Arial"/>
                <w:spacing w:val="-4"/>
                <w:szCs w:val="21"/>
                <w:lang w:eastAsia="zh-CN"/>
              </w:rPr>
              <w:t>供方需提供调试测试文件，包括方案和报告，方案需经用户审核批准后执行。</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pacing w:val="-4"/>
                <w:szCs w:val="21"/>
                <w:lang w:eastAsia="zh-CN"/>
              </w:rPr>
            </w:pPr>
            <w:r>
              <w:rPr>
                <w:rFonts w:ascii="Arial" w:hAnsi="Arial" w:cs="Arial"/>
                <w:spacing w:val="-4"/>
                <w:szCs w:val="21"/>
                <w:lang w:eastAsia="zh-CN"/>
              </w:rPr>
              <w:t>调试方案均应在具体工作执行前</w:t>
            </w:r>
            <w:r>
              <w:rPr>
                <w:rFonts w:hint="eastAsia" w:ascii="Arial" w:hAnsi="Arial" w:cs="Arial"/>
                <w:spacing w:val="-4"/>
                <w:szCs w:val="21"/>
                <w:lang w:eastAsia="zh-CN"/>
              </w:rPr>
              <w:t>3</w:t>
            </w:r>
            <w:r>
              <w:rPr>
                <w:rFonts w:ascii="Arial" w:hAnsi="Arial" w:cs="Arial"/>
                <w:spacing w:val="-4"/>
                <w:szCs w:val="21"/>
                <w:lang w:eastAsia="zh-CN"/>
              </w:rPr>
              <w:t>周提供，给客户预留足够的审核时间。验证工作执行后，1周内出报告。</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4"/>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39" w:edGrp="everyone"/>
          </w:p>
        </w:tc>
        <w:tc>
          <w:tcPr>
            <w:tcW w:w="7128" w:type="dxa"/>
            <w:vAlign w:val="center"/>
          </w:tcPr>
          <w:p>
            <w:pPr>
              <w:spacing w:line="360" w:lineRule="auto"/>
              <w:jc w:val="both"/>
              <w:rPr>
                <w:szCs w:val="21"/>
                <w:lang w:eastAsia="zh-CN"/>
              </w:rPr>
            </w:pPr>
            <w:r>
              <w:rPr>
                <w:rFonts w:hint="eastAsia" w:ascii="宋体" w:hAnsi="宋体"/>
                <w:lang w:eastAsia="zh-CN"/>
              </w:rPr>
              <w:t>设备质保期从确认验收完成后开始计算。</w:t>
            </w:r>
          </w:p>
        </w:tc>
        <w:tc>
          <w:tcPr>
            <w:tcW w:w="2125" w:type="dxa"/>
            <w:vAlign w:val="center"/>
          </w:tcPr>
          <w:p>
            <w:pPr>
              <w:spacing w:line="360" w:lineRule="auto"/>
              <w:jc w:val="center"/>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供方需负责运输、装卸和安装，设备出厂包装须满足运输和装卸要求，采取有效防潮湿、防碰撞、防振动、防锈蚀措施，能保证设备运输安全。</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供方须承担由于包装、运输不当引起的货物锈蚀、损伤和丢失等责任。</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供方须负责办理设备运输相关手续，并承担运输费用，且运输时间应包含于供货周期内。</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在设备完全交付使用前，应配合完成设备调试等内容。</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供应商应提供整机1年的质保期，质保期内免费设备保修服务和故障排除指导。</w:t>
            </w:r>
            <w:r>
              <w:rPr>
                <w:rFonts w:hint="eastAsia" w:ascii="Arial" w:hAnsi="Arial" w:cs="Arial"/>
                <w:szCs w:val="21"/>
                <w:lang w:eastAsia="zh-CN"/>
              </w:rPr>
              <w:t>1年后提供良好的售后服务。</w:t>
            </w:r>
            <w:r>
              <w:rPr>
                <w:rFonts w:ascii="Arial" w:hAnsi="Arial" w:cs="Arial"/>
                <w:szCs w:val="21"/>
                <w:lang w:eastAsia="zh-CN"/>
              </w:rPr>
              <w:t>售后服务必须响应及时，要求设备出现须厂家维修的故障后，应在4小时内明确答复，当电话沟通无法解决时，须48小时内派人至现场解决</w:t>
            </w:r>
            <w:r>
              <w:rPr>
                <w:rFonts w:hint="eastAsia" w:ascii="Arial" w:hAnsi="Arial" w:cs="Arial"/>
                <w:szCs w:val="21"/>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保质期内，免费提供培训一次。</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在保质期后，厂家应终生提供及时的维修、维护，厂家应定期回访，解决设备运行当中可能出现的疑问，排除潜在故障，使设备保持良好工作状态</w:t>
            </w:r>
            <w:r>
              <w:rPr>
                <w:rFonts w:hint="eastAsia" w:ascii="Arial" w:hAnsi="Arial" w:cs="Arial"/>
                <w:szCs w:val="21"/>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可长期提供便捷的仪器零件服务。供应商应明确哪些是关键部件，并提供关键部件、易损部件的备用件，易损件（备件）的配置的足够2年使用，定期每年1次的技术回访。</w:t>
            </w:r>
            <w:r>
              <w:rPr>
                <w:rFonts w:hint="eastAsia" w:ascii="Arial" w:hAnsi="Arial" w:cs="Arial"/>
                <w:szCs w:val="21"/>
                <w:lang w:eastAsia="zh-CN"/>
              </w:rPr>
              <w:t>保证设备寿命周期内的配件供应。</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4"/>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40" w:edGrp="everyone"/>
          </w:p>
        </w:tc>
        <w:tc>
          <w:tcPr>
            <w:tcW w:w="7128" w:type="dxa"/>
            <w:vAlign w:val="center"/>
          </w:tcPr>
          <w:p>
            <w:pPr>
              <w:spacing w:line="360"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hAnsi="宋体"/>
                <w:szCs w:val="21"/>
                <w:lang w:eastAsia="zh-CN"/>
              </w:rPr>
              <w:t>供应商进厂安装需遵守安全和施工规定。</w:t>
            </w:r>
          </w:p>
        </w:tc>
        <w:tc>
          <w:tcPr>
            <w:tcW w:w="2125" w:type="dxa"/>
            <w:vAlign w:val="center"/>
          </w:tcPr>
          <w:p>
            <w:pPr>
              <w:spacing w:line="360" w:lineRule="auto"/>
              <w:jc w:val="center"/>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41" w:edGrp="everyone"/>
          </w:p>
        </w:tc>
        <w:tc>
          <w:tcPr>
            <w:tcW w:w="7128" w:type="dxa"/>
            <w:vAlign w:val="center"/>
          </w:tcPr>
          <w:p>
            <w:pPr>
              <w:spacing w:line="360" w:lineRule="auto"/>
              <w:jc w:val="both"/>
              <w:rPr>
                <w:szCs w:val="21"/>
                <w:lang w:eastAsia="zh-CN"/>
              </w:rPr>
            </w:pPr>
            <w:r>
              <w:rPr>
                <w:rFonts w:hint="eastAsia"/>
                <w:szCs w:val="21"/>
                <w:lang w:eastAsia="zh-CN"/>
              </w:rPr>
              <w:t>确认试车验收合格后，买卖双方签订验收报告。</w:t>
            </w:r>
          </w:p>
        </w:tc>
        <w:tc>
          <w:tcPr>
            <w:tcW w:w="2125" w:type="dxa"/>
            <w:vAlign w:val="center"/>
          </w:tcPr>
          <w:p>
            <w:pPr>
              <w:spacing w:line="360" w:lineRule="auto"/>
              <w:jc w:val="center"/>
              <w:rPr>
                <w:szCs w:val="21"/>
                <w:lang w:eastAsia="zh-CN"/>
              </w:rPr>
            </w:pPr>
            <w:r>
              <w:rPr>
                <w:rFonts w:hint="eastAsia"/>
                <w:szCs w:val="21"/>
                <w:lang w:eastAsia="zh-CN"/>
              </w:rPr>
              <w:t>关键</w:t>
            </w:r>
          </w:p>
        </w:tc>
      </w:tr>
      <w:permEnd w:id="41"/>
    </w:tbl>
    <w:p>
      <w:pPr>
        <w:spacing w:line="360" w:lineRule="auto"/>
      </w:pPr>
    </w:p>
    <w:p>
      <w:pPr>
        <w:pStyle w:val="44"/>
        <w:numPr>
          <w:ilvl w:val="0"/>
          <w:numId w:val="3"/>
        </w:numPr>
        <w:spacing w:after="158" w:afterLines="50" w:line="360" w:lineRule="auto"/>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rPr>
          <w:color w:val="000000"/>
          <w:szCs w:val="21"/>
          <w:lang w:eastAsia="zh-CN"/>
        </w:rPr>
      </w:pPr>
      <w:r>
        <w:rPr>
          <w:rFonts w:hint="eastAsia"/>
        </w:rPr>
        <w:t>N</w:t>
      </w:r>
      <w:r>
        <w:t>/A</w:t>
      </w: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987" w:hanging="420"/>
      </w:pPr>
      <w:rPr>
        <w:rFonts w:hint="default" w:ascii="Times New Roman" w:hAnsi="Times New Roman" w:cs="Times New Roman"/>
        <w:color w:val="auto"/>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6EC2236"/>
    <w:multiLevelType w:val="multilevel"/>
    <w:tmpl w:val="16EC2236"/>
    <w:lvl w:ilvl="0" w:tentative="0">
      <w:start w:val="1"/>
      <w:numFmt w:val="decimal"/>
      <w:lvlText w:val="%1、"/>
      <w:lvlJc w:val="left"/>
      <w:pPr>
        <w:ind w:left="360" w:hanging="36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7">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A2D715E"/>
    <w:multiLevelType w:val="singleLevel"/>
    <w:tmpl w:val="4A2D715E"/>
    <w:lvl w:ilvl="0" w:tentative="0">
      <w:start w:val="1"/>
      <w:numFmt w:val="decimal"/>
      <w:lvlText w:val="(%1)"/>
      <w:lvlJc w:val="left"/>
      <w:pPr>
        <w:ind w:left="425" w:hanging="425"/>
      </w:pPr>
      <w:rPr>
        <w:rFonts w:hint="default"/>
      </w:rPr>
    </w:lvl>
  </w:abstractNum>
  <w:abstractNum w:abstractNumId="10">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8177F10"/>
    <w:multiLevelType w:val="multilevel"/>
    <w:tmpl w:val="68177F10"/>
    <w:lvl w:ilvl="0" w:tentative="0">
      <w:start w:val="1"/>
      <w:numFmt w:val="decimal"/>
      <w:lvlText w:val="%1、"/>
      <w:lvlJc w:val="left"/>
      <w:pPr>
        <w:ind w:left="360" w:hanging="36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86546ED"/>
    <w:multiLevelType w:val="multilevel"/>
    <w:tmpl w:val="686546ED"/>
    <w:lvl w:ilvl="0" w:tentative="0">
      <w:start w:val="1"/>
      <w:numFmt w:val="decimal"/>
      <w:pStyle w:val="32"/>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3"/>
  </w:num>
  <w:num w:numId="3">
    <w:abstractNumId w:val="7"/>
  </w:num>
  <w:num w:numId="4">
    <w:abstractNumId w:val="11"/>
  </w:num>
  <w:num w:numId="5">
    <w:abstractNumId w:val="6"/>
  </w:num>
  <w:num w:numId="6">
    <w:abstractNumId w:val="0"/>
  </w:num>
  <w:num w:numId="7">
    <w:abstractNumId w:val="4"/>
  </w:num>
  <w:num w:numId="8">
    <w:abstractNumId w:val="3"/>
  </w:num>
  <w:num w:numId="9">
    <w:abstractNumId w:val="5"/>
  </w:num>
  <w:num w:numId="10">
    <w:abstractNumId w:val="12"/>
  </w:num>
  <w:num w:numId="11">
    <w:abstractNumId w:val="8"/>
  </w:num>
  <w:num w:numId="12">
    <w:abstractNumId w:val="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2"/>
  </w:compat>
  <w:rsids>
    <w:rsidRoot w:val="00391016"/>
    <w:rsid w:val="00001AE0"/>
    <w:rsid w:val="000021A6"/>
    <w:rsid w:val="00002A16"/>
    <w:rsid w:val="00002F06"/>
    <w:rsid w:val="000038A4"/>
    <w:rsid w:val="0000520B"/>
    <w:rsid w:val="000059AD"/>
    <w:rsid w:val="00005CB9"/>
    <w:rsid w:val="00005E76"/>
    <w:rsid w:val="00006273"/>
    <w:rsid w:val="00006FD5"/>
    <w:rsid w:val="0000766B"/>
    <w:rsid w:val="0001160E"/>
    <w:rsid w:val="000117C7"/>
    <w:rsid w:val="00011B05"/>
    <w:rsid w:val="000169DD"/>
    <w:rsid w:val="00020FEA"/>
    <w:rsid w:val="00022818"/>
    <w:rsid w:val="000233DE"/>
    <w:rsid w:val="00023B07"/>
    <w:rsid w:val="00023CAD"/>
    <w:rsid w:val="0002457E"/>
    <w:rsid w:val="00027530"/>
    <w:rsid w:val="000275E7"/>
    <w:rsid w:val="00027E38"/>
    <w:rsid w:val="000303D0"/>
    <w:rsid w:val="00031243"/>
    <w:rsid w:val="00031900"/>
    <w:rsid w:val="00032B58"/>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5D57"/>
    <w:rsid w:val="000662D2"/>
    <w:rsid w:val="00071DD4"/>
    <w:rsid w:val="00072340"/>
    <w:rsid w:val="00072945"/>
    <w:rsid w:val="00073B81"/>
    <w:rsid w:val="00075769"/>
    <w:rsid w:val="00075CEE"/>
    <w:rsid w:val="0007673E"/>
    <w:rsid w:val="00077AE1"/>
    <w:rsid w:val="000818AC"/>
    <w:rsid w:val="00082C13"/>
    <w:rsid w:val="00083D58"/>
    <w:rsid w:val="000844A8"/>
    <w:rsid w:val="00084F90"/>
    <w:rsid w:val="00086CA0"/>
    <w:rsid w:val="00087002"/>
    <w:rsid w:val="00087E1F"/>
    <w:rsid w:val="00092C03"/>
    <w:rsid w:val="00096510"/>
    <w:rsid w:val="00097A7D"/>
    <w:rsid w:val="00097CA2"/>
    <w:rsid w:val="000A1D9E"/>
    <w:rsid w:val="000A2664"/>
    <w:rsid w:val="000A2C3C"/>
    <w:rsid w:val="000A41DA"/>
    <w:rsid w:val="000A55CC"/>
    <w:rsid w:val="000A5CEE"/>
    <w:rsid w:val="000A6423"/>
    <w:rsid w:val="000A6661"/>
    <w:rsid w:val="000A6AF2"/>
    <w:rsid w:val="000B02ED"/>
    <w:rsid w:val="000B02FD"/>
    <w:rsid w:val="000B068C"/>
    <w:rsid w:val="000B109D"/>
    <w:rsid w:val="000B417D"/>
    <w:rsid w:val="000B45E0"/>
    <w:rsid w:val="000B4EC4"/>
    <w:rsid w:val="000B5888"/>
    <w:rsid w:val="000C0A41"/>
    <w:rsid w:val="000C0DD3"/>
    <w:rsid w:val="000C0FA5"/>
    <w:rsid w:val="000C3C81"/>
    <w:rsid w:val="000C41B6"/>
    <w:rsid w:val="000C63C2"/>
    <w:rsid w:val="000C7137"/>
    <w:rsid w:val="000D112B"/>
    <w:rsid w:val="000D1A79"/>
    <w:rsid w:val="000D2D9A"/>
    <w:rsid w:val="000D3B24"/>
    <w:rsid w:val="000D43C9"/>
    <w:rsid w:val="000D517D"/>
    <w:rsid w:val="000D5BCC"/>
    <w:rsid w:val="000D6D1E"/>
    <w:rsid w:val="000D6FF9"/>
    <w:rsid w:val="000D7C49"/>
    <w:rsid w:val="000E0DDB"/>
    <w:rsid w:val="000E17B5"/>
    <w:rsid w:val="000E41B5"/>
    <w:rsid w:val="000E51FF"/>
    <w:rsid w:val="000E5684"/>
    <w:rsid w:val="000E56AB"/>
    <w:rsid w:val="000E5B57"/>
    <w:rsid w:val="000F0D08"/>
    <w:rsid w:val="000F2CD3"/>
    <w:rsid w:val="000F36B9"/>
    <w:rsid w:val="000F3A00"/>
    <w:rsid w:val="000F4E03"/>
    <w:rsid w:val="000F606A"/>
    <w:rsid w:val="000F706D"/>
    <w:rsid w:val="000F762C"/>
    <w:rsid w:val="00100F65"/>
    <w:rsid w:val="0010110F"/>
    <w:rsid w:val="00102DC9"/>
    <w:rsid w:val="001031DF"/>
    <w:rsid w:val="001031F2"/>
    <w:rsid w:val="00103F05"/>
    <w:rsid w:val="00104160"/>
    <w:rsid w:val="0010503D"/>
    <w:rsid w:val="00106571"/>
    <w:rsid w:val="00106B5D"/>
    <w:rsid w:val="00110CF0"/>
    <w:rsid w:val="001120B7"/>
    <w:rsid w:val="0011231F"/>
    <w:rsid w:val="00112670"/>
    <w:rsid w:val="00112DD4"/>
    <w:rsid w:val="00112F30"/>
    <w:rsid w:val="00114353"/>
    <w:rsid w:val="001144F0"/>
    <w:rsid w:val="0011526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767"/>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2BA1"/>
    <w:rsid w:val="00193D66"/>
    <w:rsid w:val="00194BB7"/>
    <w:rsid w:val="00195B0F"/>
    <w:rsid w:val="001A1DE7"/>
    <w:rsid w:val="001A3BB0"/>
    <w:rsid w:val="001A4947"/>
    <w:rsid w:val="001A64C0"/>
    <w:rsid w:val="001A685F"/>
    <w:rsid w:val="001A7EB6"/>
    <w:rsid w:val="001A7FE4"/>
    <w:rsid w:val="001B0278"/>
    <w:rsid w:val="001B0AB5"/>
    <w:rsid w:val="001B28C8"/>
    <w:rsid w:val="001B294A"/>
    <w:rsid w:val="001B2A8E"/>
    <w:rsid w:val="001B2AA9"/>
    <w:rsid w:val="001B4654"/>
    <w:rsid w:val="001C017B"/>
    <w:rsid w:val="001C239E"/>
    <w:rsid w:val="001C2D7E"/>
    <w:rsid w:val="001D1FA0"/>
    <w:rsid w:val="001D2AA2"/>
    <w:rsid w:val="001D32D4"/>
    <w:rsid w:val="001D3C96"/>
    <w:rsid w:val="001D4383"/>
    <w:rsid w:val="001D4742"/>
    <w:rsid w:val="001D474B"/>
    <w:rsid w:val="001D48B0"/>
    <w:rsid w:val="001D5549"/>
    <w:rsid w:val="001E0376"/>
    <w:rsid w:val="001E13E0"/>
    <w:rsid w:val="001E2B2B"/>
    <w:rsid w:val="001E33E0"/>
    <w:rsid w:val="001E353E"/>
    <w:rsid w:val="001E3CBE"/>
    <w:rsid w:val="001E5657"/>
    <w:rsid w:val="001E5F94"/>
    <w:rsid w:val="001E744F"/>
    <w:rsid w:val="001F065A"/>
    <w:rsid w:val="001F1FE7"/>
    <w:rsid w:val="001F25DD"/>
    <w:rsid w:val="001F3552"/>
    <w:rsid w:val="001F3CE2"/>
    <w:rsid w:val="001F473D"/>
    <w:rsid w:val="001F4BFD"/>
    <w:rsid w:val="001F7405"/>
    <w:rsid w:val="001F79D7"/>
    <w:rsid w:val="001F7E95"/>
    <w:rsid w:val="00201487"/>
    <w:rsid w:val="00203D68"/>
    <w:rsid w:val="0020539A"/>
    <w:rsid w:val="00205E00"/>
    <w:rsid w:val="00206107"/>
    <w:rsid w:val="002070B2"/>
    <w:rsid w:val="0020756B"/>
    <w:rsid w:val="00210177"/>
    <w:rsid w:val="00212297"/>
    <w:rsid w:val="002129BC"/>
    <w:rsid w:val="00212BD9"/>
    <w:rsid w:val="00213AA9"/>
    <w:rsid w:val="00213C2F"/>
    <w:rsid w:val="002168FE"/>
    <w:rsid w:val="00217048"/>
    <w:rsid w:val="002178C5"/>
    <w:rsid w:val="00220757"/>
    <w:rsid w:val="00221124"/>
    <w:rsid w:val="00222993"/>
    <w:rsid w:val="00223661"/>
    <w:rsid w:val="00224129"/>
    <w:rsid w:val="00225DD2"/>
    <w:rsid w:val="002279A2"/>
    <w:rsid w:val="00227A0D"/>
    <w:rsid w:val="002320D9"/>
    <w:rsid w:val="00234AD3"/>
    <w:rsid w:val="00234C07"/>
    <w:rsid w:val="002355FF"/>
    <w:rsid w:val="002367A6"/>
    <w:rsid w:val="00236BE9"/>
    <w:rsid w:val="00237E6C"/>
    <w:rsid w:val="00237E93"/>
    <w:rsid w:val="00240A09"/>
    <w:rsid w:val="00240B1E"/>
    <w:rsid w:val="00241437"/>
    <w:rsid w:val="00242B05"/>
    <w:rsid w:val="00245088"/>
    <w:rsid w:val="00253242"/>
    <w:rsid w:val="002547BF"/>
    <w:rsid w:val="002548CA"/>
    <w:rsid w:val="0025531B"/>
    <w:rsid w:val="002560F9"/>
    <w:rsid w:val="00256A8C"/>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94F"/>
    <w:rsid w:val="00293E83"/>
    <w:rsid w:val="0029741F"/>
    <w:rsid w:val="00297DDC"/>
    <w:rsid w:val="002A18C8"/>
    <w:rsid w:val="002A42F8"/>
    <w:rsid w:val="002A547B"/>
    <w:rsid w:val="002A588E"/>
    <w:rsid w:val="002A7980"/>
    <w:rsid w:val="002B0373"/>
    <w:rsid w:val="002B0A7C"/>
    <w:rsid w:val="002B1042"/>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014C"/>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27899"/>
    <w:rsid w:val="00330D16"/>
    <w:rsid w:val="00330FFF"/>
    <w:rsid w:val="00333C91"/>
    <w:rsid w:val="0033695C"/>
    <w:rsid w:val="00341B2F"/>
    <w:rsid w:val="00342915"/>
    <w:rsid w:val="00344B04"/>
    <w:rsid w:val="00345847"/>
    <w:rsid w:val="00347576"/>
    <w:rsid w:val="00347772"/>
    <w:rsid w:val="00347885"/>
    <w:rsid w:val="00347A51"/>
    <w:rsid w:val="00347B19"/>
    <w:rsid w:val="003531FA"/>
    <w:rsid w:val="0035416F"/>
    <w:rsid w:val="003549FE"/>
    <w:rsid w:val="00355AAC"/>
    <w:rsid w:val="00355D7D"/>
    <w:rsid w:val="003647CA"/>
    <w:rsid w:val="00370053"/>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15C3"/>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15B"/>
    <w:rsid w:val="00437440"/>
    <w:rsid w:val="00440378"/>
    <w:rsid w:val="00442B53"/>
    <w:rsid w:val="00443256"/>
    <w:rsid w:val="00443B1E"/>
    <w:rsid w:val="00444D2D"/>
    <w:rsid w:val="004510B1"/>
    <w:rsid w:val="00451597"/>
    <w:rsid w:val="00451C5D"/>
    <w:rsid w:val="00451D74"/>
    <w:rsid w:val="00452E73"/>
    <w:rsid w:val="0045532B"/>
    <w:rsid w:val="004565EF"/>
    <w:rsid w:val="00456762"/>
    <w:rsid w:val="00457FF9"/>
    <w:rsid w:val="004601ED"/>
    <w:rsid w:val="00460711"/>
    <w:rsid w:val="0046108B"/>
    <w:rsid w:val="00466BD8"/>
    <w:rsid w:val="00467AE6"/>
    <w:rsid w:val="00467EC9"/>
    <w:rsid w:val="00474D33"/>
    <w:rsid w:val="00477054"/>
    <w:rsid w:val="00477791"/>
    <w:rsid w:val="00480286"/>
    <w:rsid w:val="00480C3B"/>
    <w:rsid w:val="00480FE3"/>
    <w:rsid w:val="00481C94"/>
    <w:rsid w:val="004826FD"/>
    <w:rsid w:val="00484A8D"/>
    <w:rsid w:val="00486A4E"/>
    <w:rsid w:val="00486B09"/>
    <w:rsid w:val="00486B98"/>
    <w:rsid w:val="0049139F"/>
    <w:rsid w:val="00494F07"/>
    <w:rsid w:val="00496116"/>
    <w:rsid w:val="004965A0"/>
    <w:rsid w:val="00497335"/>
    <w:rsid w:val="004A05A7"/>
    <w:rsid w:val="004A3F98"/>
    <w:rsid w:val="004A5532"/>
    <w:rsid w:val="004A5958"/>
    <w:rsid w:val="004A76DF"/>
    <w:rsid w:val="004A76E9"/>
    <w:rsid w:val="004B0A75"/>
    <w:rsid w:val="004B2190"/>
    <w:rsid w:val="004B50CC"/>
    <w:rsid w:val="004B69B2"/>
    <w:rsid w:val="004B7507"/>
    <w:rsid w:val="004B7DC4"/>
    <w:rsid w:val="004B7F85"/>
    <w:rsid w:val="004C099B"/>
    <w:rsid w:val="004C42AE"/>
    <w:rsid w:val="004C49B0"/>
    <w:rsid w:val="004C4F53"/>
    <w:rsid w:val="004C4F7F"/>
    <w:rsid w:val="004C592E"/>
    <w:rsid w:val="004C6776"/>
    <w:rsid w:val="004D050F"/>
    <w:rsid w:val="004D0E3A"/>
    <w:rsid w:val="004D1A73"/>
    <w:rsid w:val="004D48C2"/>
    <w:rsid w:val="004D67B1"/>
    <w:rsid w:val="004D7128"/>
    <w:rsid w:val="004D751D"/>
    <w:rsid w:val="004E0139"/>
    <w:rsid w:val="004E05C2"/>
    <w:rsid w:val="004E0B02"/>
    <w:rsid w:val="004E0C0D"/>
    <w:rsid w:val="004E1E4E"/>
    <w:rsid w:val="004E255F"/>
    <w:rsid w:val="004E4C2D"/>
    <w:rsid w:val="004F0539"/>
    <w:rsid w:val="004F10A4"/>
    <w:rsid w:val="004F342E"/>
    <w:rsid w:val="004F4C63"/>
    <w:rsid w:val="004F5AE6"/>
    <w:rsid w:val="004F5C19"/>
    <w:rsid w:val="004F7B6A"/>
    <w:rsid w:val="0050090F"/>
    <w:rsid w:val="0050208D"/>
    <w:rsid w:val="0050284B"/>
    <w:rsid w:val="00502F99"/>
    <w:rsid w:val="005031A3"/>
    <w:rsid w:val="00504B71"/>
    <w:rsid w:val="0050735F"/>
    <w:rsid w:val="00507991"/>
    <w:rsid w:val="00507C94"/>
    <w:rsid w:val="00507EB2"/>
    <w:rsid w:val="00510111"/>
    <w:rsid w:val="005115C8"/>
    <w:rsid w:val="00511AB4"/>
    <w:rsid w:val="00512690"/>
    <w:rsid w:val="00512A4E"/>
    <w:rsid w:val="00514EA4"/>
    <w:rsid w:val="00516BB4"/>
    <w:rsid w:val="00517A5D"/>
    <w:rsid w:val="00517E1E"/>
    <w:rsid w:val="00520837"/>
    <w:rsid w:val="005217E8"/>
    <w:rsid w:val="005220FE"/>
    <w:rsid w:val="005247DE"/>
    <w:rsid w:val="00525EFE"/>
    <w:rsid w:val="00530B8F"/>
    <w:rsid w:val="00531434"/>
    <w:rsid w:val="00531754"/>
    <w:rsid w:val="00534840"/>
    <w:rsid w:val="00534D08"/>
    <w:rsid w:val="00536973"/>
    <w:rsid w:val="00536C6B"/>
    <w:rsid w:val="00544652"/>
    <w:rsid w:val="0054625B"/>
    <w:rsid w:val="00551539"/>
    <w:rsid w:val="00552EFE"/>
    <w:rsid w:val="005531E1"/>
    <w:rsid w:val="00554ABB"/>
    <w:rsid w:val="005554EA"/>
    <w:rsid w:val="0055552D"/>
    <w:rsid w:val="00555668"/>
    <w:rsid w:val="0055653A"/>
    <w:rsid w:val="0055679E"/>
    <w:rsid w:val="0056002B"/>
    <w:rsid w:val="0056090D"/>
    <w:rsid w:val="00561E9C"/>
    <w:rsid w:val="0056211F"/>
    <w:rsid w:val="00565C7A"/>
    <w:rsid w:val="00567E14"/>
    <w:rsid w:val="005705A7"/>
    <w:rsid w:val="0057277E"/>
    <w:rsid w:val="00572F0E"/>
    <w:rsid w:val="00574D60"/>
    <w:rsid w:val="00575318"/>
    <w:rsid w:val="00575CFE"/>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3FE5"/>
    <w:rsid w:val="005964B1"/>
    <w:rsid w:val="005965FD"/>
    <w:rsid w:val="00597FCC"/>
    <w:rsid w:val="005A132A"/>
    <w:rsid w:val="005A337C"/>
    <w:rsid w:val="005A34B0"/>
    <w:rsid w:val="005A3ECF"/>
    <w:rsid w:val="005A6821"/>
    <w:rsid w:val="005B2393"/>
    <w:rsid w:val="005B6577"/>
    <w:rsid w:val="005B750A"/>
    <w:rsid w:val="005C2B89"/>
    <w:rsid w:val="005C2FA7"/>
    <w:rsid w:val="005C316B"/>
    <w:rsid w:val="005C386F"/>
    <w:rsid w:val="005C42AC"/>
    <w:rsid w:val="005C4D05"/>
    <w:rsid w:val="005C506B"/>
    <w:rsid w:val="005C71BF"/>
    <w:rsid w:val="005C723D"/>
    <w:rsid w:val="005C7601"/>
    <w:rsid w:val="005D1094"/>
    <w:rsid w:val="005D1E65"/>
    <w:rsid w:val="005D3394"/>
    <w:rsid w:val="005D3989"/>
    <w:rsid w:val="005D42FF"/>
    <w:rsid w:val="005E2725"/>
    <w:rsid w:val="005E65FA"/>
    <w:rsid w:val="005F09A8"/>
    <w:rsid w:val="005F12F5"/>
    <w:rsid w:val="005F19CE"/>
    <w:rsid w:val="005F28F4"/>
    <w:rsid w:val="005F2982"/>
    <w:rsid w:val="005F43BB"/>
    <w:rsid w:val="005F503E"/>
    <w:rsid w:val="005F6CB3"/>
    <w:rsid w:val="005F7612"/>
    <w:rsid w:val="005F7663"/>
    <w:rsid w:val="005F7D63"/>
    <w:rsid w:val="00607170"/>
    <w:rsid w:val="00607408"/>
    <w:rsid w:val="00610209"/>
    <w:rsid w:val="00610AEE"/>
    <w:rsid w:val="00616BAC"/>
    <w:rsid w:val="00620598"/>
    <w:rsid w:val="00620FEC"/>
    <w:rsid w:val="006214DC"/>
    <w:rsid w:val="006215E2"/>
    <w:rsid w:val="0062168F"/>
    <w:rsid w:val="006221A2"/>
    <w:rsid w:val="00627113"/>
    <w:rsid w:val="00627B8B"/>
    <w:rsid w:val="00627D57"/>
    <w:rsid w:val="0063106D"/>
    <w:rsid w:val="006312FF"/>
    <w:rsid w:val="00632136"/>
    <w:rsid w:val="00632C67"/>
    <w:rsid w:val="006331B6"/>
    <w:rsid w:val="00633310"/>
    <w:rsid w:val="00633315"/>
    <w:rsid w:val="00633AB5"/>
    <w:rsid w:val="006366B0"/>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16"/>
    <w:rsid w:val="00670C23"/>
    <w:rsid w:val="00672B86"/>
    <w:rsid w:val="00673031"/>
    <w:rsid w:val="00673EB3"/>
    <w:rsid w:val="00680BE8"/>
    <w:rsid w:val="00683680"/>
    <w:rsid w:val="00684CA9"/>
    <w:rsid w:val="00686409"/>
    <w:rsid w:val="00686D19"/>
    <w:rsid w:val="0068777F"/>
    <w:rsid w:val="00693018"/>
    <w:rsid w:val="00695D44"/>
    <w:rsid w:val="006A0059"/>
    <w:rsid w:val="006A7425"/>
    <w:rsid w:val="006B058A"/>
    <w:rsid w:val="006B1299"/>
    <w:rsid w:val="006B26D9"/>
    <w:rsid w:val="006B310C"/>
    <w:rsid w:val="006B62B0"/>
    <w:rsid w:val="006B664C"/>
    <w:rsid w:val="006C0730"/>
    <w:rsid w:val="006C1125"/>
    <w:rsid w:val="006C1C83"/>
    <w:rsid w:val="006C3E78"/>
    <w:rsid w:val="006C54E6"/>
    <w:rsid w:val="006C5762"/>
    <w:rsid w:val="006C690D"/>
    <w:rsid w:val="006C75B4"/>
    <w:rsid w:val="006C777D"/>
    <w:rsid w:val="006D149F"/>
    <w:rsid w:val="006D19F6"/>
    <w:rsid w:val="006D3396"/>
    <w:rsid w:val="006D5AFF"/>
    <w:rsid w:val="006E050C"/>
    <w:rsid w:val="006E152B"/>
    <w:rsid w:val="006E2955"/>
    <w:rsid w:val="006E36D1"/>
    <w:rsid w:val="006E4002"/>
    <w:rsid w:val="006E4DB6"/>
    <w:rsid w:val="006E622E"/>
    <w:rsid w:val="006E7938"/>
    <w:rsid w:val="006E79FB"/>
    <w:rsid w:val="006F229A"/>
    <w:rsid w:val="006F2E32"/>
    <w:rsid w:val="006F3BB9"/>
    <w:rsid w:val="006F4AA6"/>
    <w:rsid w:val="006F56AD"/>
    <w:rsid w:val="007007FA"/>
    <w:rsid w:val="0070119E"/>
    <w:rsid w:val="007025D0"/>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17FC"/>
    <w:rsid w:val="0073446D"/>
    <w:rsid w:val="007346B4"/>
    <w:rsid w:val="007349FF"/>
    <w:rsid w:val="00734B45"/>
    <w:rsid w:val="00735D06"/>
    <w:rsid w:val="00736A47"/>
    <w:rsid w:val="00736FFB"/>
    <w:rsid w:val="00740080"/>
    <w:rsid w:val="00741A30"/>
    <w:rsid w:val="00747E73"/>
    <w:rsid w:val="007504DC"/>
    <w:rsid w:val="00750C0D"/>
    <w:rsid w:val="0075142F"/>
    <w:rsid w:val="00751965"/>
    <w:rsid w:val="007524EF"/>
    <w:rsid w:val="00752689"/>
    <w:rsid w:val="00756CCD"/>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576"/>
    <w:rsid w:val="00785B90"/>
    <w:rsid w:val="0078639C"/>
    <w:rsid w:val="007913D3"/>
    <w:rsid w:val="00792EF2"/>
    <w:rsid w:val="0079790C"/>
    <w:rsid w:val="007A102A"/>
    <w:rsid w:val="007A15E6"/>
    <w:rsid w:val="007A194B"/>
    <w:rsid w:val="007A27B1"/>
    <w:rsid w:val="007A39A4"/>
    <w:rsid w:val="007A4BCD"/>
    <w:rsid w:val="007A5714"/>
    <w:rsid w:val="007A5E31"/>
    <w:rsid w:val="007A5EFA"/>
    <w:rsid w:val="007A6821"/>
    <w:rsid w:val="007A75EF"/>
    <w:rsid w:val="007B03B6"/>
    <w:rsid w:val="007B0CF1"/>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635"/>
    <w:rsid w:val="007D1822"/>
    <w:rsid w:val="007D18A6"/>
    <w:rsid w:val="007D1CA0"/>
    <w:rsid w:val="007D2DF5"/>
    <w:rsid w:val="007D4994"/>
    <w:rsid w:val="007D4BB3"/>
    <w:rsid w:val="007D4F6E"/>
    <w:rsid w:val="007D5ECD"/>
    <w:rsid w:val="007D61CA"/>
    <w:rsid w:val="007D6DCF"/>
    <w:rsid w:val="007D6F0D"/>
    <w:rsid w:val="007D7963"/>
    <w:rsid w:val="007E3532"/>
    <w:rsid w:val="007E4143"/>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4C51"/>
    <w:rsid w:val="00806EAB"/>
    <w:rsid w:val="00810E52"/>
    <w:rsid w:val="00811CA7"/>
    <w:rsid w:val="00815253"/>
    <w:rsid w:val="0081636E"/>
    <w:rsid w:val="0082112E"/>
    <w:rsid w:val="00822F2B"/>
    <w:rsid w:val="00823D9A"/>
    <w:rsid w:val="00827EA4"/>
    <w:rsid w:val="008301D6"/>
    <w:rsid w:val="008305B7"/>
    <w:rsid w:val="00830C78"/>
    <w:rsid w:val="00830FB9"/>
    <w:rsid w:val="00834637"/>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C9A"/>
    <w:rsid w:val="00865EE6"/>
    <w:rsid w:val="00870D23"/>
    <w:rsid w:val="00872B72"/>
    <w:rsid w:val="00873022"/>
    <w:rsid w:val="008745B8"/>
    <w:rsid w:val="00876468"/>
    <w:rsid w:val="008767E1"/>
    <w:rsid w:val="00876CC7"/>
    <w:rsid w:val="008823E4"/>
    <w:rsid w:val="00882A07"/>
    <w:rsid w:val="008837C4"/>
    <w:rsid w:val="008849F3"/>
    <w:rsid w:val="00884E78"/>
    <w:rsid w:val="0088673B"/>
    <w:rsid w:val="00887265"/>
    <w:rsid w:val="00887500"/>
    <w:rsid w:val="0089020B"/>
    <w:rsid w:val="008905AD"/>
    <w:rsid w:val="008920F2"/>
    <w:rsid w:val="0089348A"/>
    <w:rsid w:val="00894E9F"/>
    <w:rsid w:val="00895424"/>
    <w:rsid w:val="00896CEC"/>
    <w:rsid w:val="008A06BC"/>
    <w:rsid w:val="008A0AA3"/>
    <w:rsid w:val="008A0EAA"/>
    <w:rsid w:val="008A149F"/>
    <w:rsid w:val="008A19FD"/>
    <w:rsid w:val="008A1A25"/>
    <w:rsid w:val="008A4E05"/>
    <w:rsid w:val="008A5659"/>
    <w:rsid w:val="008A56DB"/>
    <w:rsid w:val="008A6CFC"/>
    <w:rsid w:val="008B2125"/>
    <w:rsid w:val="008B25D4"/>
    <w:rsid w:val="008B38E5"/>
    <w:rsid w:val="008B58C4"/>
    <w:rsid w:val="008B6CD2"/>
    <w:rsid w:val="008B72DD"/>
    <w:rsid w:val="008C050B"/>
    <w:rsid w:val="008C1132"/>
    <w:rsid w:val="008C2EF9"/>
    <w:rsid w:val="008C302A"/>
    <w:rsid w:val="008C3E42"/>
    <w:rsid w:val="008C4576"/>
    <w:rsid w:val="008C4B72"/>
    <w:rsid w:val="008C5279"/>
    <w:rsid w:val="008C527D"/>
    <w:rsid w:val="008C5C9F"/>
    <w:rsid w:val="008C6773"/>
    <w:rsid w:val="008C72BB"/>
    <w:rsid w:val="008D140C"/>
    <w:rsid w:val="008D2BAE"/>
    <w:rsid w:val="008D2C9E"/>
    <w:rsid w:val="008D3F96"/>
    <w:rsid w:val="008D41F5"/>
    <w:rsid w:val="008D4450"/>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1CC1"/>
    <w:rsid w:val="00921D43"/>
    <w:rsid w:val="00923F7E"/>
    <w:rsid w:val="00924C96"/>
    <w:rsid w:val="00925030"/>
    <w:rsid w:val="00925B32"/>
    <w:rsid w:val="0093083E"/>
    <w:rsid w:val="00930A64"/>
    <w:rsid w:val="00930BE5"/>
    <w:rsid w:val="009313A0"/>
    <w:rsid w:val="00931403"/>
    <w:rsid w:val="00934991"/>
    <w:rsid w:val="009351A7"/>
    <w:rsid w:val="009426B9"/>
    <w:rsid w:val="00944E85"/>
    <w:rsid w:val="0094574C"/>
    <w:rsid w:val="0094634C"/>
    <w:rsid w:val="009463AB"/>
    <w:rsid w:val="00950239"/>
    <w:rsid w:val="00950332"/>
    <w:rsid w:val="00954806"/>
    <w:rsid w:val="00955899"/>
    <w:rsid w:val="00955A03"/>
    <w:rsid w:val="00956B0E"/>
    <w:rsid w:val="0096203D"/>
    <w:rsid w:val="0096224A"/>
    <w:rsid w:val="00963289"/>
    <w:rsid w:val="00964A78"/>
    <w:rsid w:val="009656B4"/>
    <w:rsid w:val="00966CA0"/>
    <w:rsid w:val="00966D74"/>
    <w:rsid w:val="00967F9D"/>
    <w:rsid w:val="00970275"/>
    <w:rsid w:val="00970ABF"/>
    <w:rsid w:val="009710E2"/>
    <w:rsid w:val="00972E9C"/>
    <w:rsid w:val="0097388A"/>
    <w:rsid w:val="0097391E"/>
    <w:rsid w:val="00973DF3"/>
    <w:rsid w:val="009742DA"/>
    <w:rsid w:val="009743BE"/>
    <w:rsid w:val="00974CEC"/>
    <w:rsid w:val="009753A0"/>
    <w:rsid w:val="00977437"/>
    <w:rsid w:val="00977C89"/>
    <w:rsid w:val="00980AB3"/>
    <w:rsid w:val="0098127C"/>
    <w:rsid w:val="009848CB"/>
    <w:rsid w:val="00984D10"/>
    <w:rsid w:val="0098600B"/>
    <w:rsid w:val="009861C1"/>
    <w:rsid w:val="00987177"/>
    <w:rsid w:val="00987F11"/>
    <w:rsid w:val="00990B48"/>
    <w:rsid w:val="0099128D"/>
    <w:rsid w:val="009917F1"/>
    <w:rsid w:val="00991E37"/>
    <w:rsid w:val="00991E74"/>
    <w:rsid w:val="009926A6"/>
    <w:rsid w:val="0099415E"/>
    <w:rsid w:val="009948BF"/>
    <w:rsid w:val="00995A4A"/>
    <w:rsid w:val="00997844"/>
    <w:rsid w:val="009978C2"/>
    <w:rsid w:val="009A1B00"/>
    <w:rsid w:val="009A345F"/>
    <w:rsid w:val="009A4AE5"/>
    <w:rsid w:val="009A5218"/>
    <w:rsid w:val="009A6806"/>
    <w:rsid w:val="009B1717"/>
    <w:rsid w:val="009B22D2"/>
    <w:rsid w:val="009B2839"/>
    <w:rsid w:val="009B4C17"/>
    <w:rsid w:val="009B5BF6"/>
    <w:rsid w:val="009B700B"/>
    <w:rsid w:val="009C1C79"/>
    <w:rsid w:val="009C339C"/>
    <w:rsid w:val="009C33B8"/>
    <w:rsid w:val="009D07A0"/>
    <w:rsid w:val="009D107D"/>
    <w:rsid w:val="009D1871"/>
    <w:rsid w:val="009D2985"/>
    <w:rsid w:val="009D3033"/>
    <w:rsid w:val="009D32A4"/>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1B16"/>
    <w:rsid w:val="00A1252C"/>
    <w:rsid w:val="00A13B8B"/>
    <w:rsid w:val="00A151B7"/>
    <w:rsid w:val="00A21015"/>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3995"/>
    <w:rsid w:val="00A54412"/>
    <w:rsid w:val="00A5498B"/>
    <w:rsid w:val="00A550C8"/>
    <w:rsid w:val="00A5564C"/>
    <w:rsid w:val="00A559EC"/>
    <w:rsid w:val="00A569F8"/>
    <w:rsid w:val="00A56E60"/>
    <w:rsid w:val="00A571B3"/>
    <w:rsid w:val="00A57FBB"/>
    <w:rsid w:val="00A626B5"/>
    <w:rsid w:val="00A62DF0"/>
    <w:rsid w:val="00A63620"/>
    <w:rsid w:val="00A63ECE"/>
    <w:rsid w:val="00A66342"/>
    <w:rsid w:val="00A665C8"/>
    <w:rsid w:val="00A6749E"/>
    <w:rsid w:val="00A7036F"/>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97857"/>
    <w:rsid w:val="00AA1A89"/>
    <w:rsid w:val="00AA346E"/>
    <w:rsid w:val="00AA3770"/>
    <w:rsid w:val="00AA3CFA"/>
    <w:rsid w:val="00AA41C3"/>
    <w:rsid w:val="00AA423C"/>
    <w:rsid w:val="00AA5253"/>
    <w:rsid w:val="00AA53E2"/>
    <w:rsid w:val="00AA73FD"/>
    <w:rsid w:val="00AB1462"/>
    <w:rsid w:val="00AB2F87"/>
    <w:rsid w:val="00AB32C3"/>
    <w:rsid w:val="00AB5E2B"/>
    <w:rsid w:val="00AB6069"/>
    <w:rsid w:val="00AB6467"/>
    <w:rsid w:val="00AB6742"/>
    <w:rsid w:val="00AC0575"/>
    <w:rsid w:val="00AC0758"/>
    <w:rsid w:val="00AC0934"/>
    <w:rsid w:val="00AC17EE"/>
    <w:rsid w:val="00AC2BFD"/>
    <w:rsid w:val="00AC4DDD"/>
    <w:rsid w:val="00AC5A43"/>
    <w:rsid w:val="00AC5D2C"/>
    <w:rsid w:val="00AC6B6D"/>
    <w:rsid w:val="00AD3559"/>
    <w:rsid w:val="00AD3AEE"/>
    <w:rsid w:val="00AD3B05"/>
    <w:rsid w:val="00AD3C8E"/>
    <w:rsid w:val="00AD470D"/>
    <w:rsid w:val="00AD5193"/>
    <w:rsid w:val="00AD7390"/>
    <w:rsid w:val="00AD7E6F"/>
    <w:rsid w:val="00AE1BD8"/>
    <w:rsid w:val="00AE2817"/>
    <w:rsid w:val="00AE304B"/>
    <w:rsid w:val="00AE3D3E"/>
    <w:rsid w:val="00AE4333"/>
    <w:rsid w:val="00AE49B2"/>
    <w:rsid w:val="00AE6191"/>
    <w:rsid w:val="00AE6BEB"/>
    <w:rsid w:val="00AE7789"/>
    <w:rsid w:val="00AF0648"/>
    <w:rsid w:val="00AF32EA"/>
    <w:rsid w:val="00AF3DED"/>
    <w:rsid w:val="00AF48B1"/>
    <w:rsid w:val="00AF4FB8"/>
    <w:rsid w:val="00AF6713"/>
    <w:rsid w:val="00AF6BD6"/>
    <w:rsid w:val="00AF753A"/>
    <w:rsid w:val="00B021ED"/>
    <w:rsid w:val="00B0250D"/>
    <w:rsid w:val="00B032B1"/>
    <w:rsid w:val="00B03F46"/>
    <w:rsid w:val="00B04046"/>
    <w:rsid w:val="00B059B8"/>
    <w:rsid w:val="00B0739E"/>
    <w:rsid w:val="00B07418"/>
    <w:rsid w:val="00B11547"/>
    <w:rsid w:val="00B115E6"/>
    <w:rsid w:val="00B11EF0"/>
    <w:rsid w:val="00B1226C"/>
    <w:rsid w:val="00B147C9"/>
    <w:rsid w:val="00B14D39"/>
    <w:rsid w:val="00B14F05"/>
    <w:rsid w:val="00B15D01"/>
    <w:rsid w:val="00B16150"/>
    <w:rsid w:val="00B20EBF"/>
    <w:rsid w:val="00B24F44"/>
    <w:rsid w:val="00B25428"/>
    <w:rsid w:val="00B255BB"/>
    <w:rsid w:val="00B25E24"/>
    <w:rsid w:val="00B2609A"/>
    <w:rsid w:val="00B301B1"/>
    <w:rsid w:val="00B353E7"/>
    <w:rsid w:val="00B35759"/>
    <w:rsid w:val="00B3619A"/>
    <w:rsid w:val="00B365B7"/>
    <w:rsid w:val="00B37EFD"/>
    <w:rsid w:val="00B40BCA"/>
    <w:rsid w:val="00B4308D"/>
    <w:rsid w:val="00B440DA"/>
    <w:rsid w:val="00B4415A"/>
    <w:rsid w:val="00B44876"/>
    <w:rsid w:val="00B503CD"/>
    <w:rsid w:val="00B540F2"/>
    <w:rsid w:val="00B548AB"/>
    <w:rsid w:val="00B54BBE"/>
    <w:rsid w:val="00B553F8"/>
    <w:rsid w:val="00B560B6"/>
    <w:rsid w:val="00B5630E"/>
    <w:rsid w:val="00B6193C"/>
    <w:rsid w:val="00B62CC6"/>
    <w:rsid w:val="00B62E1D"/>
    <w:rsid w:val="00B62FB6"/>
    <w:rsid w:val="00B635BF"/>
    <w:rsid w:val="00B65A80"/>
    <w:rsid w:val="00B7050A"/>
    <w:rsid w:val="00B70904"/>
    <w:rsid w:val="00B70A42"/>
    <w:rsid w:val="00B74791"/>
    <w:rsid w:val="00B76AF9"/>
    <w:rsid w:val="00B77F21"/>
    <w:rsid w:val="00B806CF"/>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30A1"/>
    <w:rsid w:val="00BB4F49"/>
    <w:rsid w:val="00BB50E0"/>
    <w:rsid w:val="00BB60F7"/>
    <w:rsid w:val="00BB6B2D"/>
    <w:rsid w:val="00BB7375"/>
    <w:rsid w:val="00BC0500"/>
    <w:rsid w:val="00BC44F5"/>
    <w:rsid w:val="00BC500B"/>
    <w:rsid w:val="00BC547C"/>
    <w:rsid w:val="00BC6B29"/>
    <w:rsid w:val="00BC798C"/>
    <w:rsid w:val="00BC7D11"/>
    <w:rsid w:val="00BD00FD"/>
    <w:rsid w:val="00BD15A2"/>
    <w:rsid w:val="00BD2153"/>
    <w:rsid w:val="00BD2723"/>
    <w:rsid w:val="00BD337A"/>
    <w:rsid w:val="00BD3AA6"/>
    <w:rsid w:val="00BD558D"/>
    <w:rsid w:val="00BD5CC3"/>
    <w:rsid w:val="00BD7E92"/>
    <w:rsid w:val="00BE1F47"/>
    <w:rsid w:val="00BE20AD"/>
    <w:rsid w:val="00BE24AD"/>
    <w:rsid w:val="00BE2787"/>
    <w:rsid w:val="00BE51BB"/>
    <w:rsid w:val="00BE6F5B"/>
    <w:rsid w:val="00BE7D45"/>
    <w:rsid w:val="00BE7ECD"/>
    <w:rsid w:val="00BF1682"/>
    <w:rsid w:val="00BF241A"/>
    <w:rsid w:val="00BF3333"/>
    <w:rsid w:val="00BF3AFB"/>
    <w:rsid w:val="00BF3DD2"/>
    <w:rsid w:val="00BF4344"/>
    <w:rsid w:val="00BF6970"/>
    <w:rsid w:val="00BF69C6"/>
    <w:rsid w:val="00C005D8"/>
    <w:rsid w:val="00C02F31"/>
    <w:rsid w:val="00C04DA5"/>
    <w:rsid w:val="00C050FC"/>
    <w:rsid w:val="00C057D6"/>
    <w:rsid w:val="00C05D40"/>
    <w:rsid w:val="00C11905"/>
    <w:rsid w:val="00C14462"/>
    <w:rsid w:val="00C16542"/>
    <w:rsid w:val="00C16B07"/>
    <w:rsid w:val="00C22382"/>
    <w:rsid w:val="00C2355B"/>
    <w:rsid w:val="00C274A6"/>
    <w:rsid w:val="00C34201"/>
    <w:rsid w:val="00C34567"/>
    <w:rsid w:val="00C35A38"/>
    <w:rsid w:val="00C35EC9"/>
    <w:rsid w:val="00C36807"/>
    <w:rsid w:val="00C37392"/>
    <w:rsid w:val="00C41545"/>
    <w:rsid w:val="00C4209D"/>
    <w:rsid w:val="00C432B3"/>
    <w:rsid w:val="00C43420"/>
    <w:rsid w:val="00C4771E"/>
    <w:rsid w:val="00C47D15"/>
    <w:rsid w:val="00C50279"/>
    <w:rsid w:val="00C505EC"/>
    <w:rsid w:val="00C51604"/>
    <w:rsid w:val="00C5165A"/>
    <w:rsid w:val="00C52841"/>
    <w:rsid w:val="00C54FC6"/>
    <w:rsid w:val="00C56F88"/>
    <w:rsid w:val="00C57B7E"/>
    <w:rsid w:val="00C60217"/>
    <w:rsid w:val="00C66AD5"/>
    <w:rsid w:val="00C66D15"/>
    <w:rsid w:val="00C671D0"/>
    <w:rsid w:val="00C70449"/>
    <w:rsid w:val="00C7071B"/>
    <w:rsid w:val="00C73904"/>
    <w:rsid w:val="00C73BAE"/>
    <w:rsid w:val="00C73F7B"/>
    <w:rsid w:val="00C74055"/>
    <w:rsid w:val="00C7421D"/>
    <w:rsid w:val="00C76481"/>
    <w:rsid w:val="00C76812"/>
    <w:rsid w:val="00C829A5"/>
    <w:rsid w:val="00C83D88"/>
    <w:rsid w:val="00C84961"/>
    <w:rsid w:val="00C84B06"/>
    <w:rsid w:val="00C87100"/>
    <w:rsid w:val="00C87CAC"/>
    <w:rsid w:val="00C913A1"/>
    <w:rsid w:val="00C94F97"/>
    <w:rsid w:val="00C950D6"/>
    <w:rsid w:val="00C95F52"/>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5BB4"/>
    <w:rsid w:val="00CC609D"/>
    <w:rsid w:val="00CC7044"/>
    <w:rsid w:val="00CD004A"/>
    <w:rsid w:val="00CD1128"/>
    <w:rsid w:val="00CD11FF"/>
    <w:rsid w:val="00CD15E7"/>
    <w:rsid w:val="00CD2974"/>
    <w:rsid w:val="00CE07A9"/>
    <w:rsid w:val="00CE1012"/>
    <w:rsid w:val="00CE26E8"/>
    <w:rsid w:val="00CE291C"/>
    <w:rsid w:val="00CE419E"/>
    <w:rsid w:val="00CE5011"/>
    <w:rsid w:val="00CE574A"/>
    <w:rsid w:val="00CE5DC5"/>
    <w:rsid w:val="00CE629E"/>
    <w:rsid w:val="00CE66CE"/>
    <w:rsid w:val="00CE77AA"/>
    <w:rsid w:val="00CE7B59"/>
    <w:rsid w:val="00CF202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25B7"/>
    <w:rsid w:val="00D46699"/>
    <w:rsid w:val="00D47345"/>
    <w:rsid w:val="00D5073F"/>
    <w:rsid w:val="00D51573"/>
    <w:rsid w:val="00D517E4"/>
    <w:rsid w:val="00D5399A"/>
    <w:rsid w:val="00D5444F"/>
    <w:rsid w:val="00D54E0D"/>
    <w:rsid w:val="00D54F7D"/>
    <w:rsid w:val="00D57528"/>
    <w:rsid w:val="00D602CA"/>
    <w:rsid w:val="00D60DD8"/>
    <w:rsid w:val="00D62889"/>
    <w:rsid w:val="00D64A04"/>
    <w:rsid w:val="00D64A72"/>
    <w:rsid w:val="00D64C6C"/>
    <w:rsid w:val="00D6583D"/>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005"/>
    <w:rsid w:val="00DB11B2"/>
    <w:rsid w:val="00DB161E"/>
    <w:rsid w:val="00DB2A2E"/>
    <w:rsid w:val="00DB31B5"/>
    <w:rsid w:val="00DB4D9B"/>
    <w:rsid w:val="00DB5BBA"/>
    <w:rsid w:val="00DC03DB"/>
    <w:rsid w:val="00DC0F4B"/>
    <w:rsid w:val="00DC1206"/>
    <w:rsid w:val="00DC2BE8"/>
    <w:rsid w:val="00DC2BEC"/>
    <w:rsid w:val="00DC3256"/>
    <w:rsid w:val="00DC35A6"/>
    <w:rsid w:val="00DC50EC"/>
    <w:rsid w:val="00DD090A"/>
    <w:rsid w:val="00DD2421"/>
    <w:rsid w:val="00DD3222"/>
    <w:rsid w:val="00DD3D81"/>
    <w:rsid w:val="00DD571C"/>
    <w:rsid w:val="00DD64E1"/>
    <w:rsid w:val="00DE039A"/>
    <w:rsid w:val="00DE0403"/>
    <w:rsid w:val="00DE4811"/>
    <w:rsid w:val="00DE5458"/>
    <w:rsid w:val="00DE5EE6"/>
    <w:rsid w:val="00DE68C6"/>
    <w:rsid w:val="00DE77EA"/>
    <w:rsid w:val="00DF0ABA"/>
    <w:rsid w:val="00DF1EEE"/>
    <w:rsid w:val="00DF6C58"/>
    <w:rsid w:val="00E001C1"/>
    <w:rsid w:val="00E03283"/>
    <w:rsid w:val="00E039F3"/>
    <w:rsid w:val="00E03C30"/>
    <w:rsid w:val="00E078BD"/>
    <w:rsid w:val="00E078F8"/>
    <w:rsid w:val="00E1142B"/>
    <w:rsid w:val="00E11F10"/>
    <w:rsid w:val="00E157E4"/>
    <w:rsid w:val="00E15950"/>
    <w:rsid w:val="00E16522"/>
    <w:rsid w:val="00E170C1"/>
    <w:rsid w:val="00E1750C"/>
    <w:rsid w:val="00E178A6"/>
    <w:rsid w:val="00E20545"/>
    <w:rsid w:val="00E21588"/>
    <w:rsid w:val="00E223C6"/>
    <w:rsid w:val="00E23874"/>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1A00"/>
    <w:rsid w:val="00E751C7"/>
    <w:rsid w:val="00E76FF1"/>
    <w:rsid w:val="00E774FE"/>
    <w:rsid w:val="00E77BE5"/>
    <w:rsid w:val="00E809A0"/>
    <w:rsid w:val="00E80AF7"/>
    <w:rsid w:val="00E84407"/>
    <w:rsid w:val="00E85E54"/>
    <w:rsid w:val="00E86146"/>
    <w:rsid w:val="00E86A76"/>
    <w:rsid w:val="00E87A90"/>
    <w:rsid w:val="00E904D1"/>
    <w:rsid w:val="00E92425"/>
    <w:rsid w:val="00E92AD3"/>
    <w:rsid w:val="00E94B54"/>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3D9F"/>
    <w:rsid w:val="00EF5EC6"/>
    <w:rsid w:val="00EF646F"/>
    <w:rsid w:val="00EF791E"/>
    <w:rsid w:val="00EF7A63"/>
    <w:rsid w:val="00F00D58"/>
    <w:rsid w:val="00F0226C"/>
    <w:rsid w:val="00F02522"/>
    <w:rsid w:val="00F02AE0"/>
    <w:rsid w:val="00F02BFF"/>
    <w:rsid w:val="00F034DC"/>
    <w:rsid w:val="00F03953"/>
    <w:rsid w:val="00F04841"/>
    <w:rsid w:val="00F051F4"/>
    <w:rsid w:val="00F0579A"/>
    <w:rsid w:val="00F0674D"/>
    <w:rsid w:val="00F10287"/>
    <w:rsid w:val="00F10C82"/>
    <w:rsid w:val="00F11E31"/>
    <w:rsid w:val="00F13B2E"/>
    <w:rsid w:val="00F176A0"/>
    <w:rsid w:val="00F20174"/>
    <w:rsid w:val="00F22098"/>
    <w:rsid w:val="00F223BC"/>
    <w:rsid w:val="00F23780"/>
    <w:rsid w:val="00F23C32"/>
    <w:rsid w:val="00F26185"/>
    <w:rsid w:val="00F267A2"/>
    <w:rsid w:val="00F3178C"/>
    <w:rsid w:val="00F33DE5"/>
    <w:rsid w:val="00F34B8F"/>
    <w:rsid w:val="00F36D7F"/>
    <w:rsid w:val="00F37186"/>
    <w:rsid w:val="00F42FCF"/>
    <w:rsid w:val="00F44A83"/>
    <w:rsid w:val="00F45940"/>
    <w:rsid w:val="00F51743"/>
    <w:rsid w:val="00F529D4"/>
    <w:rsid w:val="00F54F27"/>
    <w:rsid w:val="00F55FC8"/>
    <w:rsid w:val="00F604E3"/>
    <w:rsid w:val="00F610E6"/>
    <w:rsid w:val="00F61FCC"/>
    <w:rsid w:val="00F64EDE"/>
    <w:rsid w:val="00F66036"/>
    <w:rsid w:val="00F6689D"/>
    <w:rsid w:val="00F67E23"/>
    <w:rsid w:val="00F71601"/>
    <w:rsid w:val="00F72C75"/>
    <w:rsid w:val="00F7338F"/>
    <w:rsid w:val="00F74033"/>
    <w:rsid w:val="00F759EB"/>
    <w:rsid w:val="00F772F7"/>
    <w:rsid w:val="00F81334"/>
    <w:rsid w:val="00F81A81"/>
    <w:rsid w:val="00F81CC5"/>
    <w:rsid w:val="00F82400"/>
    <w:rsid w:val="00F8760D"/>
    <w:rsid w:val="00F87AAD"/>
    <w:rsid w:val="00F9174C"/>
    <w:rsid w:val="00F91D5C"/>
    <w:rsid w:val="00F92097"/>
    <w:rsid w:val="00F951DB"/>
    <w:rsid w:val="00F9574A"/>
    <w:rsid w:val="00F95D64"/>
    <w:rsid w:val="00F9793B"/>
    <w:rsid w:val="00FA0EAA"/>
    <w:rsid w:val="00FA0F53"/>
    <w:rsid w:val="00FA1DA9"/>
    <w:rsid w:val="00FA2B53"/>
    <w:rsid w:val="00FA3809"/>
    <w:rsid w:val="00FA3A95"/>
    <w:rsid w:val="00FA6D7E"/>
    <w:rsid w:val="00FB020D"/>
    <w:rsid w:val="00FB3F33"/>
    <w:rsid w:val="00FB43E4"/>
    <w:rsid w:val="00FB4889"/>
    <w:rsid w:val="00FB676C"/>
    <w:rsid w:val="00FB67CC"/>
    <w:rsid w:val="00FB728E"/>
    <w:rsid w:val="00FC0ADE"/>
    <w:rsid w:val="00FC0FF1"/>
    <w:rsid w:val="00FC1FDF"/>
    <w:rsid w:val="00FC20E5"/>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68D3"/>
    <w:rsid w:val="00FF76BD"/>
    <w:rsid w:val="24E9247E"/>
    <w:rsid w:val="29194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Calibri" w:hAnsi="Calibri"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6">
    <w:name w:val="Document Map"/>
    <w:basedOn w:val="1"/>
    <w:link w:val="50"/>
    <w:semiHidden/>
    <w:unhideWhenUsed/>
    <w:uiPriority w:val="0"/>
    <w:rPr>
      <w:rFonts w:ascii="Microsoft YaHei UI" w:eastAsia="Microsoft YaHei UI"/>
      <w:sz w:val="18"/>
      <w:szCs w:val="18"/>
    </w:rPr>
  </w:style>
  <w:style w:type="paragraph" w:styleId="7">
    <w:name w:val="annotation text"/>
    <w:basedOn w:val="1"/>
    <w:link w:val="33"/>
    <w:semiHidden/>
    <w:uiPriority w:val="0"/>
    <w:rPr>
      <w:sz w:val="24"/>
    </w:rPr>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lang w:val="en-US" w:eastAsia="zh-CN"/>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rPr>
      <w:sz w:val="24"/>
    </w:rPr>
  </w:style>
  <w:style w:type="paragraph" w:styleId="15">
    <w:name w:val="header"/>
    <w:basedOn w:val="1"/>
    <w:link w:val="28"/>
    <w:uiPriority w:val="0"/>
    <w:pPr>
      <w:tabs>
        <w:tab w:val="center" w:pos="4320"/>
        <w:tab w:val="right" w:pos="8640"/>
      </w:tabs>
    </w:pPr>
    <w:rPr>
      <w:sz w:val="24"/>
    </w:rPr>
  </w:style>
  <w:style w:type="paragraph" w:styleId="16">
    <w:name w:val="toc 1"/>
    <w:basedOn w:val="1"/>
    <w:next w:val="1"/>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8">
    <w:name w:val="Normal (Web)"/>
    <w:basedOn w:val="1"/>
    <w:unhideWhenUsed/>
    <w:uiPriority w:val="99"/>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19">
    <w:name w:val="Title"/>
    <w:basedOn w:val="1"/>
    <w:next w:val="1"/>
    <w:link w:val="34"/>
    <w:qFormat/>
    <w:uiPriority w:val="0"/>
    <w:pPr>
      <w:spacing w:before="240" w:after="60"/>
      <w:jc w:val="center"/>
      <w:outlineLvl w:val="0"/>
    </w:pPr>
    <w:rPr>
      <w:rFonts w:ascii="Calibri Light" w:hAnsi="Calibri Light"/>
      <w:b/>
      <w:bCs/>
      <w:sz w:val="32"/>
      <w:szCs w:val="32"/>
    </w:rPr>
  </w:style>
  <w:style w:type="paragraph" w:styleId="20">
    <w:name w:val="annotation subject"/>
    <w:basedOn w:val="7"/>
    <w:next w:val="7"/>
    <w:semiHidden/>
    <w:uiPriority w:val="0"/>
    <w:rPr>
      <w:b/>
      <w:bCs/>
    </w:rPr>
  </w:style>
  <w:style w:type="table" w:styleId="22">
    <w:name w:val="Table Grid"/>
    <w:basedOn w:val="21"/>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styleId="26">
    <w:name w:val="annotation reference"/>
    <w:semiHidden/>
    <w:uiPriority w:val="0"/>
    <w:rPr>
      <w:sz w:val="21"/>
      <w:szCs w:val="21"/>
    </w:rPr>
  </w:style>
  <w:style w:type="character" w:customStyle="1" w:styleId="27">
    <w:name w:val="apple-converted-space"/>
    <w:basedOn w:val="23"/>
    <w:uiPriority w:val="0"/>
  </w:style>
  <w:style w:type="character" w:customStyle="1" w:styleId="28">
    <w:name w:val="页眉 字符"/>
    <w:link w:val="15"/>
    <w:uiPriority w:val="0"/>
    <w:rPr>
      <w:rFonts w:eastAsia="宋体"/>
      <w:sz w:val="24"/>
      <w:lang w:val="en-GB" w:eastAsia="en-US" w:bidi="ar-SA"/>
    </w:rPr>
  </w:style>
  <w:style w:type="character" w:customStyle="1" w:styleId="29">
    <w:name w:val="instruction standard blue"/>
    <w:qFormat/>
    <w:uiPriority w:val="1"/>
    <w:rPr>
      <w:rFonts w:cs="Arial"/>
      <w:i/>
      <w:color w:val="0070C0"/>
    </w:rPr>
  </w:style>
  <w:style w:type="character" w:customStyle="1" w:styleId="30">
    <w:name w:val="Footer Char"/>
    <w:semiHidden/>
    <w:locked/>
    <w:uiPriority w:val="0"/>
    <w:rPr>
      <w:rFonts w:cs="Times New Roman"/>
      <w:sz w:val="18"/>
      <w:szCs w:val="18"/>
    </w:rPr>
  </w:style>
  <w:style w:type="character" w:customStyle="1" w:styleId="31">
    <w:name w:val="numbering blue Zchn"/>
    <w:link w:val="32"/>
    <w:uiPriority w:val="0"/>
    <w:rPr>
      <w:rFonts w:ascii="Arial" w:hAnsi="Arial" w:eastAsia="PMingLiU"/>
      <w:color w:val="0070C0"/>
      <w:lang w:eastAsia="zh-TW"/>
    </w:rPr>
  </w:style>
  <w:style w:type="paragraph" w:customStyle="1" w:styleId="32">
    <w:name w:val="numbering blue"/>
    <w:basedOn w:val="1"/>
    <w:link w:val="31"/>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3">
    <w:name w:val="批注文字 字符"/>
    <w:link w:val="7"/>
    <w:semiHidden/>
    <w:uiPriority w:val="0"/>
    <w:rPr>
      <w:sz w:val="24"/>
      <w:lang w:val="en-GB" w:eastAsia="en-US"/>
    </w:rPr>
  </w:style>
  <w:style w:type="character" w:customStyle="1" w:styleId="34">
    <w:name w:val="标题 字符"/>
    <w:link w:val="19"/>
    <w:uiPriority w:val="0"/>
    <w:rPr>
      <w:rFonts w:ascii="Calibri Light" w:hAnsi="Calibri Light" w:cs="Times New Roman"/>
      <w:b/>
      <w:bCs/>
      <w:sz w:val="32"/>
      <w:szCs w:val="32"/>
      <w:lang w:val="en-GB" w:eastAsia="en-US"/>
    </w:rPr>
  </w:style>
  <w:style w:type="character" w:customStyle="1" w:styleId="35">
    <w:name w:val="Text Char"/>
    <w:link w:val="36"/>
    <w:qFormat/>
    <w:locked/>
    <w:uiPriority w:val="0"/>
    <w:rPr>
      <w:sz w:val="24"/>
      <w:lang w:eastAsia="en-US"/>
    </w:rPr>
  </w:style>
  <w:style w:type="paragraph" w:customStyle="1" w:styleId="36">
    <w:name w:val="Text"/>
    <w:basedOn w:val="1"/>
    <w:link w:val="35"/>
    <w:qFormat/>
    <w:uiPriority w:val="0"/>
    <w:pPr>
      <w:overflowPunct/>
      <w:autoSpaceDE/>
      <w:autoSpaceDN/>
      <w:adjustRightInd/>
      <w:spacing w:before="120"/>
      <w:jc w:val="both"/>
      <w:textAlignment w:val="auto"/>
    </w:pPr>
    <w:rPr>
      <w:sz w:val="24"/>
    </w:rPr>
  </w:style>
  <w:style w:type="character" w:customStyle="1" w:styleId="37">
    <w:name w:val="keyword"/>
    <w:basedOn w:val="23"/>
    <w:uiPriority w:val="0"/>
  </w:style>
  <w:style w:type="character" w:customStyle="1" w:styleId="38">
    <w:name w:val="页脚 字符"/>
    <w:link w:val="14"/>
    <w:uiPriority w:val="99"/>
    <w:rPr>
      <w:sz w:val="24"/>
      <w:lang w:val="en-GB" w:eastAsia="en-US"/>
    </w:rPr>
  </w:style>
  <w:style w:type="character" w:customStyle="1" w:styleId="39">
    <w:name w:val="ordinary-span-edit2"/>
    <w:uiPriority w:val="0"/>
  </w:style>
  <w:style w:type="paragraph" w:customStyle="1" w:styleId="40">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41">
    <w:name w:val="Default Text"/>
    <w:basedOn w:val="1"/>
    <w:uiPriority w:val="0"/>
    <w:pPr>
      <w:overflowPunct/>
      <w:textAlignment w:val="auto"/>
    </w:pPr>
    <w:rPr>
      <w:rFonts w:ascii="Arial" w:hAnsi="Arial"/>
      <w:szCs w:val="24"/>
      <w:lang w:val="en-US"/>
    </w:rPr>
  </w:style>
  <w:style w:type="paragraph" w:customStyle="1" w:styleId="42">
    <w:name w:val="Table text"/>
    <w:basedOn w:val="1"/>
    <w:qFormat/>
    <w:uiPriority w:val="0"/>
    <w:pPr>
      <w:overflowPunct/>
      <w:autoSpaceDE/>
      <w:autoSpaceDN/>
      <w:adjustRightInd/>
      <w:spacing w:before="120" w:after="120"/>
      <w:jc w:val="both"/>
      <w:textAlignment w:val="auto"/>
    </w:pPr>
    <w:rPr>
      <w:lang w:val="en-US"/>
    </w:rPr>
  </w:style>
  <w:style w:type="paragraph" w:customStyle="1" w:styleId="43">
    <w:name w:val="TOC Heading"/>
    <w:basedOn w:val="2"/>
    <w:next w:val="1"/>
    <w:qFormat/>
    <w:uiPriority w:val="39"/>
    <w:pPr>
      <w:numPr>
        <w:numId w:val="0"/>
      </w:numPr>
      <w:outlineLvl w:val="9"/>
    </w:pPr>
  </w:style>
  <w:style w:type="paragraph" w:styleId="44">
    <w:name w:val="List Paragraph"/>
    <w:basedOn w:val="1"/>
    <w:qFormat/>
    <w:uiPriority w:val="34"/>
    <w:pPr>
      <w:widowControl w:val="0"/>
      <w:overflowPunct/>
      <w:autoSpaceDE/>
      <w:autoSpaceDN/>
      <w:adjustRightInd/>
      <w:ind w:firstLine="420" w:firstLineChars="200"/>
      <w:jc w:val="both"/>
      <w:textAlignment w:val="auto"/>
    </w:pPr>
    <w:rPr>
      <w:kern w:val="2"/>
      <w:szCs w:val="22"/>
      <w:lang w:val="en-US" w:eastAsia="zh-CN"/>
    </w:rPr>
  </w:style>
  <w:style w:type="paragraph" w:customStyle="1" w:styleId="45">
    <w:name w:val="正文1"/>
    <w:basedOn w:val="1"/>
    <w:uiPriority w:val="0"/>
    <w:pPr>
      <w:overflowPunct/>
      <w:textAlignment w:val="auto"/>
    </w:pPr>
    <w:rPr>
      <w:rFonts w:ascii="Arial" w:hAnsi="Arial"/>
      <w:sz w:val="20"/>
      <w:lang w:val="en-US"/>
    </w:rPr>
  </w:style>
  <w:style w:type="paragraph" w:customStyle="1" w:styleId="46">
    <w:name w:val="Table"/>
    <w:basedOn w:val="1"/>
    <w:uiPriority w:val="0"/>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47">
    <w:name w:val="Revision"/>
    <w:semiHidden/>
    <w:uiPriority w:val="99"/>
    <w:rPr>
      <w:rFonts w:ascii="Calibri" w:hAnsi="Calibri" w:eastAsia="宋体" w:cs="Times New Roman"/>
      <w:sz w:val="24"/>
      <w:lang w:val="en-GB" w:eastAsia="en-US" w:bidi="ar-SA"/>
    </w:rPr>
  </w:style>
  <w:style w:type="paragraph" w:customStyle="1" w:styleId="48">
    <w:name w:val="Style"/>
    <w:basedOn w:val="1"/>
    <w:uiPriority w:val="0"/>
    <w:pPr>
      <w:overflowPunct/>
      <w:textAlignment w:val="auto"/>
    </w:pPr>
    <w:rPr>
      <w:rFonts w:ascii="Arial" w:hAnsi="Arial"/>
      <w:szCs w:val="24"/>
      <w:lang w:val="en-US"/>
    </w:rPr>
  </w:style>
  <w:style w:type="paragraph" w:customStyle="1" w:styleId="49">
    <w:name w:val="默认段落字体 Para Char Char Char Char Char Char Char"/>
    <w:basedOn w:val="6"/>
    <w:uiPriority w:val="0"/>
    <w:pPr>
      <w:widowControl w:val="0"/>
      <w:shd w:val="clear" w:color="auto" w:fill="000080"/>
      <w:overflowPunct/>
      <w:autoSpaceDE/>
      <w:autoSpaceDN/>
      <w:spacing w:line="436" w:lineRule="exact"/>
      <w:ind w:left="357"/>
      <w:textAlignment w:val="auto"/>
      <w:outlineLvl w:val="3"/>
    </w:pPr>
    <w:rPr>
      <w:rFonts w:ascii="Tahoma" w:hAnsi="Tahoma" w:eastAsia="宋体" w:cs="Tahoma"/>
      <w:b/>
      <w:bCs/>
      <w:kern w:val="2"/>
      <w:sz w:val="24"/>
      <w:szCs w:val="24"/>
      <w:lang w:val="en-US" w:eastAsia="zh-CN"/>
    </w:rPr>
  </w:style>
  <w:style w:type="character" w:customStyle="1" w:styleId="50">
    <w:name w:val="文档结构图 字符"/>
    <w:basedOn w:val="23"/>
    <w:link w:val="6"/>
    <w:semiHidden/>
    <w:uiPriority w:val="0"/>
    <w:rPr>
      <w:rFonts w:ascii="Microsoft YaHei UI" w:eastAsia="Microsoft YaHei UI"/>
      <w:sz w:val="18"/>
      <w:szCs w:val="18"/>
      <w:lang w:val="en-GB" w:eastAsia="en-US"/>
    </w:rPr>
  </w:style>
  <w:style w:type="paragraph" w:styleId="51">
    <w:name w:val="No Spacing"/>
    <w:qFormat/>
    <w:uiPriority w:val="1"/>
    <w:pPr>
      <w:widowControl w:val="0"/>
      <w:jc w:val="both"/>
    </w:pPr>
    <w:rPr>
      <w:rFonts w:ascii="Times New Roman" w:hAnsi="Times New Roman"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F07BA9-E7FB-46AE-B268-327CF9F0F415}">
  <ds:schemaRefs/>
</ds:datastoreItem>
</file>

<file path=docProps/app.xml><?xml version="1.0" encoding="utf-8"?>
<Properties xmlns="http://schemas.openxmlformats.org/officeDocument/2006/extended-properties" xmlns:vt="http://schemas.openxmlformats.org/officeDocument/2006/docPropsVTypes">
  <Template>Normal.dotm</Template>
  <Company>HaoXiTong.Com</Company>
  <Pages>21</Pages>
  <Words>8640</Words>
  <Characters>2092</Characters>
  <Lines>17</Lines>
  <Paragraphs>21</Paragraphs>
  <TotalTime>448</TotalTime>
  <ScaleCrop>false</ScaleCrop>
  <LinksUpToDate>false</LinksUpToDate>
  <CharactersWithSpaces>10711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2019-11-06T07:01:00Z</dcterms:created>
  <dc:creator>Lilly</dc:creator>
  <cp:lastModifiedBy>Admin</cp:lastModifiedBy>
  <cp:lastPrinted>2019-12-17T06:45:00Z</cp:lastPrinted>
  <dcterms:modified xsi:type="dcterms:W3CDTF">2022-01-28T01:15:06Z</dcterms:modified>
  <dc:title>生效期：</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