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227223"/>
      <w:bookmarkStart w:id="1" w:name="_Toc482717189"/>
      <w:bookmarkStart w:id="2" w:name="_Toc484532399"/>
      <w:bookmarkStart w:id="3" w:name="_Toc483400307"/>
      <w:bookmarkStart w:id="4" w:name="_Toc483666358"/>
    </w:p>
    <w:bookmarkEnd w:id="0"/>
    <w:bookmarkEnd w:id="1"/>
    <w:bookmarkEnd w:id="2"/>
    <w:bookmarkEnd w:id="3"/>
    <w:bookmarkEnd w:id="4"/>
    <w:p>
      <w:pPr>
        <w:spacing w:afterLines="50"/>
        <w:jc w:val="center"/>
        <w:rPr>
          <w:sz w:val="21"/>
          <w:szCs w:val="21"/>
          <w:lang w:val="zh-CN"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电动叉车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</w:p>
    <w:p>
      <w:pPr>
        <w:pStyle w:val="33"/>
        <w:keepNext w:val="0"/>
        <w:keepLines w:val="0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1" w:edGrp="everyone"/>
      <w:r>
        <w:fldChar w:fldCharType="begin"/>
      </w:r>
      <w:r>
        <w:instrText xml:space="preserve"> TOC \o "1-2" \h \z \u </w:instrText>
      </w:r>
      <w:r>
        <w:fldChar w:fldCharType="separate"/>
      </w:r>
      <w:bookmarkStart w:id="47" w:name="_GoBack"/>
      <w:bookmarkEnd w:id="47"/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</w:t>
      </w:r>
      <w:r>
        <w:rPr>
          <w:rStyle w:val="23"/>
          <w:rFonts w:hint="eastAsia"/>
          <w:lang w:val="en-US" w:eastAsia="zh-CN"/>
        </w:rPr>
        <w:t>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</w:t>
      </w:r>
      <w:r>
        <w:rPr>
          <w:rStyle w:val="23"/>
          <w:rFonts w:hint="eastAsia"/>
          <w:lang w:val="en-US" w:eastAsia="zh-CN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1"/>
    </w:p>
    <w:p>
      <w:pPr>
        <w:rPr>
          <w:b/>
        </w:rPr>
      </w:pPr>
      <w:r>
        <w:rPr>
          <w:lang w:val="en-US" w:eastAsia="zh-CN"/>
        </w:rPr>
        <w:br w:type="page"/>
      </w:r>
    </w:p>
    <w:p>
      <w:pPr>
        <w:overflowPunct/>
        <w:autoSpaceDE/>
        <w:autoSpaceDN/>
        <w:adjustRightInd/>
        <w:textAlignment w:val="auto"/>
        <w:rPr>
          <w:b/>
          <w:bCs/>
          <w:caps/>
          <w:kern w:val="2"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1702475"/>
      <w:bookmarkStart w:id="8" w:name="_Toc482360281"/>
      <w:bookmarkStart w:id="9" w:name="_Toc482370061"/>
      <w:bookmarkStart w:id="10" w:name="_Toc482370141"/>
      <w:bookmarkStart w:id="11" w:name="_Toc482359936"/>
      <w:bookmarkStart w:id="12" w:name="_Toc482370757"/>
      <w:bookmarkStart w:id="13" w:name="_Toc482625279"/>
      <w:bookmarkStart w:id="14" w:name="_Toc482370349"/>
      <w:bookmarkStart w:id="15" w:name="_Toc482369805"/>
      <w:r>
        <w:rPr>
          <w:szCs w:val="21"/>
          <w:lang w:eastAsia="zh-CN"/>
        </w:rPr>
        <w:t>本文件的目的是描述武汉生物制品研究所有限责任公司</w:t>
      </w:r>
      <w:permStart w:id="2" w:edGrp="everyone"/>
      <w:r>
        <w:rPr>
          <w:rFonts w:hint="eastAsia"/>
          <w:szCs w:val="21"/>
          <w:lang w:eastAsia="zh-CN"/>
        </w:rPr>
        <w:t>金港产业园区实验动物室电动叉车</w:t>
      </w:r>
      <w:permEnd w:id="2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金港产业园区实验动物室电动叉车</w:t>
      </w:r>
      <w:permEnd w:id="3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4" w:edGrp="everyone"/>
      <w:permEnd w:id="4"/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5" w:edGrp="everyone"/>
      <w:r>
        <w:rPr>
          <w:rFonts w:hint="eastAsia" w:ascii="宋体" w:hAnsi="宋体"/>
          <w:color w:val="000000"/>
          <w:szCs w:val="21"/>
          <w:lang w:eastAsia="zh-CN"/>
        </w:rPr>
        <w:t>N/A</w:t>
      </w:r>
      <w:permEnd w:id="5"/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522716119"/>
      <w:permStart w:id="6" w:edGrp="everyone"/>
      <w:permEnd w:id="6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7" w:edGrp="everyone"/>
      <w:r>
        <w:rPr>
          <w:rFonts w:hint="eastAsia" w:ascii="宋体" w:hAnsi="宋体" w:cs="Arial"/>
          <w:szCs w:val="24"/>
          <w:lang w:val="it-IT" w:eastAsia="zh-CN"/>
        </w:rPr>
        <w:t>武汉生物制品研究所有限责任公司金港厂区需请购1台电动叉车。此叉车用于日常运输饲料、笼具等工作。</w:t>
      </w:r>
      <w:permEnd w:id="7"/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</w:p>
    <w:p>
      <w:pPr>
        <w:pStyle w:val="31"/>
        <w:spacing w:afterLines="50"/>
        <w:ind w:left="425" w:firstLine="0" w:firstLineChars="0"/>
        <w:rPr>
          <w:rFonts w:ascii="Times New Roman" w:hAnsi="Times New Roman"/>
          <w:szCs w:val="21"/>
        </w:rPr>
      </w:pPr>
      <w:permStart w:id="8" w:edGrp="everyone"/>
      <w:permEnd w:id="8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2"/>
            <w:bookmarkStart w:id="24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电动叉车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到货后必须按要求放置于实验动物室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指定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存放位置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,并按要求存放</w:t>
            </w:r>
            <w:r>
              <w:rPr>
                <w:rFonts w:hint="eastAsia"/>
                <w:i/>
                <w:color w:val="0070C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其重量不超出房间承重要求。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适用于我公司工作环境</w:t>
            </w:r>
            <w:r>
              <w:rPr>
                <w:lang w:eastAsia="zh-CN"/>
              </w:rPr>
              <w:t>温度：能适应</w:t>
            </w:r>
            <w:r>
              <w:rPr>
                <w:rFonts w:hint="eastAsia"/>
                <w:lang w:eastAsia="zh-CN"/>
              </w:rPr>
              <w:t>0℃</w:t>
            </w:r>
            <w:r>
              <w:rPr>
                <w:lang w:eastAsia="zh-CN"/>
              </w:rPr>
              <w:t>～</w:t>
            </w:r>
            <w:r>
              <w:rPr>
                <w:rFonts w:hint="eastAsia"/>
                <w:lang w:eastAsia="zh-CN"/>
              </w:rPr>
              <w:t>40℃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工作环境湿度：至少包括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>%～</w:t>
            </w:r>
            <w:r>
              <w:rPr>
                <w:rFonts w:hint="eastAsia"/>
                <w:lang w:eastAsia="zh-CN"/>
              </w:rPr>
              <w:t>100</w:t>
            </w:r>
            <w:r>
              <w:rPr>
                <w:lang w:eastAsia="zh-CN"/>
              </w:rPr>
              <w:t>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工作环境洁净级别：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室外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交流电电源：~220V，50Hz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设备的外观应端正，整齐，不得有明显的偏歪、毛刺和锈蚀等缺陷。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至少应有以下永久贴牢和清楚易认的标记：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1、制造/供应单位；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2、产品注册号；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3、型号标记；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4、生产日期或编号；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5、对电动叉车必要的说明；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6、必要的功能标识及说明；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7、安全标示。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车骨架采用加厚的优质钢结构，货叉需一次压制成型。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车身高温烤漆，不易生锈。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货叉表面离地最小距离为90mm，有效长度不小于1100mm。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具有简洁的操作面板，集成电动上升下降、前进后退、刹车、转向、喇叭和倒车急停反向开关。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配备人站立踏板。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配备特氟龙轮，辅助轮设计应保证其安全耐用。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配备嵌入式可折叠盖板和高强度盖板式货叉。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电机、可充电电池需为知名上市品牌，电池使用最低寿命为5年。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7"/>
    </w:tbl>
    <w:p>
      <w:pPr>
        <w:pStyle w:val="31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522716121"/>
      <w:r>
        <w:rPr>
          <w:rFonts w:ascii="Times New Roman" w:hAnsi="Times New Roman"/>
          <w:b/>
        </w:rPr>
        <w:t>运行要求</w:t>
      </w:r>
      <w:bookmarkEnd w:id="25"/>
      <w:bookmarkEnd w:id="26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18" w:edGrp="everyone"/>
            <w:permEnd w:id="18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5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包装需满足运输和装卸要求，防潮湿、防磕碰、防振动。轮子需全包裹，避免沾染砂砾磨损洁净区地面。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ind w:left="284"/>
              <w:rPr>
                <w:szCs w:val="21"/>
              </w:rPr>
            </w:pPr>
            <w:permStart w:id="2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N/A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额定载重：2t~3t。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升降高度：1.6m。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升降电机功率：2.2KW。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行走电机功率：1.2KW。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253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2"/>
    </w:tbl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1702480"/>
      <w:bookmarkStart w:id="30" w:name="_Toc482360291"/>
      <w:bookmarkStart w:id="31" w:name="_Toc482370151"/>
      <w:bookmarkStart w:id="32" w:name="_Toc482369815"/>
      <w:bookmarkStart w:id="33" w:name="_Toc482370767"/>
      <w:bookmarkStart w:id="34" w:name="_Toc482370071"/>
      <w:bookmarkStart w:id="35" w:name="_Toc482370359"/>
      <w:bookmarkStart w:id="36" w:name="_Toc482717202"/>
      <w:bookmarkStart w:id="37" w:name="_Toc482625289"/>
      <w:bookmarkStart w:id="38" w:name="_Toc483227237"/>
      <w:bookmarkStart w:id="39" w:name="_Toc482359946"/>
      <w:bookmarkStart w:id="40" w:name="_Toc483400317"/>
      <w:r>
        <w:rPr>
          <w:rFonts w:ascii="Times New Roman" w:hAnsi="Times New Roman"/>
          <w:b/>
        </w:rPr>
        <w:t>电气、自动控制要求</w:t>
      </w:r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3" w:edGrp="everyone"/>
            <w:permEnd w:id="23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充电器：在蓄电池充满电后自动断电。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5"/>
    </w:tbl>
    <w:p>
      <w:pPr>
        <w:spacing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6" w:edGrp="everyone"/>
            <w:permEnd w:id="26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8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107743"/>
      <w:bookmarkStart w:id="43" w:name="_Toc522716124"/>
      <w:r>
        <w:rPr>
          <w:rFonts w:ascii="Times New Roman" w:hAnsi="Times New Roman"/>
          <w:b/>
        </w:rPr>
        <w:t>文件要求</w:t>
      </w:r>
      <w:bookmarkEnd w:id="42"/>
      <w:bookmarkEnd w:id="43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9" w:edGrp="everyone"/>
            <w:permEnd w:id="29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投标文件、合同及订单。卖方发运清单及相关检验报告。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功能说明文件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供应商文件：出厂合格证、相关检验报告、安全报告、各种标识。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操作说明和维护说明各3份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组件、备件清单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调试文件与记录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2" w:edGrp="everyone"/>
            <w:permEnd w:id="3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供应商应免费对使用方人员进行全面培训，包括对电动叉车日常的维护、简单的应急维修等。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操作人员培训包括电动叉车的结构原理、性能、操作、清洗、故障排除等基本知识。合格标准为参加的培训人员能够独立正确操作电动货车，会排除常见故障。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售后服务必须响应及时，要求设备出现须厂家维修的故障后，应在8小时内明确答复，当电话沟通无法解决时，须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货物到达使用现场后，由购买方（采购部、储运部、QA、实验动物室四方一起验收入库）验收确认。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使用方检查确认数量、质量、外包装和相关资质证明是否符合本URS要求。若不符合按合同要求处理。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验收合格后，供应方按使用方要求将设备送到指定的存放处。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</w:tbl>
    <w:p/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1"/>
        <w:spacing w:before="0" w:line="360" w:lineRule="auto"/>
        <w:ind w:left="357"/>
        <w:jc w:val="left"/>
        <w:rPr>
          <w:rFonts w:ascii="宋体" w:hAnsi="宋体"/>
          <w:szCs w:val="21"/>
          <w:lang w:eastAsia="zh-CN"/>
        </w:rPr>
      </w:pPr>
      <w:permStart w:id="39" w:edGrp="everyone"/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5327650</wp:posOffset>
            </wp:positionV>
            <wp:extent cx="3390900" cy="1857375"/>
            <wp:effectExtent l="19050" t="0" r="0" b="0"/>
            <wp:wrapNone/>
            <wp:docPr id="10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7318375</wp:posOffset>
            </wp:positionV>
            <wp:extent cx="3390900" cy="1857375"/>
            <wp:effectExtent l="19050" t="0" r="0" b="0"/>
            <wp:wrapNone/>
            <wp:docPr id="8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7318375</wp:posOffset>
            </wp:positionV>
            <wp:extent cx="3390900" cy="1857375"/>
            <wp:effectExtent l="19050" t="0" r="0" b="0"/>
            <wp:wrapNone/>
            <wp:docPr id="7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ermEnd w:id="39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BF13BA"/>
    <w:multiLevelType w:val="multilevel"/>
    <w:tmpl w:val="4BBF13BA"/>
    <w:lvl w:ilvl="0" w:tentative="0">
      <w:start w:val="20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9AD"/>
    <w:rsid w:val="00031243"/>
    <w:rsid w:val="00031900"/>
    <w:rsid w:val="000355F3"/>
    <w:rsid w:val="00037987"/>
    <w:rsid w:val="00037F15"/>
    <w:rsid w:val="00037F55"/>
    <w:rsid w:val="000404F1"/>
    <w:rsid w:val="00041104"/>
    <w:rsid w:val="000418F3"/>
    <w:rsid w:val="00041A2A"/>
    <w:rsid w:val="00041D89"/>
    <w:rsid w:val="0004310B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520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25FD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286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CA7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64D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3D6F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7C6"/>
    <w:rsid w:val="00282EAA"/>
    <w:rsid w:val="0028384D"/>
    <w:rsid w:val="0028525D"/>
    <w:rsid w:val="002860DB"/>
    <w:rsid w:val="00286CE5"/>
    <w:rsid w:val="0028738F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0F4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83F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FB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0CC4"/>
    <w:rsid w:val="003726DF"/>
    <w:rsid w:val="0037345A"/>
    <w:rsid w:val="00373FFA"/>
    <w:rsid w:val="0037455F"/>
    <w:rsid w:val="00375883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E7F1A"/>
    <w:rsid w:val="003F1CA3"/>
    <w:rsid w:val="003F3F47"/>
    <w:rsid w:val="003F6E0C"/>
    <w:rsid w:val="004003A8"/>
    <w:rsid w:val="0040240E"/>
    <w:rsid w:val="00402756"/>
    <w:rsid w:val="00405B3A"/>
    <w:rsid w:val="00406712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A40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77F0C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594"/>
    <w:rsid w:val="004C099B"/>
    <w:rsid w:val="004C42AE"/>
    <w:rsid w:val="004C49B0"/>
    <w:rsid w:val="004C4F53"/>
    <w:rsid w:val="004C4F7F"/>
    <w:rsid w:val="004C592E"/>
    <w:rsid w:val="004C62EE"/>
    <w:rsid w:val="004D050F"/>
    <w:rsid w:val="004D0E3A"/>
    <w:rsid w:val="004D1A73"/>
    <w:rsid w:val="004D48C2"/>
    <w:rsid w:val="004D67B1"/>
    <w:rsid w:val="004D7128"/>
    <w:rsid w:val="004D72EB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22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3B18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5979"/>
    <w:rsid w:val="00686409"/>
    <w:rsid w:val="00686D19"/>
    <w:rsid w:val="0068777F"/>
    <w:rsid w:val="00693018"/>
    <w:rsid w:val="006A0059"/>
    <w:rsid w:val="006A7425"/>
    <w:rsid w:val="006A7E27"/>
    <w:rsid w:val="006B058A"/>
    <w:rsid w:val="006B1299"/>
    <w:rsid w:val="006B26D9"/>
    <w:rsid w:val="006B2B6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53D9"/>
    <w:rsid w:val="00726CB6"/>
    <w:rsid w:val="00727255"/>
    <w:rsid w:val="00727432"/>
    <w:rsid w:val="0072779B"/>
    <w:rsid w:val="00727CCF"/>
    <w:rsid w:val="0073446D"/>
    <w:rsid w:val="007349FF"/>
    <w:rsid w:val="00734B45"/>
    <w:rsid w:val="00736FFB"/>
    <w:rsid w:val="00740080"/>
    <w:rsid w:val="00740BDB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1CCC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001"/>
    <w:rsid w:val="00784913"/>
    <w:rsid w:val="00785B90"/>
    <w:rsid w:val="0078639C"/>
    <w:rsid w:val="007913D3"/>
    <w:rsid w:val="0079790C"/>
    <w:rsid w:val="007A102A"/>
    <w:rsid w:val="007A11A2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3C8B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C55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D7D84"/>
    <w:rsid w:val="007E3532"/>
    <w:rsid w:val="007E5FE3"/>
    <w:rsid w:val="007E64DF"/>
    <w:rsid w:val="007E657D"/>
    <w:rsid w:val="007E6DB1"/>
    <w:rsid w:val="007E7119"/>
    <w:rsid w:val="007E71BB"/>
    <w:rsid w:val="007E7B90"/>
    <w:rsid w:val="007E7C13"/>
    <w:rsid w:val="007F2464"/>
    <w:rsid w:val="007F2EC5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114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106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17B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0B"/>
    <w:rsid w:val="008C5C9F"/>
    <w:rsid w:val="008C6773"/>
    <w:rsid w:val="008C72BB"/>
    <w:rsid w:val="008C74C5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11A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045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5EC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255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0656"/>
    <w:rsid w:val="00B353E7"/>
    <w:rsid w:val="00B35759"/>
    <w:rsid w:val="00B3619A"/>
    <w:rsid w:val="00B365B7"/>
    <w:rsid w:val="00B40BCA"/>
    <w:rsid w:val="00B42BD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173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08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143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04D"/>
    <w:rsid w:val="00CA55BD"/>
    <w:rsid w:val="00CB0837"/>
    <w:rsid w:val="00CB132F"/>
    <w:rsid w:val="00CB2B6D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C5A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61BC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37F"/>
    <w:rsid w:val="00D77D65"/>
    <w:rsid w:val="00D80448"/>
    <w:rsid w:val="00D80C4F"/>
    <w:rsid w:val="00D8149F"/>
    <w:rsid w:val="00D814FB"/>
    <w:rsid w:val="00D83D95"/>
    <w:rsid w:val="00D90293"/>
    <w:rsid w:val="00D90496"/>
    <w:rsid w:val="00D9049D"/>
    <w:rsid w:val="00D917BC"/>
    <w:rsid w:val="00D942DE"/>
    <w:rsid w:val="00D9491E"/>
    <w:rsid w:val="00DA070D"/>
    <w:rsid w:val="00DA3B2F"/>
    <w:rsid w:val="00DA3E73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6C55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5660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CC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106"/>
    <w:rsid w:val="00EB044B"/>
    <w:rsid w:val="00EB067C"/>
    <w:rsid w:val="00EB3C66"/>
    <w:rsid w:val="00EB4B03"/>
    <w:rsid w:val="00EB5DEE"/>
    <w:rsid w:val="00EB64CB"/>
    <w:rsid w:val="00EB6D46"/>
    <w:rsid w:val="00EB6E47"/>
    <w:rsid w:val="00EC07F3"/>
    <w:rsid w:val="00EC3194"/>
    <w:rsid w:val="00EC518D"/>
    <w:rsid w:val="00EC71D3"/>
    <w:rsid w:val="00ED02FE"/>
    <w:rsid w:val="00ED072F"/>
    <w:rsid w:val="00ED1EC9"/>
    <w:rsid w:val="00ED3737"/>
    <w:rsid w:val="00ED3856"/>
    <w:rsid w:val="00ED3E2E"/>
    <w:rsid w:val="00ED4CC8"/>
    <w:rsid w:val="00ED6A08"/>
    <w:rsid w:val="00EE05EE"/>
    <w:rsid w:val="00EE0AE2"/>
    <w:rsid w:val="00EE2A0C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177A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1255"/>
    <w:rsid w:val="00FE31C6"/>
    <w:rsid w:val="00FE49A3"/>
    <w:rsid w:val="00FE4A65"/>
    <w:rsid w:val="00FE51E8"/>
    <w:rsid w:val="00FE602F"/>
    <w:rsid w:val="00FE7611"/>
    <w:rsid w:val="00FE76B3"/>
    <w:rsid w:val="00FF0769"/>
    <w:rsid w:val="00FF0DB8"/>
    <w:rsid w:val="00FF1A76"/>
    <w:rsid w:val="00FF1C1D"/>
    <w:rsid w:val="00FF3330"/>
    <w:rsid w:val="00FF3F62"/>
    <w:rsid w:val="00FF4080"/>
    <w:rsid w:val="00FF40A5"/>
    <w:rsid w:val="00FF48DA"/>
    <w:rsid w:val="00FF5E19"/>
    <w:rsid w:val="00FF61AD"/>
    <w:rsid w:val="00FF76BD"/>
    <w:rsid w:val="118335AB"/>
    <w:rsid w:val="141B0E1D"/>
    <w:rsid w:val="304246EF"/>
    <w:rsid w:val="3A3B1F51"/>
    <w:rsid w:val="5B4E7BC1"/>
    <w:rsid w:val="5E8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uiPriority w:val="0"/>
    <w:rPr>
      <w:sz w:val="24"/>
    </w:rPr>
  </w:style>
  <w:style w:type="paragraph" w:styleId="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uiPriority w:val="0"/>
    <w:rPr>
      <w:sz w:val="18"/>
      <w:szCs w:val="18"/>
    </w:rPr>
  </w:style>
  <w:style w:type="paragraph" w:styleId="13">
    <w:name w:val="footer"/>
    <w:basedOn w:val="1"/>
    <w:link w:val="34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4">
    <w:name w:val="header"/>
    <w:basedOn w:val="1"/>
    <w:link w:val="26"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5">
    <w:name w:val="toc 1"/>
    <w:basedOn w:val="1"/>
    <w:next w:val="1"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uiPriority w:val="0"/>
    <w:rPr>
      <w:b/>
      <w:bCs/>
    </w:rPr>
  </w:style>
  <w:style w:type="table" w:styleId="20">
    <w:name w:val="Table Grid"/>
    <w:basedOn w:val="19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99"/>
    <w:rPr>
      <w:color w:val="0000FF"/>
      <w:u w:val="single"/>
    </w:rPr>
  </w:style>
  <w:style w:type="character" w:styleId="24">
    <w:name w:val="annotation reference"/>
    <w:semiHidden/>
    <w:uiPriority w:val="0"/>
    <w:rPr>
      <w:sz w:val="21"/>
      <w:szCs w:val="21"/>
    </w:rPr>
  </w:style>
  <w:style w:type="paragraph" w:customStyle="1" w:styleId="25">
    <w:name w:val="Table"/>
    <w:basedOn w:val="1"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Char2"/>
    <w:link w:val="14"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Char"/>
    <w:link w:val="6"/>
    <w:semiHidden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Char"/>
    <w:link w:val="13"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uiPriority w:val="0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character" w:customStyle="1" w:styleId="42">
    <w:name w:val="ordinary-span-edit2"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Char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2852</Characters>
  <Lines>23</Lines>
  <Paragraphs>6</Paragraphs>
  <TotalTime>1</TotalTime>
  <ScaleCrop>false</ScaleCrop>
  <LinksUpToDate>false</LinksUpToDate>
  <CharactersWithSpaces>3346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2021-03-29T02:35:00Z</dcterms:created>
  <dc:creator>Lilly</dc:creator>
  <cp:lastModifiedBy>汪洋</cp:lastModifiedBy>
  <cp:lastPrinted>2021-04-12T06:15:00Z</cp:lastPrinted>
  <dcterms:modified xsi:type="dcterms:W3CDTF">2022-04-07T02:40:26Z</dcterms:modified>
  <dc:title>生效期：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