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227223"/>
      <w:bookmarkStart w:id="1" w:name="_Toc484532399"/>
      <w:bookmarkStart w:id="2" w:name="_Toc483400307"/>
      <w:bookmarkStart w:id="3" w:name="_Toc482717189"/>
      <w:bookmarkStart w:id="4" w:name="_Toc483666358"/>
    </w:p>
    <w:bookmarkEnd w:id="0"/>
    <w:bookmarkEnd w:id="1"/>
    <w:bookmarkEnd w:id="2"/>
    <w:bookmarkEnd w:id="3"/>
    <w:bookmarkEnd w:id="4"/>
    <w:p>
      <w:pPr>
        <w:spacing w:after="158" w:afterLines="50"/>
        <w:jc w:val="both"/>
        <w:rPr>
          <w:sz w:val="21"/>
          <w:szCs w:val="21"/>
          <w:lang w:eastAsia="zh-CN"/>
        </w:rPr>
      </w:pPr>
      <w:permStart w:id="0" w:edGrp="everyone"/>
      <w:permEnd w:id="0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1" w:edGrp="everyone"/>
      <w:r>
        <w:rPr>
          <w:rFonts w:hint="eastAsia"/>
          <w:b/>
          <w:sz w:val="28"/>
          <w:szCs w:val="28"/>
          <w:lang w:eastAsia="zh-CN"/>
        </w:rPr>
        <w:t>9</w:t>
      </w:r>
      <w:r>
        <w:rPr>
          <w:b/>
          <w:sz w:val="28"/>
          <w:szCs w:val="28"/>
          <w:lang w:eastAsia="zh-CN"/>
        </w:rPr>
        <w:t>6</w:t>
      </w:r>
      <w:r>
        <w:rPr>
          <w:rFonts w:hint="eastAsia"/>
          <w:b/>
          <w:sz w:val="28"/>
          <w:szCs w:val="28"/>
          <w:lang w:eastAsia="zh-CN"/>
        </w:rPr>
        <w:t>通道电动移液器</w:t>
      </w:r>
      <w:permEnd w:id="1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</w:p>
    <w:p>
      <w:pPr>
        <w:pStyle w:val="34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</w:p>
    <w:p>
      <w:pPr>
        <w:pStyle w:val="34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bookmarkStart w:id="47" w:name="_GoBack"/>
      <w:bookmarkEnd w:id="47"/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4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4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4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4"/>
          <w:rFonts w:hint="eastAsia"/>
          <w:lang w:val="en-US" w:eastAsia="zh-CN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4"/>
          <w:rFonts w:hint="eastAsia"/>
          <w:lang w:val="en-US" w:eastAsia="zh-CN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4"/>
          <w:rFonts w:hint="eastAsia"/>
          <w:lang w:val="en-US" w:eastAsia="zh-CN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4"/>
          <w:rFonts w:hint="eastAsia"/>
          <w:lang w:val="en-US" w:eastAsia="zh-CN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4"/>
          <w:rFonts w:hint="eastAsia"/>
          <w:lang w:val="en-US" w:eastAsia="zh-CN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4"/>
          <w:rFonts w:hint="eastAsia"/>
          <w:lang w:val="en-US" w:eastAsia="zh-CN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4"/>
        </w:rPr>
        <w:t>1</w:t>
      </w:r>
      <w:r>
        <w:rPr>
          <w:rStyle w:val="24"/>
          <w:rFonts w:hint="eastAsia"/>
          <w:lang w:val="en-US" w:eastAsia="zh-CN"/>
        </w:rPr>
        <w:t>0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4"/>
        </w:rPr>
        <w:t>1</w:t>
      </w:r>
      <w:r>
        <w:rPr>
          <w:rStyle w:val="24"/>
          <w:rFonts w:hint="eastAsia"/>
          <w:lang w:val="en-US" w:eastAsia="zh-CN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lang w:val="en-US" w:eastAsia="zh-CN"/>
        </w:rPr>
        <w:br w:type="page"/>
      </w: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757"/>
      <w:bookmarkStart w:id="8" w:name="_Toc482359936"/>
      <w:bookmarkStart w:id="9" w:name="_Toc482370349"/>
      <w:bookmarkStart w:id="10" w:name="_Toc482369805"/>
      <w:bookmarkStart w:id="11" w:name="_Toc482625279"/>
      <w:bookmarkStart w:id="12" w:name="_Toc482360281"/>
      <w:bookmarkStart w:id="13" w:name="_Toc482370141"/>
      <w:bookmarkStart w:id="14" w:name="_Toc482370061"/>
      <w:bookmarkStart w:id="15" w:name="_Toc48170247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 w:ascii="宋体" w:hAnsi="宋体"/>
          <w:color w:val="000000" w:themeColor="text1"/>
          <w:szCs w:val="24"/>
          <w:lang w:eastAsia="zh-CN"/>
        </w:rPr>
        <w:t>细菌类疫苗研究室9</w:t>
      </w:r>
      <w:r>
        <w:rPr>
          <w:rFonts w:ascii="宋体" w:hAnsi="宋体"/>
          <w:color w:val="000000" w:themeColor="text1"/>
          <w:szCs w:val="24"/>
          <w:lang w:eastAsia="zh-CN"/>
        </w:rPr>
        <w:t>6</w:t>
      </w:r>
      <w:r>
        <w:rPr>
          <w:rFonts w:hint="eastAsia" w:ascii="宋体" w:hAnsi="宋体"/>
          <w:color w:val="000000" w:themeColor="text1"/>
          <w:szCs w:val="24"/>
          <w:lang w:eastAsia="zh-CN"/>
        </w:rPr>
        <w:t>通道电动移液器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2"/>
        <w:spacing w:before="0"/>
        <w:ind w:left="360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52271611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color w:val="000000" w:themeColor="text1"/>
          <w:szCs w:val="21"/>
          <w:lang w:eastAsia="zh-CN"/>
        </w:rPr>
        <w:t>细菌类疫苗研究室</w:t>
      </w:r>
      <w:r>
        <w:rPr>
          <w:rFonts w:hint="eastAsia" w:ascii="宋体" w:hAnsi="宋体"/>
          <w:color w:val="000000" w:themeColor="text1"/>
          <w:szCs w:val="24"/>
          <w:lang w:eastAsia="zh-CN"/>
        </w:rPr>
        <w:t>9</w:t>
      </w:r>
      <w:r>
        <w:rPr>
          <w:rFonts w:ascii="宋体" w:hAnsi="宋体"/>
          <w:color w:val="000000" w:themeColor="text1"/>
          <w:szCs w:val="24"/>
          <w:lang w:eastAsia="zh-CN"/>
        </w:rPr>
        <w:t>6</w:t>
      </w:r>
      <w:r>
        <w:rPr>
          <w:rFonts w:hint="eastAsia" w:ascii="宋体" w:hAnsi="宋体"/>
          <w:color w:val="000000" w:themeColor="text1"/>
          <w:szCs w:val="24"/>
          <w:lang w:eastAsia="zh-CN"/>
        </w:rPr>
        <w:t>通道电动移液器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 w:themeColor="text1"/>
          <w:szCs w:val="21"/>
          <w:lang w:eastAsia="zh-CN"/>
        </w:rPr>
      </w:pPr>
      <w:permStart w:id="5" w:edGrp="everyone"/>
      <w:r>
        <w:rPr>
          <w:rFonts w:hint="eastAsia"/>
          <w:color w:val="000000" w:themeColor="text1"/>
          <w:szCs w:val="21"/>
          <w:lang w:eastAsia="zh-CN"/>
        </w:rPr>
        <w:t>《</w:t>
      </w:r>
      <w:r>
        <w:rPr>
          <w:color w:val="000000" w:themeColor="text1"/>
          <w:szCs w:val="21"/>
          <w:lang w:eastAsia="zh-CN"/>
        </w:rPr>
        <w:t>中国药典</w:t>
      </w:r>
      <w:r>
        <w:rPr>
          <w:rFonts w:hint="eastAsia"/>
          <w:color w:val="000000" w:themeColor="text1"/>
          <w:szCs w:val="21"/>
          <w:lang w:eastAsia="zh-CN"/>
        </w:rPr>
        <w:t>》</w:t>
      </w:r>
      <w:r>
        <w:rPr>
          <w:color w:val="000000" w:themeColor="text1"/>
          <w:szCs w:val="21"/>
        </w:rPr>
        <w:t>2020年版</w:t>
      </w:r>
    </w:p>
    <w:permEnd w:id="5"/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2"/>
        <w:spacing w:before="0" w:line="360" w:lineRule="auto"/>
        <w:ind w:left="777"/>
        <w:jc w:val="left"/>
        <w:rPr>
          <w:color w:val="000000" w:themeColor="text1"/>
          <w:szCs w:val="21"/>
          <w:lang w:eastAsia="zh-CN"/>
        </w:rPr>
      </w:pPr>
      <w:permStart w:id="6" w:edGrp="everyone"/>
      <w:r>
        <w:rPr>
          <w:rFonts w:hint="eastAsia"/>
          <w:color w:val="000000" w:themeColor="text1"/>
          <w:szCs w:val="21"/>
          <w:lang w:eastAsia="zh-CN"/>
        </w:rPr>
        <w:t>N/A</w:t>
      </w:r>
    </w:p>
    <w:p>
      <w:pPr>
        <w:pStyle w:val="42"/>
        <w:spacing w:before="0" w:line="360" w:lineRule="auto"/>
        <w:jc w:val="left"/>
        <w:rPr>
          <w:color w:val="000000" w:themeColor="text1"/>
          <w:szCs w:val="21"/>
          <w:lang w:eastAsia="zh-CN"/>
        </w:rPr>
      </w:pPr>
    </w:p>
    <w:permEnd w:id="6"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9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7" w:edGrp="everyone"/>
      <w:r>
        <w:rPr>
          <w:rFonts w:hint="eastAsia"/>
          <w:iCs/>
          <w:color w:val="000000"/>
          <w:szCs w:val="21"/>
          <w:lang w:eastAsia="zh-CN"/>
        </w:rPr>
        <w:t>综合楼A区二楼细胞间需购买1台9</w:t>
      </w:r>
      <w:r>
        <w:rPr>
          <w:iCs/>
          <w:color w:val="000000"/>
          <w:szCs w:val="21"/>
          <w:lang w:eastAsia="zh-CN"/>
        </w:rPr>
        <w:t>6</w:t>
      </w:r>
      <w:r>
        <w:rPr>
          <w:rFonts w:hint="eastAsia"/>
          <w:iCs/>
          <w:color w:val="000000"/>
          <w:szCs w:val="21"/>
          <w:lang w:eastAsia="zh-CN"/>
        </w:rPr>
        <w:t>通道电动移液器用于血清检测。</w:t>
      </w:r>
      <w:permEnd w:id="7"/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8" w:edGrp="everyone"/>
      <w:permEnd w:id="8"/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综合楼A区二楼实验室1。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不应超过使用桌面尺寸，长度：</w:t>
            </w:r>
            <w:r>
              <w:rPr>
                <w:szCs w:val="21"/>
                <w:lang w:eastAsia="zh-CN"/>
              </w:rPr>
              <w:t>100cm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szCs w:val="21"/>
                <w:lang w:eastAsia="zh-CN"/>
              </w:rPr>
              <w:t>宽度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szCs w:val="21"/>
                <w:lang w:eastAsia="zh-CN"/>
              </w:rPr>
              <w:t>75cm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val="en-US" w:eastAsia="zh-CN"/>
              </w:rPr>
            </w:pPr>
            <w:r>
              <w:rPr>
                <w:color w:val="000000" w:themeColor="text1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ind w:left="993"/>
              <w:rPr>
                <w:szCs w:val="21"/>
              </w:rPr>
            </w:pPr>
            <w:permStart w:id="1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ind w:left="993"/>
              <w:rPr>
                <w:szCs w:val="21"/>
                <w:lang w:eastAsia="zh-CN"/>
              </w:rPr>
            </w:pPr>
            <w:permStart w:id="1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工作环境温度：能适应10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>～37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>环境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</w:t>
            </w:r>
            <w:r>
              <w:rPr>
                <w:rStyle w:val="25"/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至少包括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eastAsia="zh-CN"/>
              </w:rPr>
              <w:t>5%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</w:t>
            </w:r>
            <w:r>
              <w:rPr>
                <w:rFonts w:hint="eastAsia"/>
                <w:lang w:eastAsia="zh-CN"/>
              </w:rPr>
              <w:t>：普通区域。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交</w:t>
            </w:r>
            <w:r>
              <w:rPr>
                <w:color w:val="000000" w:themeColor="text1"/>
                <w:lang w:eastAsia="zh-CN"/>
              </w:rPr>
              <w:t>流电电源：～220±10%V，50±1Hz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设备外观应端正、整齐，不得有明显的偏歪、毛刺和锈蚀等缺陷。仪器材质为抗腐蚀、抗紫外材质，方便消毒，可以直接放置在生物安全柜内使用；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标识：</w:t>
            </w:r>
            <w:r>
              <w:rPr>
                <w:color w:val="000000" w:themeColor="text1"/>
                <w:szCs w:val="21"/>
                <w:lang w:eastAsia="zh-CN"/>
              </w:rPr>
              <w:t>至少应有以下永久贴牢和清楚易认的标识：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szCs w:val="21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（</w:t>
            </w:r>
            <w:r>
              <w:rPr>
                <w:color w:val="000000" w:themeColor="text1"/>
                <w:sz w:val="21"/>
                <w:szCs w:val="21"/>
                <w:lang w:eastAsia="zh-CN"/>
              </w:rPr>
              <w:t>6</w:t>
            </w:r>
            <w:r>
              <w:rPr>
                <w:color w:val="000000" w:themeColor="text1"/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8"/>
    </w:tbl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p>
      <w:pPr>
        <w:pStyle w:val="42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permEnd w:id="19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兼具手持助力模式和全自动两种操作模式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支持96孔板到96孔板之间的样品转移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支持全自动的进行96孔板到96孔板之间到样品转移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支持</w:t>
            </w:r>
            <w:r>
              <w:rPr>
                <w:rFonts w:hint="eastAsia" w:ascii="宋体" w:hAnsi="宋体"/>
                <w:szCs w:val="21"/>
                <w:lang w:eastAsia="zh-CN"/>
              </w:rPr>
              <w:t>多种移液功能：移液、移液/混合、重复分液、变量吸液/分液、梯度稀释等；</w:t>
            </w:r>
            <w:r>
              <w:rPr>
                <w:rFonts w:eastAsiaTheme="minorEastAsia"/>
                <w:color w:val="000000" w:themeColor="text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支持梯度稀释选配不同的配件可以进行列稀释或行稀释；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兼容市面上所有品牌的96孔深孔或浅孔板，5种以上的孔板托盘配件可供选择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支持多档吸放液速度可调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支持电动装/卸Tip枪头设计，且每个Tip头正确安装，并在同一水平线上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支持多种可选量程，如0.5-12.5ul、2-50ul、5-125ul、10-300ul、50-1250ul；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选用量程范围在10-300ul时，准确度为±1.2%、精确度≤</w:t>
            </w:r>
            <w:r>
              <w:rPr>
                <w:rFonts w:ascii="宋体" w:hAnsi="宋体"/>
                <w:szCs w:val="21"/>
                <w:lang w:eastAsia="zh-CN"/>
              </w:rPr>
              <w:t>0.8</w:t>
            </w:r>
            <w:r>
              <w:rPr>
                <w:rFonts w:hint="eastAsia" w:ascii="宋体" w:hAnsi="宋体"/>
                <w:szCs w:val="21"/>
                <w:lang w:eastAsia="zh-CN"/>
              </w:rPr>
              <w:t>%，最小步进为0.5ul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17"/>
              <w:shd w:val="clear" w:color="auto" w:fill="FFFFFF"/>
              <w:spacing w:before="0" w:beforeAutospacing="0" w:after="0" w:afterAutospacing="0"/>
              <w:rPr>
                <w:rFonts w:cs="Times New Roman"/>
                <w:sz w:val="21"/>
                <w:szCs w:val="21"/>
                <w:lang w:val="en-GB"/>
              </w:rPr>
            </w:pPr>
            <w:r>
              <w:rPr>
                <w:rFonts w:hint="eastAsia" w:cs="Times New Roman"/>
                <w:sz w:val="21"/>
                <w:szCs w:val="21"/>
                <w:lang w:val="en-GB"/>
              </w:rPr>
              <w:t>具有扩展量程功能，5-125ul可扩展为2-</w:t>
            </w:r>
            <w:r>
              <w:rPr>
                <w:rFonts w:cs="Times New Roman"/>
                <w:sz w:val="21"/>
                <w:szCs w:val="21"/>
                <w:lang w:val="en-GB"/>
              </w:rPr>
              <w:t>125ul</w:t>
            </w:r>
            <w:r>
              <w:rPr>
                <w:rFonts w:hint="eastAsia" w:cs="Times New Roman"/>
                <w:sz w:val="21"/>
                <w:szCs w:val="21"/>
                <w:lang w:val="en-GB"/>
              </w:rPr>
              <w:t>；10-</w:t>
            </w:r>
            <w:r>
              <w:rPr>
                <w:rFonts w:cs="Times New Roman"/>
                <w:sz w:val="21"/>
                <w:szCs w:val="21"/>
                <w:lang w:val="en-GB"/>
              </w:rPr>
              <w:t>300ul可扩展为</w:t>
            </w:r>
            <w:r>
              <w:rPr>
                <w:rFonts w:hint="eastAsia" w:cs="Times New Roman"/>
                <w:sz w:val="21"/>
                <w:szCs w:val="21"/>
                <w:lang w:val="en-GB"/>
              </w:rPr>
              <w:t>5-</w:t>
            </w:r>
            <w:r>
              <w:rPr>
                <w:rFonts w:cs="Times New Roman"/>
                <w:sz w:val="21"/>
                <w:szCs w:val="21"/>
                <w:lang w:val="en-GB"/>
              </w:rPr>
              <w:t>310ul</w:t>
            </w:r>
            <w:r>
              <w:rPr>
                <w:rFonts w:hint="eastAsia" w:cs="Times New Roman"/>
                <w:sz w:val="21"/>
                <w:szCs w:val="21"/>
                <w:lang w:val="en-GB"/>
              </w:rPr>
              <w:t>；50-12</w:t>
            </w:r>
            <w:r>
              <w:rPr>
                <w:rFonts w:cs="Times New Roman"/>
                <w:sz w:val="21"/>
                <w:szCs w:val="21"/>
                <w:lang w:val="en-GB"/>
              </w:rPr>
              <w:t>50ul可扩展为</w:t>
            </w:r>
            <w:r>
              <w:rPr>
                <w:rFonts w:hint="eastAsia" w:cs="Times New Roman"/>
                <w:sz w:val="21"/>
                <w:szCs w:val="21"/>
                <w:lang w:val="en-GB"/>
              </w:rPr>
              <w:t>25-</w:t>
            </w:r>
            <w:r>
              <w:rPr>
                <w:rFonts w:cs="Times New Roman"/>
                <w:sz w:val="21"/>
                <w:szCs w:val="21"/>
                <w:lang w:val="en-GB"/>
              </w:rPr>
              <w:t>1250ul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支持全彩显示屏显示操作程序；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支持自定义的程序功能，可以储存</w:t>
            </w:r>
            <w:r>
              <w:rPr>
                <w:rFonts w:ascii="宋体" w:hAnsi="宋体"/>
                <w:szCs w:val="21"/>
                <w:lang w:eastAsia="zh-CN"/>
              </w:rPr>
              <w:t>40</w:t>
            </w:r>
            <w:r>
              <w:rPr>
                <w:rFonts w:hint="eastAsia" w:ascii="宋体" w:hAnsi="宋体"/>
                <w:szCs w:val="21"/>
                <w:lang w:eastAsia="zh-CN"/>
              </w:rPr>
              <w:t>个程序及操作步骤；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带有声音提示功能，液体排空或程序结束时可提示操作者；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带有LED照明灯，方便观察液面情况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24"/>
    </w:tbl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70359"/>
      <w:bookmarkStart w:id="30" w:name="_Toc482625289"/>
      <w:bookmarkStart w:id="31" w:name="_Toc482370767"/>
      <w:bookmarkStart w:id="32" w:name="_Toc481702480"/>
      <w:bookmarkStart w:id="33" w:name="_Toc482370151"/>
      <w:bookmarkStart w:id="34" w:name="_Toc482360291"/>
      <w:bookmarkStart w:id="35" w:name="_Toc483227237"/>
      <w:bookmarkStart w:id="36" w:name="_Toc482717202"/>
      <w:bookmarkStart w:id="37" w:name="_Toc482370071"/>
      <w:bookmarkStart w:id="38" w:name="_Toc482359946"/>
      <w:bookmarkStart w:id="39" w:name="_Toc483400317"/>
      <w:bookmarkStart w:id="40" w:name="_Toc482369815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42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5" w:edGrp="everyone"/>
    </w:p>
    <w:permEnd w:id="25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ind w:left="993"/>
              <w:rPr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="158" w:afterLines="50"/>
        <w:rPr>
          <w:b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8" w:edGrp="everyone"/>
    </w:p>
    <w:p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ermEnd w:id="28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rPr>
                <w:rFonts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系统良好接地。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p>
      <w:pPr>
        <w:pStyle w:val="42"/>
        <w:spacing w:before="0" w:line="360" w:lineRule="auto"/>
        <w:jc w:val="left"/>
        <w:rPr>
          <w:i/>
          <w:szCs w:val="21"/>
          <w:lang w:eastAsia="zh-CN"/>
        </w:rPr>
      </w:pPr>
      <w:permStart w:id="31" w:edGrp="everyone"/>
    </w:p>
    <w:permEnd w:id="31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投标文件、合同及订单。（设备开箱验收）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卖方发运清单及相关检验报告。（设备开箱验收）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设计选型文件：设备详细的设计说明、功能说明、配置说明与清单</w:t>
            </w:r>
            <w:r>
              <w:rPr>
                <w:rFonts w:hAnsi="宋体"/>
                <w:color w:val="000000"/>
                <w:szCs w:val="21"/>
                <w:lang w:eastAsia="zh-CN"/>
              </w:rPr>
              <w:t>等</w:t>
            </w:r>
            <w:r>
              <w:rPr>
                <w:color w:val="000000"/>
                <w:szCs w:val="21"/>
                <w:lang w:eastAsia="zh-CN"/>
              </w:rPr>
              <w:t>。（</w:t>
            </w:r>
            <w:r>
              <w:rPr>
                <w:rFonts w:hAnsi="宋体"/>
                <w:color w:val="000000"/>
                <w:szCs w:val="21"/>
                <w:lang w:eastAsia="zh-CN"/>
              </w:rPr>
              <w:t>设备开箱验收</w:t>
            </w:r>
            <w:r>
              <w:rPr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Ansi="宋体"/>
                <w:szCs w:val="21"/>
                <w:lang w:eastAsia="zh-CN"/>
              </w:rPr>
              <w:t>组件、</w:t>
            </w:r>
            <w:r>
              <w:rPr>
                <w:rFonts w:hAnsi="宋体"/>
                <w:color w:val="000000"/>
                <w:szCs w:val="21"/>
                <w:lang w:eastAsia="zh-CN"/>
              </w:rPr>
              <w:t>备件及仪器仪表清单：包括编号、对应厂家名称、生产地、规格及必要说明。（设备开箱验收）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设备厂家文件：出厂测试合格证、相关检测报告、各种标示。</w:t>
            </w:r>
            <w:r>
              <w:rPr>
                <w:rFonts w:hAnsi="宋体"/>
                <w:color w:val="000000"/>
                <w:szCs w:val="21"/>
                <w:lang w:eastAsia="zh-CN"/>
              </w:rPr>
              <w:t>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设备交付计划表。（设备开箱验收）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材料清单及材料证书（写明材料有效期），</w:t>
            </w:r>
            <w:r>
              <w:rPr>
                <w:rFonts w:hAnsi="宋体"/>
                <w:szCs w:val="21"/>
                <w:lang w:eastAsia="zh-CN"/>
              </w:rPr>
              <w:t>设备到厂验收时有效期不得少于</w:t>
            </w:r>
            <w:r>
              <w:rPr>
                <w:szCs w:val="21"/>
                <w:lang w:eastAsia="zh-CN"/>
              </w:rPr>
              <w:t>6</w:t>
            </w:r>
            <w:r>
              <w:rPr>
                <w:rFonts w:hAnsi="宋体"/>
                <w:szCs w:val="21"/>
                <w:lang w:eastAsia="zh-CN"/>
              </w:rPr>
              <w:t>个月。</w:t>
            </w:r>
            <w:r>
              <w:rPr>
                <w:szCs w:val="21"/>
                <w:u w:color="333333"/>
                <w:lang w:eastAsia="zh-CN"/>
              </w:rPr>
              <w:t>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设备组装图纸。（设备开箱验收）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操作手册及维护手册及关键组建寿命说明。（设备开箱验收）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所有说明书在开箱时验收并提供电子版。（设备开箱验收）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p>
      <w:pPr>
        <w:pStyle w:val="42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4" w:edGrp="everyone"/>
    </w:p>
    <w:permEnd w:id="34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 w:themeColor="text1"/>
                <w:szCs w:val="21"/>
                <w:lang w:eastAsia="zh-CN"/>
              </w:rPr>
              <w:t>知识</w:t>
            </w:r>
            <w:r>
              <w:rPr>
                <w:color w:val="000000" w:themeColor="text1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N/A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Style w:val="25"/>
                <w:rFonts w:hint="eastAsia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设备质保期为3年，3年内免费保修，3年后应提供良好的售后服务。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Style w:val="25"/>
                <w:rFonts w:hint="eastAsia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</w:tbl>
    <w:p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permStart w:id="44" w:edGrp="everyone"/>
      <w:r>
        <w:rPr>
          <w:rFonts w:hint="eastAsia"/>
          <w:szCs w:val="21"/>
          <w:lang w:eastAsia="zh-CN"/>
        </w:rPr>
        <w:t>N/A</w:t>
      </w:r>
      <w:permEnd w:id="44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141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07D73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4BB7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637"/>
    <w:rsid w:val="00086CA0"/>
    <w:rsid w:val="00087002"/>
    <w:rsid w:val="00087BAC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6884"/>
    <w:rsid w:val="000C7137"/>
    <w:rsid w:val="000D112B"/>
    <w:rsid w:val="000D1A79"/>
    <w:rsid w:val="000D3B24"/>
    <w:rsid w:val="000D43C9"/>
    <w:rsid w:val="000D517D"/>
    <w:rsid w:val="000D5328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5B30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443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4E8F"/>
    <w:rsid w:val="001D5549"/>
    <w:rsid w:val="001E0338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40E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67C4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82"/>
    <w:rsid w:val="002178C5"/>
    <w:rsid w:val="00220757"/>
    <w:rsid w:val="00221F02"/>
    <w:rsid w:val="00222993"/>
    <w:rsid w:val="00223661"/>
    <w:rsid w:val="00224129"/>
    <w:rsid w:val="00224278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47DB9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B7346"/>
    <w:rsid w:val="002C1817"/>
    <w:rsid w:val="002C1DAB"/>
    <w:rsid w:val="002C4FCF"/>
    <w:rsid w:val="002C527C"/>
    <w:rsid w:val="002D0253"/>
    <w:rsid w:val="002D03CD"/>
    <w:rsid w:val="002D2477"/>
    <w:rsid w:val="002D2AAB"/>
    <w:rsid w:val="002D2D97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37B35"/>
    <w:rsid w:val="00341AC5"/>
    <w:rsid w:val="00341B2F"/>
    <w:rsid w:val="00342915"/>
    <w:rsid w:val="00344B04"/>
    <w:rsid w:val="00345847"/>
    <w:rsid w:val="0034590E"/>
    <w:rsid w:val="00347576"/>
    <w:rsid w:val="00347772"/>
    <w:rsid w:val="00347A51"/>
    <w:rsid w:val="00347B19"/>
    <w:rsid w:val="00350A0E"/>
    <w:rsid w:val="003531FA"/>
    <w:rsid w:val="0035416F"/>
    <w:rsid w:val="003549FE"/>
    <w:rsid w:val="00355AAC"/>
    <w:rsid w:val="00355D7D"/>
    <w:rsid w:val="00356A25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4F8F"/>
    <w:rsid w:val="003A6DFE"/>
    <w:rsid w:val="003A6FCD"/>
    <w:rsid w:val="003A7001"/>
    <w:rsid w:val="003B096A"/>
    <w:rsid w:val="003B0B6A"/>
    <w:rsid w:val="003B1238"/>
    <w:rsid w:val="003B1FF2"/>
    <w:rsid w:val="003B2104"/>
    <w:rsid w:val="003B312E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0C8A"/>
    <w:rsid w:val="003C558E"/>
    <w:rsid w:val="003C6ECF"/>
    <w:rsid w:val="003C73BC"/>
    <w:rsid w:val="003D2243"/>
    <w:rsid w:val="003D3C09"/>
    <w:rsid w:val="003D464A"/>
    <w:rsid w:val="003D473C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26"/>
    <w:rsid w:val="00432568"/>
    <w:rsid w:val="00436C7C"/>
    <w:rsid w:val="00437440"/>
    <w:rsid w:val="00440378"/>
    <w:rsid w:val="00442B53"/>
    <w:rsid w:val="00443256"/>
    <w:rsid w:val="00444D2D"/>
    <w:rsid w:val="004456EF"/>
    <w:rsid w:val="004510B1"/>
    <w:rsid w:val="00451C5D"/>
    <w:rsid w:val="00451D74"/>
    <w:rsid w:val="00452E73"/>
    <w:rsid w:val="004565EF"/>
    <w:rsid w:val="00457D31"/>
    <w:rsid w:val="00457FF9"/>
    <w:rsid w:val="004601ED"/>
    <w:rsid w:val="00460711"/>
    <w:rsid w:val="0046108B"/>
    <w:rsid w:val="00467AE6"/>
    <w:rsid w:val="00467EC9"/>
    <w:rsid w:val="00474386"/>
    <w:rsid w:val="00477791"/>
    <w:rsid w:val="00480286"/>
    <w:rsid w:val="00480C3B"/>
    <w:rsid w:val="00480FE3"/>
    <w:rsid w:val="00481C94"/>
    <w:rsid w:val="00484A8D"/>
    <w:rsid w:val="00484BBE"/>
    <w:rsid w:val="00486A4E"/>
    <w:rsid w:val="00486B09"/>
    <w:rsid w:val="0049139F"/>
    <w:rsid w:val="00494F07"/>
    <w:rsid w:val="00496116"/>
    <w:rsid w:val="004965A0"/>
    <w:rsid w:val="00497335"/>
    <w:rsid w:val="004A05A7"/>
    <w:rsid w:val="004A1F6F"/>
    <w:rsid w:val="004A3F98"/>
    <w:rsid w:val="004A5532"/>
    <w:rsid w:val="004A5958"/>
    <w:rsid w:val="004A76DF"/>
    <w:rsid w:val="004B0A75"/>
    <w:rsid w:val="004B2190"/>
    <w:rsid w:val="004B5F43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24C6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6A3D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589"/>
    <w:rsid w:val="00517A5D"/>
    <w:rsid w:val="00517E1E"/>
    <w:rsid w:val="005217E8"/>
    <w:rsid w:val="0052200F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0244"/>
    <w:rsid w:val="00551539"/>
    <w:rsid w:val="00552EFE"/>
    <w:rsid w:val="00554ABB"/>
    <w:rsid w:val="0055552D"/>
    <w:rsid w:val="00555668"/>
    <w:rsid w:val="00555DF5"/>
    <w:rsid w:val="0055679E"/>
    <w:rsid w:val="0056090D"/>
    <w:rsid w:val="00561E9C"/>
    <w:rsid w:val="0056392A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51A1"/>
    <w:rsid w:val="005A529E"/>
    <w:rsid w:val="005A6821"/>
    <w:rsid w:val="005B2393"/>
    <w:rsid w:val="005B750A"/>
    <w:rsid w:val="005C2B89"/>
    <w:rsid w:val="005C2FA7"/>
    <w:rsid w:val="005C386F"/>
    <w:rsid w:val="005C42AC"/>
    <w:rsid w:val="005C4BE9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5F7D71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78A1"/>
    <w:rsid w:val="00680BE8"/>
    <w:rsid w:val="00686409"/>
    <w:rsid w:val="00686D19"/>
    <w:rsid w:val="0068777F"/>
    <w:rsid w:val="00693018"/>
    <w:rsid w:val="006A0059"/>
    <w:rsid w:val="006A0E12"/>
    <w:rsid w:val="006A3FB0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05D6"/>
    <w:rsid w:val="006F229A"/>
    <w:rsid w:val="006F3BB9"/>
    <w:rsid w:val="006F46D2"/>
    <w:rsid w:val="006F4AA6"/>
    <w:rsid w:val="007007FA"/>
    <w:rsid w:val="00702B88"/>
    <w:rsid w:val="0070304F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3E43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4746F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87B05"/>
    <w:rsid w:val="007913D3"/>
    <w:rsid w:val="00797419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AFC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7F5EEC"/>
    <w:rsid w:val="00800AFD"/>
    <w:rsid w:val="00800C1B"/>
    <w:rsid w:val="0080239D"/>
    <w:rsid w:val="00803CF3"/>
    <w:rsid w:val="00806EAB"/>
    <w:rsid w:val="00810E4F"/>
    <w:rsid w:val="00810E52"/>
    <w:rsid w:val="00811CA7"/>
    <w:rsid w:val="0081636E"/>
    <w:rsid w:val="0082112E"/>
    <w:rsid w:val="00822F2B"/>
    <w:rsid w:val="00823D9A"/>
    <w:rsid w:val="008270B5"/>
    <w:rsid w:val="00827EA4"/>
    <w:rsid w:val="008301D6"/>
    <w:rsid w:val="008305B7"/>
    <w:rsid w:val="00830C78"/>
    <w:rsid w:val="00830FB9"/>
    <w:rsid w:val="0083255F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51D4"/>
    <w:rsid w:val="008571DD"/>
    <w:rsid w:val="0085772E"/>
    <w:rsid w:val="00860344"/>
    <w:rsid w:val="00860E2C"/>
    <w:rsid w:val="008622BE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A35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3E8C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26ED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32F6"/>
    <w:rsid w:val="00964A78"/>
    <w:rsid w:val="009656B4"/>
    <w:rsid w:val="00966CA0"/>
    <w:rsid w:val="00966D74"/>
    <w:rsid w:val="00967F9D"/>
    <w:rsid w:val="00970275"/>
    <w:rsid w:val="00970ABF"/>
    <w:rsid w:val="00970BE9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1A0"/>
    <w:rsid w:val="009848CB"/>
    <w:rsid w:val="00984D10"/>
    <w:rsid w:val="0098600B"/>
    <w:rsid w:val="009861C1"/>
    <w:rsid w:val="00987177"/>
    <w:rsid w:val="00987F11"/>
    <w:rsid w:val="0099058D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06EC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36F"/>
    <w:rsid w:val="009F5FD0"/>
    <w:rsid w:val="009F6DD5"/>
    <w:rsid w:val="009F7B12"/>
    <w:rsid w:val="00A020A2"/>
    <w:rsid w:val="00A0297B"/>
    <w:rsid w:val="00A0358E"/>
    <w:rsid w:val="00A049F9"/>
    <w:rsid w:val="00A0529B"/>
    <w:rsid w:val="00A07226"/>
    <w:rsid w:val="00A0766F"/>
    <w:rsid w:val="00A07BE2"/>
    <w:rsid w:val="00A10713"/>
    <w:rsid w:val="00A1252C"/>
    <w:rsid w:val="00A13B8B"/>
    <w:rsid w:val="00A151B7"/>
    <w:rsid w:val="00A21225"/>
    <w:rsid w:val="00A2139C"/>
    <w:rsid w:val="00A218F9"/>
    <w:rsid w:val="00A21DD6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2368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64A2"/>
    <w:rsid w:val="00AA73FD"/>
    <w:rsid w:val="00AB2F87"/>
    <w:rsid w:val="00AB32C3"/>
    <w:rsid w:val="00AB407B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4A88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61F9"/>
    <w:rsid w:val="00B06F8F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45631"/>
    <w:rsid w:val="00B503CD"/>
    <w:rsid w:val="00B548AB"/>
    <w:rsid w:val="00B54BBE"/>
    <w:rsid w:val="00B553F8"/>
    <w:rsid w:val="00B560B6"/>
    <w:rsid w:val="00B5630E"/>
    <w:rsid w:val="00B60906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3966"/>
    <w:rsid w:val="00B9422D"/>
    <w:rsid w:val="00B95A1D"/>
    <w:rsid w:val="00B9634B"/>
    <w:rsid w:val="00BA0F83"/>
    <w:rsid w:val="00BA5072"/>
    <w:rsid w:val="00BA5B65"/>
    <w:rsid w:val="00BA7BFE"/>
    <w:rsid w:val="00BB0ECA"/>
    <w:rsid w:val="00BB246B"/>
    <w:rsid w:val="00BB4F49"/>
    <w:rsid w:val="00BB60F7"/>
    <w:rsid w:val="00BB6B2D"/>
    <w:rsid w:val="00BB7235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688B"/>
    <w:rsid w:val="00BE7ECD"/>
    <w:rsid w:val="00BF1682"/>
    <w:rsid w:val="00BF241A"/>
    <w:rsid w:val="00BF352E"/>
    <w:rsid w:val="00BF3AFB"/>
    <w:rsid w:val="00BF3DD2"/>
    <w:rsid w:val="00BF4344"/>
    <w:rsid w:val="00BF6970"/>
    <w:rsid w:val="00BF69C6"/>
    <w:rsid w:val="00C005D8"/>
    <w:rsid w:val="00C00BBE"/>
    <w:rsid w:val="00C02F31"/>
    <w:rsid w:val="00C04DA5"/>
    <w:rsid w:val="00C050FC"/>
    <w:rsid w:val="00C05D40"/>
    <w:rsid w:val="00C10D0C"/>
    <w:rsid w:val="00C11905"/>
    <w:rsid w:val="00C14462"/>
    <w:rsid w:val="00C15336"/>
    <w:rsid w:val="00C16542"/>
    <w:rsid w:val="00C16804"/>
    <w:rsid w:val="00C17D2C"/>
    <w:rsid w:val="00C22382"/>
    <w:rsid w:val="00C2355B"/>
    <w:rsid w:val="00C274A6"/>
    <w:rsid w:val="00C3224C"/>
    <w:rsid w:val="00C34201"/>
    <w:rsid w:val="00C35A38"/>
    <w:rsid w:val="00C35EC9"/>
    <w:rsid w:val="00C36807"/>
    <w:rsid w:val="00C37392"/>
    <w:rsid w:val="00C41545"/>
    <w:rsid w:val="00C4209D"/>
    <w:rsid w:val="00C432B3"/>
    <w:rsid w:val="00C43355"/>
    <w:rsid w:val="00C4771E"/>
    <w:rsid w:val="00C47D15"/>
    <w:rsid w:val="00C50279"/>
    <w:rsid w:val="00C505EC"/>
    <w:rsid w:val="00C5165A"/>
    <w:rsid w:val="00C52841"/>
    <w:rsid w:val="00C52FB6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5431"/>
    <w:rsid w:val="00C76481"/>
    <w:rsid w:val="00C76812"/>
    <w:rsid w:val="00C83D88"/>
    <w:rsid w:val="00C84961"/>
    <w:rsid w:val="00C84B06"/>
    <w:rsid w:val="00C87100"/>
    <w:rsid w:val="00C87CAC"/>
    <w:rsid w:val="00C87F45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2210"/>
    <w:rsid w:val="00CC34DB"/>
    <w:rsid w:val="00CC51AC"/>
    <w:rsid w:val="00CC609D"/>
    <w:rsid w:val="00CC7044"/>
    <w:rsid w:val="00CD11FF"/>
    <w:rsid w:val="00CD15E7"/>
    <w:rsid w:val="00CD5E5D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CF7A16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E13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64A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3EC4"/>
    <w:rsid w:val="00DD090A"/>
    <w:rsid w:val="00DD2421"/>
    <w:rsid w:val="00DD3222"/>
    <w:rsid w:val="00DD3D10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42E1"/>
    <w:rsid w:val="00DF6C58"/>
    <w:rsid w:val="00E001C1"/>
    <w:rsid w:val="00E039F3"/>
    <w:rsid w:val="00E03C30"/>
    <w:rsid w:val="00E06585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23FF"/>
    <w:rsid w:val="00E53A9F"/>
    <w:rsid w:val="00E549AF"/>
    <w:rsid w:val="00E5616E"/>
    <w:rsid w:val="00E60540"/>
    <w:rsid w:val="00E60B87"/>
    <w:rsid w:val="00E61C74"/>
    <w:rsid w:val="00E62B16"/>
    <w:rsid w:val="00E63D8F"/>
    <w:rsid w:val="00E65C3A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4CE3"/>
    <w:rsid w:val="00E959EA"/>
    <w:rsid w:val="00E96237"/>
    <w:rsid w:val="00E965D7"/>
    <w:rsid w:val="00E96D30"/>
    <w:rsid w:val="00EA1327"/>
    <w:rsid w:val="00EA2A53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64D1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552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405"/>
    <w:rsid w:val="00FA6D7E"/>
    <w:rsid w:val="00FB020D"/>
    <w:rsid w:val="00FB0312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BDA"/>
    <w:rsid w:val="00FE0D2F"/>
    <w:rsid w:val="00FE23EA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25CD38C9"/>
    <w:rsid w:val="435A2C3A"/>
    <w:rsid w:val="5D0321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4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2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2"/>
    <w:qFormat/>
    <w:uiPriority w:val="0"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2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573</Words>
  <Characters>3267</Characters>
  <Lines>27</Lines>
  <Paragraphs>7</Paragraphs>
  <TotalTime>0</TotalTime>
  <ScaleCrop>false</ScaleCrop>
  <LinksUpToDate>false</LinksUpToDate>
  <CharactersWithSpaces>3833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2020-04-07T05:47:00Z</cp:lastPrinted>
  <dcterms:modified xsi:type="dcterms:W3CDTF">2022-04-07T02:40:03Z</dcterms:modified>
  <dc:title>生效期：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