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8" w:afterLines="50"/>
        <w:jc w:val="both"/>
        <w:rPr>
          <w:sz w:val="21"/>
          <w:szCs w:val="21"/>
          <w:lang w:eastAsia="zh-CN"/>
        </w:rPr>
      </w:pPr>
      <w:permStart w:id="0" w:edGrp="everyone"/>
      <w:permEnd w:id="0"/>
      <w:permStart w:id="1" w:edGrp="everyone"/>
      <w:permEnd w:id="1"/>
    </w:p>
    <w:p>
      <w:pPr>
        <w:spacing w:after="158" w:afterLines="50"/>
        <w:jc w:val="center"/>
        <w:rPr>
          <w:sz w:val="21"/>
          <w:szCs w:val="21"/>
          <w:lang w:val="zh-CN" w:eastAsia="zh-CN"/>
        </w:rPr>
      </w:pPr>
      <w:permStart w:id="2" w:edGrp="everyone"/>
      <w:r>
        <w:rPr>
          <w:rFonts w:hint="eastAsia"/>
          <w:b/>
          <w:sz w:val="28"/>
          <w:szCs w:val="28"/>
          <w:lang w:eastAsia="zh-CN"/>
        </w:rPr>
        <w:t>抗体研究室φ600mm电动层析柱及装柱工作站</w:t>
      </w:r>
      <w:permEnd w:id="2"/>
      <w:r>
        <w:rPr>
          <w:b/>
          <w:sz w:val="28"/>
          <w:szCs w:val="28"/>
          <w:lang w:eastAsia="zh-CN"/>
        </w:rPr>
        <w:t>用户需求说明（URS</w:t>
      </w:r>
      <w:r>
        <w:rPr>
          <w:b/>
          <w:szCs w:val="21"/>
          <w:lang w:eastAsia="zh-CN"/>
        </w:rPr>
        <w:t>）</w:t>
      </w:r>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3" w:edGrp="everyone"/>
    </w:p>
    <w:p>
      <w:pPr>
        <w:pStyle w:val="15"/>
        <w:rPr>
          <w:b w:val="0"/>
          <w:bCs w:val="0"/>
          <w:caps w:val="0"/>
          <w:szCs w:val="22"/>
        </w:rPr>
      </w:pPr>
      <w:r>
        <w:fldChar w:fldCharType="begin"/>
      </w:r>
      <w:r>
        <w:instrText xml:space="preserve"> TOC \o "1-2" \h \z \u </w:instrText>
      </w:r>
      <w:r>
        <w:fldChar w:fldCharType="separate"/>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Fonts w:hint="eastAsia"/>
          <w:lang w:val="en-US" w:eastAsia="zh-CN"/>
        </w:rPr>
        <w:t>4</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Fonts w:hint="eastAsia"/>
          <w:lang w:val="en-US" w:eastAsia="zh-CN"/>
        </w:rPr>
        <w:t>5</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Fonts w:hint="eastAsia"/>
          <w:lang w:val="en-US" w:eastAsia="zh-CN"/>
        </w:rPr>
        <w:t>6</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Fonts w:hint="eastAsia"/>
          <w:lang w:val="en-US" w:eastAsia="zh-CN"/>
        </w:rPr>
        <w:t>7</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Fonts w:hint="eastAsia"/>
          <w:lang w:val="en-US" w:eastAsia="zh-CN"/>
        </w:rPr>
        <w:t>8</w:t>
      </w:r>
      <w:r>
        <w:rPr>
          <w:b w:val="0"/>
          <w:bCs w:val="0"/>
          <w:caps w:val="0"/>
          <w:szCs w:val="22"/>
        </w:rPr>
        <w:tab/>
      </w:r>
      <w:r>
        <w:rPr>
          <w:rStyle w:val="23"/>
        </w:rPr>
        <w:t>安全要求</w:t>
      </w:r>
      <w:r>
        <w:tab/>
      </w:r>
      <w:r>
        <w:fldChar w:fldCharType="begin"/>
      </w:r>
      <w:r>
        <w:instrText xml:space="preserve"> PAGEREF _Toc522716123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Fonts w:hint="eastAsia"/>
          <w:lang w:val="en-US" w:eastAsia="zh-CN"/>
        </w:rPr>
        <w:t>9</w:t>
      </w:r>
      <w:r>
        <w:rPr>
          <w:b w:val="0"/>
          <w:bCs w:val="0"/>
          <w:caps w:val="0"/>
          <w:szCs w:val="22"/>
        </w:rPr>
        <w:tab/>
      </w:r>
      <w:r>
        <w:rPr>
          <w:rStyle w:val="23"/>
        </w:rPr>
        <w:t>文件要求</w:t>
      </w:r>
      <w:r>
        <w:tab/>
      </w:r>
      <w:r>
        <w:fldChar w:fldCharType="begin"/>
      </w:r>
      <w:r>
        <w:instrText xml:space="preserve"> PAGEREF _Toc522716124 \h </w:instrText>
      </w:r>
      <w:r>
        <w:fldChar w:fldCharType="separate"/>
      </w:r>
      <w:r>
        <w:t>12</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w:t>
      </w:r>
      <w:r>
        <w:rPr>
          <w:rStyle w:val="23"/>
          <w:rFonts w:hint="eastAsia"/>
          <w:lang w:val="en-US" w:eastAsia="zh-CN"/>
        </w:rPr>
        <w:t>0</w:t>
      </w:r>
      <w:r>
        <w:rPr>
          <w:b w:val="0"/>
          <w:bCs w:val="0"/>
          <w:caps w:val="0"/>
          <w:szCs w:val="22"/>
        </w:rPr>
        <w:tab/>
      </w:r>
      <w:r>
        <w:rPr>
          <w:rStyle w:val="23"/>
        </w:rPr>
        <w:t>服务要求</w:t>
      </w:r>
      <w:r>
        <w:tab/>
      </w:r>
      <w:r>
        <w:fldChar w:fldCharType="begin"/>
      </w:r>
      <w:r>
        <w:instrText xml:space="preserve"> PAGEREF _Toc522716125 \h </w:instrText>
      </w:r>
      <w:r>
        <w:fldChar w:fldCharType="separate"/>
      </w:r>
      <w:r>
        <w:t>13</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w:t>
      </w:r>
      <w:r>
        <w:rPr>
          <w:rStyle w:val="23"/>
          <w:rFonts w:hint="eastAsia"/>
          <w:lang w:val="en-US" w:eastAsia="zh-CN"/>
        </w:rPr>
        <w:t>1</w:t>
      </w:r>
      <w:r>
        <w:rPr>
          <w:b w:val="0"/>
          <w:bCs w:val="0"/>
          <w:caps w:val="0"/>
          <w:szCs w:val="22"/>
        </w:rPr>
        <w:tab/>
      </w:r>
      <w:r>
        <w:rPr>
          <w:rStyle w:val="23"/>
        </w:rPr>
        <w:t>附件</w:t>
      </w:r>
      <w:r>
        <w:tab/>
      </w:r>
      <w:r>
        <w:fldChar w:fldCharType="begin"/>
      </w:r>
      <w:r>
        <w:instrText xml:space="preserve"> PAGEREF _Toc522716126 \h </w:instrText>
      </w:r>
      <w:r>
        <w:fldChar w:fldCharType="separate"/>
      </w:r>
      <w:r>
        <w:t>16</w:t>
      </w:r>
      <w:r>
        <w:fldChar w:fldCharType="end"/>
      </w:r>
      <w:r>
        <w:fldChar w:fldCharType="end"/>
      </w:r>
    </w:p>
    <w:p>
      <w:r>
        <w:fldChar w:fldCharType="end"/>
      </w:r>
      <w:permEnd w:id="3"/>
    </w:p>
    <w:p>
      <w:pPr>
        <w:rPr>
          <w:lang w:val="en-US" w:eastAsia="zh-CN"/>
        </w:rPr>
      </w:pPr>
      <w:r>
        <w:rPr>
          <w:lang w:val="en-US" w:eastAsia="zh-CN"/>
        </w:rPr>
        <w:br w:type="page"/>
      </w:r>
      <w:bookmarkStart w:id="0" w:name="_Toc522107734"/>
    </w:p>
    <w:p>
      <w:pPr>
        <w:rPr>
          <w:lang w:val="en-US" w:eastAsia="zh-CN"/>
        </w:rPr>
      </w:pPr>
    </w:p>
    <w:bookmarkEnd w:id="0"/>
    <w:p>
      <w:pPr>
        <w:pStyle w:val="31"/>
        <w:numPr>
          <w:ilvl w:val="0"/>
          <w:numId w:val="3"/>
        </w:numPr>
        <w:spacing w:after="158" w:afterLines="50"/>
        <w:ind w:left="426" w:hanging="426" w:hangingChars="202"/>
        <w:outlineLvl w:val="0"/>
        <w:rPr>
          <w:rFonts w:ascii="Times New Roman" w:hAnsi="Times New Roman"/>
          <w:b/>
        </w:rPr>
      </w:pPr>
      <w:bookmarkStart w:id="1" w:name="_Toc522107735"/>
      <w:bookmarkStart w:id="2" w:name="_Toc522716115"/>
      <w:r>
        <w:rPr>
          <w:rFonts w:ascii="Times New Roman" w:hAnsi="Times New Roman"/>
          <w:b/>
        </w:rPr>
        <w:t>目的</w:t>
      </w:r>
      <w:bookmarkEnd w:id="1"/>
      <w:bookmarkEnd w:id="2"/>
    </w:p>
    <w:p>
      <w:pPr>
        <w:pStyle w:val="41"/>
        <w:spacing w:before="0" w:line="360" w:lineRule="auto"/>
        <w:ind w:left="357"/>
        <w:jc w:val="left"/>
        <w:rPr>
          <w:szCs w:val="21"/>
          <w:lang w:eastAsia="zh-CN"/>
        </w:rPr>
      </w:pPr>
      <w:bookmarkStart w:id="3" w:name="_Toc482370757"/>
      <w:bookmarkStart w:id="4" w:name="_Toc482370061"/>
      <w:bookmarkStart w:id="5" w:name="_Toc481702475"/>
      <w:bookmarkStart w:id="6" w:name="_Toc482370141"/>
      <w:bookmarkStart w:id="7" w:name="_Toc482370349"/>
      <w:bookmarkStart w:id="8" w:name="_Toc482625279"/>
      <w:bookmarkStart w:id="9" w:name="_Toc482359936"/>
      <w:bookmarkStart w:id="10" w:name="_Toc482369805"/>
      <w:bookmarkStart w:id="11" w:name="_Toc482360281"/>
      <w:r>
        <w:rPr>
          <w:szCs w:val="21"/>
          <w:lang w:eastAsia="zh-CN"/>
        </w:rPr>
        <w:t>本文件的目的是描述武汉生物制品研究所有限责任公司</w:t>
      </w:r>
      <w:permStart w:id="4" w:edGrp="everyone"/>
      <w:r>
        <w:rPr>
          <w:rFonts w:hint="eastAsia"/>
          <w:color w:val="000000"/>
          <w:szCs w:val="21"/>
          <w:lang w:eastAsia="zh-CN"/>
        </w:rPr>
        <w:t>抗体研究室</w:t>
      </w:r>
      <w:r>
        <w:rPr>
          <w:color w:val="000000"/>
          <w:szCs w:val="21"/>
          <w:lang w:eastAsia="zh-CN"/>
        </w:rPr>
        <w:t>1000L生</w:t>
      </w:r>
      <w:r>
        <w:rPr>
          <w:rFonts w:hint="eastAsia"/>
          <w:color w:val="000000"/>
          <w:szCs w:val="21"/>
          <w:lang w:eastAsia="zh-CN"/>
        </w:rPr>
        <w:t>产线</w:t>
      </w:r>
      <w:r>
        <w:rPr>
          <w:rFonts w:hint="eastAsia"/>
          <w:color w:val="000000"/>
          <w:szCs w:val="21"/>
          <w:lang w:val="en-GB"/>
        </w:rPr>
        <w:t>φ</w:t>
      </w:r>
      <w:r>
        <w:rPr>
          <w:rFonts w:hint="eastAsia"/>
          <w:color w:val="000000"/>
          <w:szCs w:val="21"/>
          <w:lang w:eastAsia="zh-CN"/>
        </w:rPr>
        <w:t>60</w:t>
      </w:r>
      <w:r>
        <w:rPr>
          <w:rFonts w:hint="eastAsia"/>
          <w:color w:val="000000"/>
          <w:szCs w:val="21"/>
          <w:lang w:val="en-GB" w:eastAsia="zh-CN"/>
        </w:rPr>
        <w:t>0mm电动层析柱</w:t>
      </w:r>
      <w:r>
        <w:rPr>
          <w:rFonts w:hint="eastAsia"/>
          <w:color w:val="000000"/>
          <w:szCs w:val="21"/>
          <w:lang w:eastAsia="zh-CN"/>
        </w:rPr>
        <w:t>及装柱工作站</w:t>
      </w:r>
      <w:permEnd w:id="4"/>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2" w:name="_Toc522107736"/>
      <w:bookmarkStart w:id="13" w:name="_Toc522716116"/>
      <w:r>
        <w:rPr>
          <w:rFonts w:ascii="Times New Roman" w:hAnsi="Times New Roman"/>
          <w:b/>
        </w:rPr>
        <w:t>范围</w:t>
      </w:r>
      <w:bookmarkEnd w:id="12"/>
      <w:bookmarkEnd w:id="13"/>
    </w:p>
    <w:p>
      <w:pPr>
        <w:pStyle w:val="41"/>
        <w:spacing w:before="0" w:line="360" w:lineRule="auto"/>
        <w:ind w:left="357"/>
        <w:jc w:val="left"/>
        <w:rPr>
          <w:szCs w:val="21"/>
          <w:lang w:eastAsia="zh-CN"/>
        </w:rPr>
      </w:pPr>
      <w:r>
        <w:rPr>
          <w:szCs w:val="21"/>
          <w:lang w:eastAsia="zh-CN"/>
        </w:rPr>
        <w:t>本URS适用于武汉生物制品研究所有限责任公司</w:t>
      </w:r>
      <w:permStart w:id="5" w:edGrp="everyone"/>
      <w:r>
        <w:rPr>
          <w:rFonts w:hint="eastAsia"/>
          <w:color w:val="000000"/>
          <w:szCs w:val="21"/>
          <w:lang w:eastAsia="zh-CN"/>
        </w:rPr>
        <w:t>抗体研究室</w:t>
      </w:r>
      <w:r>
        <w:rPr>
          <w:color w:val="000000"/>
          <w:szCs w:val="21"/>
          <w:lang w:eastAsia="zh-CN"/>
        </w:rPr>
        <w:t>1000L生</w:t>
      </w:r>
      <w:r>
        <w:rPr>
          <w:rFonts w:hint="eastAsia"/>
          <w:color w:val="000000"/>
          <w:szCs w:val="21"/>
          <w:lang w:eastAsia="zh-CN"/>
        </w:rPr>
        <w:t>产线</w:t>
      </w:r>
      <w:r>
        <w:rPr>
          <w:rFonts w:hint="eastAsia"/>
          <w:color w:val="000000"/>
          <w:szCs w:val="21"/>
          <w:lang w:val="en-GB"/>
        </w:rPr>
        <w:t>φ</w:t>
      </w:r>
      <w:r>
        <w:rPr>
          <w:rFonts w:hint="eastAsia"/>
          <w:color w:val="000000"/>
          <w:szCs w:val="21"/>
          <w:lang w:val="en-GB" w:eastAsia="zh-CN"/>
        </w:rPr>
        <w:t>600mm电动层析柱</w:t>
      </w:r>
      <w:r>
        <w:rPr>
          <w:rFonts w:hint="eastAsia"/>
          <w:color w:val="000000"/>
          <w:szCs w:val="21"/>
          <w:lang w:eastAsia="zh-CN"/>
        </w:rPr>
        <w:t>及装柱工作站</w:t>
      </w:r>
      <w:permEnd w:id="5"/>
      <w:r>
        <w:rPr>
          <w:szCs w:val="21"/>
          <w:lang w:eastAsia="zh-CN"/>
        </w:rPr>
        <w:t>。</w:t>
      </w:r>
      <w:bookmarkEnd w:id="3"/>
      <w:bookmarkEnd w:id="4"/>
      <w:bookmarkEnd w:id="5"/>
      <w:bookmarkEnd w:id="6"/>
      <w:bookmarkEnd w:id="7"/>
      <w:bookmarkEnd w:id="8"/>
      <w:bookmarkEnd w:id="9"/>
      <w:bookmarkEnd w:id="10"/>
      <w:bookmarkEnd w:id="11"/>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4" w:name="_Toc522107737"/>
      <w:bookmarkStart w:id="15" w:name="_Toc522716117"/>
      <w:r>
        <w:rPr>
          <w:rFonts w:ascii="Times New Roman" w:hAnsi="Times New Roman"/>
          <w:b/>
        </w:rPr>
        <w:t>参考文件</w:t>
      </w:r>
      <w:bookmarkEnd w:id="14"/>
      <w:bookmarkEnd w:id="15"/>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《药品生产质量管理规范》（现行版）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欧盟药品法规第</w:t>
      </w:r>
      <w:r>
        <w:rPr>
          <w:color w:val="000000"/>
          <w:szCs w:val="21"/>
          <w:lang w:eastAsia="zh-CN"/>
        </w:rPr>
        <w:t xml:space="preserve"> 4 </w:t>
      </w:r>
      <w:r>
        <w:rPr>
          <w:rFonts w:hint="eastAsia"/>
          <w:color w:val="000000"/>
          <w:szCs w:val="21"/>
          <w:lang w:eastAsia="zh-CN"/>
        </w:rPr>
        <w:t>卷</w:t>
      </w:r>
      <w:r>
        <w:rPr>
          <w:color w:val="000000"/>
          <w:szCs w:val="21"/>
          <w:lang w:eastAsia="zh-CN"/>
        </w:rPr>
        <w:t xml:space="preserve"> GMP</w:t>
      </w:r>
      <w:r>
        <w:rPr>
          <w:rFonts w:hint="eastAsia"/>
          <w:color w:val="000000"/>
          <w:szCs w:val="21"/>
          <w:lang w:eastAsia="zh-CN"/>
        </w:rPr>
        <w:t>（人用和兽用药品）现行版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美国联邦法规第</w:t>
      </w:r>
      <w:r>
        <w:rPr>
          <w:color w:val="000000"/>
          <w:szCs w:val="21"/>
          <w:lang w:eastAsia="zh-CN"/>
        </w:rPr>
        <w:t xml:space="preserve"> 21 </w:t>
      </w:r>
      <w:r>
        <w:rPr>
          <w:rFonts w:hint="eastAsia"/>
          <w:color w:val="000000"/>
          <w:szCs w:val="21"/>
          <w:lang w:eastAsia="zh-CN"/>
        </w:rPr>
        <w:t>条食品和药品</w:t>
      </w:r>
      <w:r>
        <w:rPr>
          <w:color w:val="000000"/>
          <w:szCs w:val="21"/>
          <w:lang w:eastAsia="zh-CN"/>
        </w:rPr>
        <w:t xml:space="preserve"> FDA CFR21 CFR Part 11</w:t>
      </w:r>
    </w:p>
    <w:permEnd w:id="6"/>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7" w:edGrp="everyone"/>
      <w:r>
        <w:rPr>
          <w:color w:val="000000"/>
          <w:szCs w:val="21"/>
          <w:lang w:eastAsia="zh-CN"/>
        </w:rPr>
        <w:t xml:space="preserve">GB19517-2009 </w:t>
      </w:r>
      <w:r>
        <w:rPr>
          <w:rFonts w:hint="eastAsia"/>
          <w:color w:val="000000"/>
          <w:szCs w:val="21"/>
          <w:lang w:eastAsia="zh-CN"/>
        </w:rPr>
        <w:t>国家电气设备安全技术规范；</w:t>
      </w:r>
    </w:p>
    <w:p>
      <w:pPr>
        <w:pStyle w:val="41"/>
        <w:numPr>
          <w:ilvl w:val="0"/>
          <w:numId w:val="5"/>
        </w:numPr>
        <w:spacing w:before="0" w:line="360" w:lineRule="auto"/>
        <w:ind w:left="777"/>
        <w:jc w:val="left"/>
        <w:rPr>
          <w:color w:val="000000"/>
          <w:szCs w:val="21"/>
          <w:lang w:eastAsia="zh-CN"/>
        </w:rPr>
      </w:pPr>
      <w:r>
        <w:rPr>
          <w:color w:val="000000"/>
          <w:szCs w:val="21"/>
          <w:lang w:eastAsia="zh-CN"/>
        </w:rPr>
        <w:t xml:space="preserve">GB52261-2002 </w:t>
      </w:r>
      <w:r>
        <w:rPr>
          <w:rFonts w:hint="eastAsia"/>
          <w:color w:val="000000"/>
          <w:szCs w:val="21"/>
          <w:lang w:eastAsia="zh-CN"/>
        </w:rPr>
        <w:t>机械安全机械电气设备第一部分：通用技术条件；</w:t>
      </w:r>
    </w:p>
    <w:p>
      <w:pPr>
        <w:pStyle w:val="41"/>
        <w:numPr>
          <w:ilvl w:val="0"/>
          <w:numId w:val="5"/>
        </w:numPr>
        <w:spacing w:before="0" w:line="360" w:lineRule="auto"/>
        <w:ind w:left="777"/>
        <w:jc w:val="left"/>
        <w:rPr>
          <w:color w:val="000000"/>
          <w:szCs w:val="21"/>
          <w:lang w:eastAsia="zh-CN"/>
        </w:rPr>
      </w:pPr>
      <w:r>
        <w:rPr>
          <w:color w:val="000000"/>
          <w:szCs w:val="21"/>
          <w:lang w:eastAsia="zh-CN"/>
        </w:rPr>
        <w:t xml:space="preserve">GB8196-2003 </w:t>
      </w:r>
      <w:r>
        <w:rPr>
          <w:rFonts w:hint="eastAsia"/>
          <w:color w:val="000000"/>
          <w:szCs w:val="21"/>
          <w:lang w:eastAsia="zh-CN"/>
        </w:rPr>
        <w:t>机械设计防护罩安全要求；</w:t>
      </w:r>
    </w:p>
    <w:p>
      <w:pPr>
        <w:pStyle w:val="41"/>
        <w:numPr>
          <w:ilvl w:val="0"/>
          <w:numId w:val="5"/>
        </w:numPr>
        <w:spacing w:before="0" w:line="360" w:lineRule="auto"/>
        <w:ind w:left="777"/>
        <w:jc w:val="left"/>
        <w:rPr>
          <w:color w:val="000000"/>
          <w:szCs w:val="21"/>
          <w:lang w:eastAsia="zh-CN"/>
        </w:rPr>
      </w:pPr>
      <w:r>
        <w:rPr>
          <w:color w:val="000000"/>
          <w:szCs w:val="21"/>
          <w:lang w:eastAsia="zh-CN"/>
        </w:rPr>
        <w:t xml:space="preserve">GB12265-2000 </w:t>
      </w:r>
      <w:r>
        <w:rPr>
          <w:rFonts w:hint="eastAsia"/>
          <w:color w:val="000000"/>
          <w:szCs w:val="21"/>
          <w:lang w:eastAsia="zh-CN"/>
        </w:rPr>
        <w:t>机械防护安全要求。</w:t>
      </w:r>
    </w:p>
    <w:p>
      <w:pPr>
        <w:spacing w:line="360" w:lineRule="auto"/>
        <w:rPr>
          <w:color w:val="000000"/>
          <w:szCs w:val="21"/>
          <w:lang w:eastAsia="zh-CN"/>
        </w:rPr>
      </w:pPr>
      <w:r>
        <w:rPr>
          <w:rFonts w:hint="eastAsia"/>
          <w:color w:val="000000"/>
          <w:szCs w:val="21"/>
          <w:lang w:eastAsia="zh-CN"/>
        </w:rPr>
        <w:t xml:space="preserve">       3.3 其他要求</w:t>
      </w:r>
    </w:p>
    <w:p>
      <w:pPr>
        <w:pStyle w:val="31"/>
        <w:numPr>
          <w:ilvl w:val="0"/>
          <w:numId w:val="6"/>
        </w:numPr>
        <w:spacing w:line="360" w:lineRule="auto"/>
        <w:ind w:firstLineChars="0"/>
        <w:rPr>
          <w:rFonts w:ascii="Times New Roman" w:hAnsi="Times New Roman"/>
          <w:color w:val="000000"/>
          <w:szCs w:val="21"/>
        </w:rPr>
      </w:pPr>
      <w:r>
        <w:rPr>
          <w:rFonts w:ascii="Times New Roman" w:hAnsi="Times New Roman"/>
          <w:color w:val="000000"/>
          <w:szCs w:val="21"/>
        </w:rPr>
        <w:t>GB50316-2000 工业金属管道设计规范；</w:t>
      </w:r>
    </w:p>
    <w:p>
      <w:pPr>
        <w:pStyle w:val="31"/>
        <w:numPr>
          <w:ilvl w:val="0"/>
          <w:numId w:val="6"/>
        </w:numPr>
        <w:spacing w:line="360" w:lineRule="auto"/>
        <w:ind w:firstLineChars="0"/>
        <w:rPr>
          <w:rFonts w:ascii="Times New Roman" w:hAnsi="Times New Roman"/>
          <w:color w:val="000000"/>
          <w:szCs w:val="21"/>
        </w:rPr>
      </w:pPr>
      <w:r>
        <w:rPr>
          <w:rFonts w:ascii="Times New Roman" w:hAnsi="Times New Roman"/>
          <w:bCs/>
          <w:color w:val="000000" w:themeColor="text1"/>
          <w:szCs w:val="21"/>
        </w:rPr>
        <w:t>GB50184-2011 工业金属管道工程质量验收规范；</w:t>
      </w:r>
    </w:p>
    <w:p>
      <w:pPr>
        <w:pStyle w:val="31"/>
        <w:numPr>
          <w:ilvl w:val="0"/>
          <w:numId w:val="6"/>
        </w:numPr>
        <w:spacing w:line="360" w:lineRule="auto"/>
        <w:ind w:firstLineChars="0"/>
        <w:rPr>
          <w:rFonts w:ascii="Times New Roman" w:hAnsi="Times New Roman"/>
          <w:szCs w:val="21"/>
        </w:rPr>
      </w:pPr>
      <w:r>
        <w:rPr>
          <w:rFonts w:ascii="Times New Roman" w:hAnsi="Times New Roman"/>
          <w:szCs w:val="21"/>
        </w:rPr>
        <w:t>TJ36-1979 工业企业设计卫生标准；</w:t>
      </w:r>
    </w:p>
    <w:p>
      <w:pPr>
        <w:pStyle w:val="31"/>
        <w:numPr>
          <w:ilvl w:val="0"/>
          <w:numId w:val="6"/>
        </w:numPr>
        <w:spacing w:line="460" w:lineRule="atLeast"/>
        <w:ind w:firstLineChars="0"/>
        <w:rPr>
          <w:rFonts w:ascii="Times New Roman" w:hAnsi="Times New Roman"/>
          <w:szCs w:val="21"/>
        </w:rPr>
      </w:pPr>
      <w:r>
        <w:rPr>
          <w:rFonts w:ascii="Times New Roman" w:hAnsi="Times New Roman"/>
          <w:szCs w:val="21"/>
        </w:rPr>
        <w:t>GAMP5 国际制药工程协会生产自动化规范；</w:t>
      </w:r>
    </w:p>
    <w:p>
      <w:pPr>
        <w:pStyle w:val="31"/>
        <w:numPr>
          <w:ilvl w:val="0"/>
          <w:numId w:val="6"/>
        </w:numPr>
        <w:spacing w:line="460" w:lineRule="atLeast"/>
        <w:ind w:firstLineChars="0"/>
        <w:rPr>
          <w:rFonts w:ascii="Times New Roman" w:hAnsi="Times New Roman"/>
          <w:bCs/>
          <w:color w:val="000000" w:themeColor="text1"/>
          <w:szCs w:val="21"/>
        </w:rPr>
      </w:pPr>
      <w:r>
        <w:rPr>
          <w:rFonts w:ascii="Times New Roman" w:hAnsi="Times New Roman"/>
          <w:bCs/>
          <w:color w:val="000000" w:themeColor="text1"/>
          <w:szCs w:val="21"/>
        </w:rPr>
        <w:t>IEC 61010-1 第3版；</w:t>
      </w:r>
    </w:p>
    <w:p>
      <w:pPr>
        <w:pStyle w:val="31"/>
        <w:numPr>
          <w:ilvl w:val="0"/>
          <w:numId w:val="6"/>
        </w:numPr>
        <w:spacing w:line="460" w:lineRule="atLeast"/>
        <w:ind w:firstLineChars="0"/>
        <w:rPr>
          <w:rFonts w:ascii="Times New Roman" w:hAnsi="Times New Roman"/>
          <w:bCs/>
          <w:color w:val="000000" w:themeColor="text1"/>
          <w:szCs w:val="21"/>
        </w:rPr>
      </w:pPr>
      <w:r>
        <w:rPr>
          <w:rFonts w:ascii="Times New Roman" w:hAnsi="Times New Roman"/>
          <w:bCs/>
          <w:color w:val="000000" w:themeColor="text1"/>
          <w:szCs w:val="21"/>
        </w:rPr>
        <w:t>美国机械工程协会生物加工设备指导性规范 ASME BPE-2014；</w:t>
      </w:r>
    </w:p>
    <w:p>
      <w:pPr>
        <w:pStyle w:val="31"/>
        <w:numPr>
          <w:ilvl w:val="0"/>
          <w:numId w:val="6"/>
        </w:numPr>
        <w:spacing w:line="460" w:lineRule="atLeast"/>
        <w:ind w:firstLineChars="0"/>
        <w:rPr>
          <w:color w:val="000000" w:themeColor="text1"/>
          <w:szCs w:val="21"/>
        </w:rPr>
      </w:pPr>
      <w:r>
        <w:rPr>
          <w:rFonts w:ascii="Times New Roman" w:hAnsi="Times New Roman"/>
          <w:bCs/>
          <w:color w:val="000000" w:themeColor="text1"/>
          <w:szCs w:val="21"/>
        </w:rPr>
        <w:t>软件标准：PLC 编程符合 IEC-1131 标准；自控系统符合 GAMP，第 5 版</w:t>
      </w:r>
      <w:r>
        <w:rPr>
          <w:bCs/>
          <w:color w:val="000000" w:themeColor="text1"/>
          <w:szCs w:val="21"/>
        </w:rPr>
        <w:t>。</w:t>
      </w:r>
    </w:p>
    <w:permEnd w:id="7"/>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8" w:edGrp="everyone"/>
      <w:permEnd w:id="8"/>
      <w:bookmarkStart w:id="16" w:name="_Toc522107739"/>
      <w:bookmarkStart w:id="17" w:name="_Toc522716119"/>
      <w:bookmarkStart w:id="49" w:name="_GoBack"/>
      <w:bookmarkEnd w:id="49"/>
      <w:r>
        <w:rPr>
          <w:rFonts w:ascii="Times New Roman" w:hAnsi="Times New Roman"/>
          <w:b/>
        </w:rPr>
        <w:t>系统描述</w:t>
      </w:r>
      <w:bookmarkEnd w:id="16"/>
      <w:bookmarkEnd w:id="17"/>
    </w:p>
    <w:p>
      <w:pPr>
        <w:spacing w:line="360" w:lineRule="auto"/>
        <w:rPr>
          <w:color w:val="000000" w:themeColor="text1"/>
          <w:szCs w:val="21"/>
          <w:lang w:eastAsia="zh-CN"/>
        </w:rPr>
      </w:pPr>
      <w:permStart w:id="9" w:edGrp="everyone"/>
      <w:r>
        <w:rPr>
          <w:rFonts w:hint="eastAsia"/>
          <w:color w:val="000000" w:themeColor="text1"/>
          <w:szCs w:val="21"/>
          <w:lang w:eastAsia="zh-CN"/>
        </w:rPr>
        <w:t>抗体研究室需购买1根</w:t>
      </w:r>
      <w:r>
        <w:rPr>
          <w:color w:val="000000" w:themeColor="text1"/>
          <w:szCs w:val="21"/>
          <w:lang w:eastAsia="zh-CN"/>
        </w:rPr>
        <w:t>“</w:t>
      </w:r>
      <w:r>
        <w:rPr>
          <w:color w:val="000000" w:themeColor="text1"/>
          <w:szCs w:val="21"/>
        </w:rPr>
        <w:t>φ</w:t>
      </w:r>
      <w:r>
        <w:rPr>
          <w:rFonts w:hint="eastAsia"/>
          <w:color w:val="000000" w:themeColor="text1"/>
          <w:szCs w:val="21"/>
          <w:lang w:eastAsia="zh-CN"/>
        </w:rPr>
        <w:t>60</w:t>
      </w:r>
      <w:r>
        <w:rPr>
          <w:color w:val="000000" w:themeColor="text1"/>
          <w:szCs w:val="21"/>
          <w:lang w:eastAsia="zh-CN"/>
        </w:rPr>
        <w:t>0mm</w:t>
      </w:r>
      <w:r>
        <w:rPr>
          <w:rFonts w:hint="eastAsia"/>
          <w:color w:val="000000" w:themeColor="text1"/>
          <w:szCs w:val="21"/>
          <w:lang w:eastAsia="zh-CN"/>
        </w:rPr>
        <w:t>电动层析柱</w:t>
      </w:r>
      <w:r>
        <w:rPr>
          <w:color w:val="000000" w:themeColor="text1"/>
          <w:szCs w:val="21"/>
          <w:lang w:eastAsia="zh-CN"/>
        </w:rPr>
        <w:t>”</w:t>
      </w:r>
      <w:r>
        <w:rPr>
          <w:rFonts w:hint="eastAsia"/>
          <w:color w:val="000000" w:themeColor="text1"/>
          <w:szCs w:val="21"/>
          <w:lang w:eastAsia="zh-CN"/>
        </w:rPr>
        <w:t>，</w:t>
      </w:r>
      <w:r>
        <w:rPr>
          <w:rFonts w:hint="eastAsia"/>
          <w:color w:val="000000" w:themeColor="text1"/>
          <w:szCs w:val="21"/>
          <w:lang w:val="en-US" w:eastAsia="zh-CN"/>
        </w:rPr>
        <w:t>以及装柱工作站，</w:t>
      </w:r>
      <w:r>
        <w:rPr>
          <w:rFonts w:hint="eastAsia"/>
          <w:color w:val="000000" w:themeColor="text1"/>
          <w:szCs w:val="21"/>
          <w:lang w:eastAsia="zh-CN"/>
        </w:rPr>
        <w:t>用于满足</w:t>
      </w:r>
      <w:r>
        <w:rPr>
          <w:color w:val="000000" w:themeColor="text1"/>
          <w:szCs w:val="21"/>
          <w:lang w:eastAsia="zh-CN"/>
        </w:rPr>
        <w:t>1000L</w:t>
      </w:r>
      <w:r>
        <w:rPr>
          <w:rFonts w:hint="eastAsia"/>
          <w:color w:val="000000" w:themeColor="text1"/>
          <w:szCs w:val="21"/>
          <w:lang w:eastAsia="zh-CN"/>
        </w:rPr>
        <w:t>单抗生产线阳离子交换层析纯化步骤需要。</w:t>
      </w:r>
    </w:p>
    <w:permEnd w:id="9"/>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18" w:name="_Toc522716120"/>
      <w:r>
        <w:rPr>
          <w:rFonts w:ascii="Times New Roman" w:hAnsi="Times New Roman"/>
          <w:b/>
          <w:szCs w:val="21"/>
        </w:rPr>
        <w:t>安装要求</w:t>
      </w:r>
      <w:bookmarkEnd w:id="18"/>
    </w:p>
    <w:p>
      <w:pPr>
        <w:pStyle w:val="31"/>
        <w:spacing w:after="158" w:afterLines="50"/>
        <w:ind w:left="425" w:firstLine="0" w:firstLineChars="0"/>
        <w:rPr>
          <w:rFonts w:ascii="Times New Roman" w:hAnsi="Times New Roman"/>
          <w:szCs w:val="21"/>
        </w:rPr>
      </w:pPr>
      <w:permStart w:id="10" w:edGrp="everyone"/>
      <w:permEnd w:id="10"/>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19" w:name="OLE_LINK2"/>
            <w:bookmarkStart w:id="20"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eastAsia="zh-CN"/>
              </w:rPr>
            </w:pPr>
            <w:r>
              <w:rPr>
                <w:szCs w:val="21"/>
                <w:lang w:eastAsia="zh-CN"/>
              </w:rPr>
              <w:t>抗体车间纯化间。</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rPr>
                <w:szCs w:val="21"/>
                <w:lang w:eastAsia="zh-CN"/>
              </w:rPr>
            </w:pPr>
            <w:r>
              <w:rPr>
                <w:szCs w:val="21"/>
                <w:lang w:eastAsia="zh-CN"/>
              </w:rPr>
              <w:t>设备放置间尺寸为长宽高</w:t>
            </w:r>
            <w:r>
              <w:rPr>
                <w:rFonts w:hint="eastAsia"/>
                <w:szCs w:val="21"/>
                <w:lang w:val="en-US" w:eastAsia="zh-CN"/>
              </w:rPr>
              <w:t>18.3m  × 7.3m × 3m。</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460" w:lineRule="atLeast"/>
              <w:rPr>
                <w:color w:val="000000" w:themeColor="text1"/>
                <w:szCs w:val="21"/>
                <w:lang w:eastAsia="zh-CN"/>
              </w:rPr>
            </w:pPr>
            <w:r>
              <w:rPr>
                <w:rFonts w:hint="eastAsia"/>
                <w:color w:val="000000" w:themeColor="text1"/>
                <w:szCs w:val="21"/>
                <w:lang w:eastAsia="zh-CN"/>
              </w:rPr>
              <w:t>其重量不超出房间地面（</w:t>
            </w:r>
            <w:r>
              <w:rPr>
                <w:color w:val="000000" w:themeColor="text1"/>
                <w:szCs w:val="21"/>
                <w:lang w:eastAsia="zh-CN"/>
              </w:rPr>
              <w:t>1.2</w:t>
            </w:r>
            <w:r>
              <w:rPr>
                <w:rFonts w:hint="eastAsia"/>
                <w:color w:val="000000" w:themeColor="text1"/>
                <w:szCs w:val="21"/>
                <w:lang w:eastAsia="zh-CN"/>
              </w:rPr>
              <w:t>吨</w:t>
            </w:r>
            <w:r>
              <w:rPr>
                <w:color w:val="000000" w:themeColor="text1"/>
                <w:szCs w:val="21"/>
                <w:lang w:eastAsia="zh-CN"/>
              </w:rPr>
              <w:t>/</w:t>
            </w:r>
            <w:r>
              <w:rPr>
                <w:rFonts w:hint="eastAsia"/>
                <w:color w:val="000000" w:themeColor="text1"/>
                <w:szCs w:val="21"/>
                <w:lang w:eastAsia="zh-CN"/>
              </w:rPr>
              <w:t>平米）承重要求。</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i/>
                <w:szCs w:val="21"/>
                <w:lang w:eastAsia="zh-CN"/>
              </w:rPr>
            </w:pPr>
            <w:r>
              <w:rPr>
                <w:rFonts w:hint="eastAsia"/>
                <w:color w:val="000000" w:themeColor="text1"/>
                <w:szCs w:val="21"/>
                <w:lang w:eastAsia="zh-CN"/>
              </w:rPr>
              <w:t>正压气体</w:t>
            </w:r>
            <w:r>
              <w:rPr>
                <w:rFonts w:hint="eastAsia"/>
                <w:color w:val="000000"/>
                <w:szCs w:val="21"/>
                <w:lang w:eastAsia="zh-CN"/>
              </w:rPr>
              <w:t>：</w:t>
            </w:r>
            <w:r>
              <w:rPr>
                <w:color w:val="000000"/>
                <w:szCs w:val="21"/>
                <w:lang w:eastAsia="zh-CN"/>
              </w:rPr>
              <w:t>≥6 Bar。</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lang w:eastAsia="zh-CN"/>
              </w:rPr>
              <w:t>工作环境温度：能适应</w:t>
            </w:r>
            <w:r>
              <w:rPr>
                <w:rFonts w:hint="eastAsia"/>
                <w:lang w:eastAsia="zh-CN"/>
              </w:rPr>
              <w:t>4</w:t>
            </w:r>
            <w:r>
              <w:rPr>
                <w:rFonts w:hint="eastAsia" w:ascii="宋体" w:hAnsi="宋体" w:cs="宋体"/>
                <w:lang w:eastAsia="zh-CN"/>
              </w:rPr>
              <w:t>℃</w:t>
            </w:r>
            <w:r>
              <w:rPr>
                <w:lang w:eastAsia="zh-CN"/>
              </w:rPr>
              <w:t>～</w:t>
            </w:r>
            <w:r>
              <w:rPr>
                <w:rFonts w:hint="eastAsia"/>
                <w:lang w:eastAsia="zh-CN"/>
              </w:rPr>
              <w:t>40</w:t>
            </w:r>
            <w:r>
              <w:rPr>
                <w:rFonts w:hint="eastAsia" w:ascii="宋体" w:hAnsi="宋体" w:cs="宋体"/>
                <w:lang w:eastAsia="zh-CN"/>
              </w:rPr>
              <w:t>℃</w:t>
            </w:r>
            <w:r>
              <w:rPr>
                <w:lang w:eastAsia="zh-CN"/>
              </w:rPr>
              <w:t>环境 。</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lang w:eastAsia="zh-CN"/>
              </w:rPr>
              <w:t>工作环境湿度：至少包括45%～65%。</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color w:val="000000"/>
                <w:szCs w:val="22"/>
                <w:lang w:eastAsia="zh-CN"/>
              </w:rPr>
              <w:t>： C级</w:t>
            </w:r>
            <w:r>
              <w:rPr>
                <w:color w:val="0070C0"/>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lang w:eastAsia="zh-CN"/>
              </w:rPr>
              <w:t>～220V，50±1Hz或～</w:t>
            </w:r>
            <w:r>
              <w:rPr>
                <w:rFonts w:hint="eastAsia"/>
                <w:lang w:eastAsia="zh-CN"/>
              </w:rPr>
              <w:t>380V，三相五线制。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color w:val="000000" w:themeColor="text1"/>
                <w:szCs w:val="21"/>
                <w:lang w:eastAsia="zh-CN"/>
              </w:rPr>
              <w:t>工作区配置防溅安全电源插座。</w:t>
            </w:r>
          </w:p>
        </w:tc>
        <w:tc>
          <w:tcPr>
            <w:tcW w:w="2125" w:type="dxa"/>
            <w:shd w:val="clear" w:color="auto" w:fill="auto"/>
            <w:vAlign w:val="center"/>
          </w:tcPr>
          <w:p>
            <w:pPr>
              <w:jc w:val="center"/>
              <w:rPr>
                <w:szCs w:val="21"/>
                <w:lang w:eastAsia="zh-CN"/>
              </w:rPr>
            </w:pPr>
            <w:r>
              <w:rPr>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i/>
                <w:color w:val="000000"/>
                <w:lang w:eastAsia="zh-CN"/>
              </w:rPr>
            </w:pPr>
            <w:r>
              <w:rPr>
                <w:rFonts w:hint="eastAsia"/>
                <w:color w:val="000000" w:themeColor="text1"/>
                <w:szCs w:val="21"/>
                <w:lang w:eastAsia="zh-CN"/>
              </w:rPr>
              <w:t>设备外观应端正、整齐，不得有明显的偏歪、毛刺和锈蚀等缺陷。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color w:val="000000" w:themeColor="text1"/>
                <w:szCs w:val="21"/>
                <w:lang w:eastAsia="zh-CN"/>
              </w:rPr>
              <w:t>设备内部表面不得有凹陷、毛刺和锈蚀等缺陷。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color w:val="000000" w:themeColor="text1"/>
                <w:szCs w:val="21"/>
              </w:rPr>
              <w:t>标准配件系统。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19"/>
      <w:bookmarkEnd w:id="20"/>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1" w:name="_Toc522107740"/>
      <w:bookmarkStart w:id="22" w:name="_Toc522716121"/>
      <w:r>
        <w:rPr>
          <w:rFonts w:ascii="Times New Roman" w:hAnsi="Times New Roman"/>
          <w:b/>
        </w:rPr>
        <w:t>运行要求</w:t>
      </w:r>
      <w:bookmarkEnd w:id="21"/>
      <w:bookmarkEnd w:id="22"/>
    </w:p>
    <w:p>
      <w:pPr>
        <w:pStyle w:val="41"/>
        <w:spacing w:before="0" w:line="360" w:lineRule="auto"/>
        <w:ind w:left="357"/>
        <w:jc w:val="left"/>
        <w:rPr>
          <w:bCs/>
          <w:i/>
          <w:color w:val="4472C4"/>
          <w:kern w:val="44"/>
          <w:szCs w:val="21"/>
          <w:lang w:eastAsia="zh-CN"/>
        </w:rPr>
      </w:pPr>
      <w:permStart w:id="21" w:edGrp="everyone"/>
    </w:p>
    <w:permEnd w:id="21"/>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before="63" w:beforeLines="20" w:after="63" w:afterLines="20" w:line="0" w:lineRule="atLeast"/>
              <w:rPr>
                <w:szCs w:val="21"/>
                <w:lang w:eastAsia="zh-CN"/>
              </w:rPr>
            </w:pPr>
            <w:r>
              <w:rPr>
                <w:szCs w:val="21"/>
              </w:rPr>
              <w:t>Φ</w:t>
            </w:r>
            <w:r>
              <w:rPr>
                <w:rFonts w:hint="eastAsia"/>
                <w:szCs w:val="21"/>
                <w:lang w:eastAsia="zh-CN"/>
              </w:rPr>
              <w:t>60</w:t>
            </w:r>
            <w:r>
              <w:rPr>
                <w:szCs w:val="21"/>
                <w:lang w:eastAsia="zh-CN"/>
              </w:rPr>
              <w:t>0mm层析柱采用全自动吸入式装柱方式完成层析介质的装填。</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柱管：管壁材质为透明亚克力，专业进口品牌，提供证明资料；表面无划痕，易于清洁。</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color w:val="FF0000"/>
                <w:szCs w:val="21"/>
                <w:lang w:eastAsia="zh-CN"/>
              </w:rPr>
            </w:pPr>
            <w:r>
              <w:rPr>
                <w:szCs w:val="21"/>
                <w:lang w:eastAsia="zh-CN"/>
              </w:rPr>
              <w:t>液体分配器：上下柱头都有流体分布器，能保证良好的流体分配，专业知名品牌。</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r>
              <w:rPr>
                <w:rFonts w:ascii="Times New Roman" w:hAnsi="Times New Roman"/>
                <w:szCs w:val="21"/>
              </w:rPr>
              <w:t>筛</w:t>
            </w: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筛网：</w:t>
            </w:r>
            <w:r>
              <w:rPr>
                <w:rFonts w:hint="eastAsia"/>
                <w:szCs w:val="21"/>
                <w:lang w:eastAsia="zh-CN"/>
              </w:rPr>
              <w:t>316</w:t>
            </w:r>
            <w:r>
              <w:rPr>
                <w:szCs w:val="21"/>
                <w:lang w:eastAsia="zh-CN"/>
              </w:rPr>
              <w:t>L不锈钢，专业进口品牌。</w:t>
            </w:r>
          </w:p>
        </w:tc>
        <w:tc>
          <w:tcPr>
            <w:tcW w:w="2125" w:type="dxa"/>
            <w:shd w:val="clear" w:color="auto" w:fill="auto"/>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筛板：专业</w:t>
            </w:r>
            <w:r>
              <w:rPr>
                <w:szCs w:val="21"/>
                <w:lang w:eastAsia="zh-CN"/>
              </w:rPr>
              <w:t>进口品牌，提供材质证明，无死角、易清洗。</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lang w:eastAsia="zh-CN"/>
              </w:rPr>
              <w:t>柱头密封圈：</w:t>
            </w:r>
            <w:r>
              <w:rPr>
                <w:szCs w:val="21"/>
                <w:lang w:eastAsia="zh-CN"/>
              </w:rPr>
              <w:t>材质应符合FDA及USP classVI规定，专业品牌；长期使用密封性能良好，无脱落。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r>
              <w:rPr>
                <w:rFonts w:ascii="Times New Roman" w:hAnsi="Times New Roman"/>
                <w:szCs w:val="21"/>
              </w:rPr>
              <w:t>密</w:t>
            </w:r>
          </w:p>
        </w:tc>
        <w:tc>
          <w:tcPr>
            <w:tcW w:w="7128" w:type="dxa"/>
            <w:shd w:val="clear" w:color="auto" w:fill="auto"/>
            <w:vAlign w:val="center"/>
          </w:tcPr>
          <w:p>
            <w:pPr>
              <w:spacing w:line="276" w:lineRule="auto"/>
              <w:jc w:val="both"/>
              <w:rPr>
                <w:lang w:eastAsia="zh-CN"/>
              </w:rPr>
            </w:pPr>
            <w:r>
              <w:rPr>
                <w:lang w:eastAsia="zh-CN"/>
              </w:rPr>
              <w:t>移动控制装置：</w:t>
            </w:r>
            <w:r>
              <w:rPr>
                <w:szCs w:val="21"/>
                <w:lang w:eastAsia="zh-CN"/>
              </w:rPr>
              <w:t>西门子伺服电机，运行平稳。</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szCs w:val="21"/>
                <w:lang w:eastAsia="zh-CN"/>
              </w:rPr>
              <w:t>与物料或洁净介质直接接触的金属部件必须采用316L不锈钢或其他FDA的机构认可的材质，内表面光洁度应符合ASME BPE SF4要求，并提供相关材质证明。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与产品接触非金属部件的材质要求易清洗、无毒、化学稳定性高、无污染、无脱落的材料。必须符合FDA</w:t>
            </w:r>
            <w:bookmarkStart w:id="23" w:name="OLE_LINK12"/>
            <w:bookmarkStart w:id="24" w:name="OLE_LINK11"/>
            <w:r>
              <w:rPr>
                <w:szCs w:val="21"/>
                <w:lang w:eastAsia="zh-CN"/>
              </w:rPr>
              <w:t>及USP class VI</w:t>
            </w:r>
            <w:bookmarkEnd w:id="23"/>
            <w:bookmarkEnd w:id="24"/>
            <w:r>
              <w:rPr>
                <w:szCs w:val="21"/>
                <w:lang w:eastAsia="zh-CN"/>
              </w:rPr>
              <w:t>的规定，并提供相关材质证明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szCs w:val="21"/>
                <w:lang w:eastAsia="zh-CN"/>
              </w:rPr>
              <w:t>包含一套正常拆装柱和层析操作时的配件和管道，并列出清单中包括配件名称、规格、数量、品牌和价格，和物料直接接触的应提供材质证明。相关管路配件阀门选用知名进口品牌。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需要随设备提供所有传感器在有效期内的校验证明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整个柱体能耐受温度2~40℃。最大耐受压力不低于4bar。在此条件下，所有和液体接触的设备材质都要耐受pH范围2-14，避免腐蚀。</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eastAsia="zh-CN"/>
              </w:rPr>
            </w:pPr>
            <w:r>
              <w:rPr>
                <w:lang w:eastAsia="zh-CN"/>
              </w:rPr>
              <w:t>能自动装填</w:t>
            </w:r>
            <w:r>
              <w:rPr>
                <w:rFonts w:hint="eastAsia"/>
                <w:lang w:eastAsia="zh-CN"/>
              </w:rPr>
              <w:t>70</w:t>
            </w:r>
            <w:r>
              <w:rPr>
                <w:lang w:eastAsia="zh-CN"/>
              </w:rPr>
              <w:t>L填料，能耐受</w:t>
            </w:r>
            <w:r>
              <w:rPr>
                <w:rFonts w:hint="eastAsia"/>
                <w:lang w:eastAsia="zh-CN"/>
              </w:rPr>
              <w:t>800L/h的</w:t>
            </w:r>
            <w:r>
              <w:rPr>
                <w:lang w:eastAsia="zh-CN"/>
              </w:rPr>
              <w:t>流速</w:t>
            </w:r>
            <w:r>
              <w:rPr>
                <w:rFonts w:hint="eastAsia"/>
                <w:lang w:eastAsia="zh-CN"/>
              </w:rPr>
              <w:t>下运行平稳，压力不超过2bar。</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eastAsia="zh-CN"/>
              </w:rPr>
            </w:pPr>
            <w:r>
              <w:rPr>
                <w:szCs w:val="21"/>
                <w:lang w:eastAsia="zh-CN"/>
              </w:rPr>
              <w:t>柱管：直径</w:t>
            </w:r>
            <w:r>
              <w:rPr>
                <w:rFonts w:hint="eastAsia"/>
                <w:szCs w:val="21"/>
                <w:lang w:eastAsia="zh-CN"/>
              </w:rPr>
              <w:t>600mm，可使用柱管高度为10-570mm；管壁外侧有柱高刻度标识。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液体分配器：上下柱头的液体分配器设计应便于排出气泡，并提供相关证明材料。</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rFonts w:hint="eastAsia"/>
                <w:szCs w:val="21"/>
                <w:lang w:eastAsia="zh-CN"/>
              </w:rPr>
              <w:t>筛网：孔径</w:t>
            </w:r>
            <w:r>
              <w:rPr>
                <w:szCs w:val="21"/>
                <w:lang w:eastAsia="zh-CN"/>
              </w:rPr>
              <w:t>10</w:t>
            </w:r>
            <w:r>
              <w:rPr>
                <w:szCs w:val="21"/>
              </w:rPr>
              <w:t>μ</w:t>
            </w:r>
            <w:r>
              <w:rPr>
                <w:szCs w:val="21"/>
                <w:lang w:eastAsia="zh-CN"/>
              </w:rPr>
              <w:t>m。</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筛板：有专业设计，保证最大工作压力时筛板不会变形、脱落。筛板通过筛板环和柱管密封，应避免筛网直接与密封圈接触密封。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柱头密封圈：有专业设计</w:t>
            </w:r>
            <w:r>
              <w:rPr>
                <w:szCs w:val="21"/>
                <w:lang w:eastAsia="zh-CN"/>
              </w:rPr>
              <w:t>，既能保证良好的密封效果，又不划伤柱管内壁。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r>
              <w:rPr>
                <w:rFonts w:ascii="Times New Roman" w:hAnsi="Times New Roman"/>
                <w:szCs w:val="21"/>
              </w:rPr>
              <w:t>密</w:t>
            </w:r>
          </w:p>
        </w:tc>
        <w:tc>
          <w:tcPr>
            <w:tcW w:w="7128" w:type="dxa"/>
            <w:shd w:val="clear" w:color="auto" w:fill="auto"/>
            <w:vAlign w:val="center"/>
          </w:tcPr>
          <w:p>
            <w:pPr>
              <w:spacing w:before="63" w:beforeLines="20" w:after="63" w:afterLines="20" w:line="0" w:lineRule="atLeast"/>
              <w:rPr>
                <w:szCs w:val="21"/>
                <w:lang w:eastAsia="zh-CN"/>
              </w:rPr>
            </w:pPr>
            <w:r>
              <w:rPr>
                <w:rFonts w:hint="eastAsia"/>
                <w:szCs w:val="21"/>
                <w:lang w:eastAsia="zh-CN"/>
              </w:rPr>
              <w:t>上柱头移动控制：</w:t>
            </w:r>
            <w:r>
              <w:rPr>
                <w:szCs w:val="21"/>
                <w:lang w:eastAsia="zh-CN"/>
              </w:rPr>
              <w:t>应方便上下移动，配置减速机驱动升降平稳，控制精度0.1mm以内，升降精确、均匀，无噪声，保证高控制精度的高重复性。</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上柱头配有专门的自动排气阀；填料阀、筛板、柱头等的排气应操作简便，需说明操作方式。</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上柱头配有上下限位开关，并可进行报警或警示，确保装柱过程安全性。</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上柱头方便清洗、维护及更换配件。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填料阀设计</w:t>
            </w:r>
            <w:r>
              <w:rPr>
                <w:rFonts w:hint="eastAsia"/>
                <w:szCs w:val="21"/>
                <w:lang w:eastAsia="zh-CN"/>
              </w:rPr>
              <w:t>：</w:t>
            </w:r>
            <w:r>
              <w:rPr>
                <w:szCs w:val="21"/>
                <w:lang w:eastAsia="zh-CN"/>
              </w:rPr>
              <w:t>填料出入口位于筛板中心。保证填料均匀，装填后，填料阀应清洗干净，无残留。自动控制填料阀切换。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保证层析柱密封性，在操作压力下，各个连接点、密封圈不会发生泄漏。</w:t>
            </w:r>
          </w:p>
          <w:p>
            <w:pPr>
              <w:spacing w:before="63" w:beforeLines="20" w:after="63" w:afterLines="20" w:line="0" w:lineRule="atLeast"/>
              <w:rPr>
                <w:szCs w:val="21"/>
                <w:lang w:eastAsia="zh-CN"/>
              </w:rPr>
            </w:pPr>
            <w:r>
              <w:rPr>
                <w:szCs w:val="21"/>
                <w:lang w:eastAsia="zh-CN"/>
              </w:rPr>
              <w:t>拆柱时柱头密封圈周围也能清洗彻底，无填料残留。</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装卸柱应有合适的设计或装置，保证卸料充分，层析柱内无介质残留；</w:t>
            </w:r>
          </w:p>
          <w:p>
            <w:pPr>
              <w:spacing w:before="63" w:beforeLines="20" w:after="63" w:afterLines="20" w:line="0" w:lineRule="atLeast"/>
              <w:rPr>
                <w:szCs w:val="21"/>
                <w:lang w:eastAsia="zh-CN"/>
              </w:rPr>
            </w:pPr>
            <w:r>
              <w:rPr>
                <w:szCs w:val="21"/>
                <w:lang w:eastAsia="zh-CN"/>
              </w:rPr>
              <w:t>层析介质以密封柱头提拉为动力，从层析柱下阀进料，通过装柱阀进行装卸，操作方便；装柱过程可实现装柱站PLC自动控制，采用马达推动柱头从上往下压紧柱床，可以准确控制压柱速度和柱床高度。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szCs w:val="21"/>
                <w:lang w:eastAsia="zh-CN"/>
              </w:rPr>
              <w:t>能确保装填本公司纯化所用阳离子交换填料柱效检测理论塔板数大于</w:t>
            </w:r>
            <w:r>
              <w:rPr>
                <w:rFonts w:hint="eastAsia"/>
                <w:szCs w:val="21"/>
                <w:lang w:eastAsia="zh-CN"/>
              </w:rPr>
              <w:t>4500</w:t>
            </w:r>
            <w:r>
              <w:rPr>
                <w:szCs w:val="21"/>
                <w:lang w:eastAsia="zh-CN"/>
              </w:rPr>
              <w:t>，对称因子</w:t>
            </w:r>
            <w:r>
              <w:rPr>
                <w:rFonts w:hint="eastAsia"/>
                <w:szCs w:val="21"/>
                <w:lang w:eastAsia="zh-CN"/>
              </w:rPr>
              <w:t>0.7-1.5</w:t>
            </w:r>
            <w:r>
              <w:rPr>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层析柱可方便移动，也能刹车固定，避免发生倾倒，容易调水平。</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装柱工作站：方便移动，可固定。</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r>
              <w:rPr>
                <w:rFonts w:ascii="Times New Roman" w:hAnsi="Times New Roman"/>
                <w:szCs w:val="21"/>
              </w:rPr>
              <w:t>耐</w:t>
            </w:r>
          </w:p>
        </w:tc>
        <w:tc>
          <w:tcPr>
            <w:tcW w:w="7128" w:type="dxa"/>
            <w:shd w:val="clear" w:color="auto" w:fill="auto"/>
            <w:vAlign w:val="center"/>
          </w:tcPr>
          <w:p>
            <w:pPr>
              <w:spacing w:before="63" w:beforeLines="20" w:after="63" w:afterLines="20" w:line="0" w:lineRule="atLeast"/>
              <w:rPr>
                <w:szCs w:val="21"/>
                <w:lang w:eastAsia="zh-CN"/>
              </w:rPr>
            </w:pPr>
            <w:r>
              <w:rPr>
                <w:szCs w:val="21"/>
                <w:lang w:eastAsia="zh-CN"/>
              </w:rPr>
              <w:t>耐受反复使用性能稳定。</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5" w:name="_Toc522716122"/>
      <w:bookmarkStart w:id="26" w:name="_Toc522107742"/>
      <w:bookmarkStart w:id="27" w:name="_Toc482359946"/>
      <w:bookmarkStart w:id="28" w:name="_Toc482360291"/>
      <w:bookmarkStart w:id="29" w:name="_Toc483400317"/>
      <w:bookmarkStart w:id="30" w:name="_Toc482370767"/>
      <w:bookmarkStart w:id="31" w:name="_Toc482370071"/>
      <w:bookmarkStart w:id="32" w:name="_Toc482369815"/>
      <w:bookmarkStart w:id="33" w:name="_Toc483227237"/>
      <w:bookmarkStart w:id="34" w:name="_Toc482370151"/>
      <w:bookmarkStart w:id="35" w:name="_Toc482625289"/>
      <w:bookmarkStart w:id="36" w:name="_Toc481702480"/>
      <w:bookmarkStart w:id="37" w:name="_Toc482370359"/>
      <w:bookmarkStart w:id="38" w:name="_Toc482717202"/>
      <w:r>
        <w:rPr>
          <w:rFonts w:ascii="Times New Roman" w:hAnsi="Times New Roman"/>
          <w:b/>
        </w:rPr>
        <w:t>电气、自动控制要求</w:t>
      </w:r>
      <w:bookmarkEnd w:id="25"/>
    </w:p>
    <w:p>
      <w:pPr>
        <w:pStyle w:val="41"/>
        <w:spacing w:before="0" w:line="360" w:lineRule="auto"/>
        <w:ind w:left="425"/>
        <w:jc w:val="left"/>
        <w:rPr>
          <w:i/>
          <w:color w:val="4472C4"/>
          <w:szCs w:val="21"/>
          <w:lang w:eastAsia="zh-CN"/>
        </w:rPr>
      </w:pPr>
      <w:permStart w:id="26" w:edGrp="everyone"/>
    </w:p>
    <w:permEnd w:id="26"/>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szCs w:val="21"/>
              </w:rPr>
              <w:t>Φ</w:t>
            </w:r>
            <w:r>
              <w:rPr>
                <w:rFonts w:hint="eastAsia"/>
                <w:szCs w:val="21"/>
                <w:lang w:eastAsia="zh-CN"/>
              </w:rPr>
              <w:t>60</w:t>
            </w:r>
            <w:r>
              <w:rPr>
                <w:szCs w:val="21"/>
                <w:lang w:eastAsia="zh-CN"/>
              </w:rPr>
              <w:t>0mm层析柱与</w:t>
            </w:r>
            <w:r>
              <w:rPr>
                <w:szCs w:val="21"/>
              </w:rPr>
              <w:t>Φ</w:t>
            </w:r>
            <w:r>
              <w:rPr>
                <w:szCs w:val="21"/>
                <w:lang w:eastAsia="zh-CN"/>
              </w:rPr>
              <w:t>450mm层析柱共用一个装柱工作站，与</w:t>
            </w:r>
            <w:r>
              <w:rPr>
                <w:lang w:eastAsia="zh-CN"/>
              </w:rPr>
              <w:t>装柱工作站共同</w:t>
            </w:r>
            <w:r>
              <w:rPr>
                <w:szCs w:val="21"/>
                <w:lang w:eastAsia="zh-CN"/>
              </w:rPr>
              <w:t>使用完成全自动装柱。</w:t>
            </w:r>
            <w:r>
              <w:rPr>
                <w:rFonts w:hint="eastAsia"/>
                <w:szCs w:val="21"/>
                <w:lang w:eastAsia="zh-CN"/>
              </w:rPr>
              <w:t xml:space="preserve"> </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通过电机自动控制柱头抬升，从底部吸入填料匀浆；柱头下降，实现压胶装柱。排气、卸胶、清洁等操作均可自动实现。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装柱工作站控制系统采用西门子</w:t>
            </w:r>
            <w:r>
              <w:rPr>
                <w:szCs w:val="21"/>
                <w:lang w:eastAsia="zh-CN"/>
              </w:rPr>
              <w:t>PLC</w:t>
            </w:r>
            <w:r>
              <w:rPr>
                <w:rFonts w:hint="eastAsia"/>
                <w:szCs w:val="21"/>
                <w:lang w:eastAsia="zh-CN"/>
              </w:rPr>
              <w:t>及工业触摸屏，保证与电气件及仪表、层析柱的连接稳定，控制精确。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具备控制界面及管理界面等，简单易用。</w:t>
            </w:r>
            <w:r>
              <w:rPr>
                <w:rFonts w:hint="eastAsia"/>
                <w:szCs w:val="21"/>
                <w:lang w:eastAsia="zh-CN"/>
              </w:rPr>
              <w:t>运行程序时可随时修改参数设置。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用户可依据不同填料等信息进行装柱方法的编辑及保存调用。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具备向导模式，装柱站内应内置常用操作程序，如柱头排气，装胶，卸胶，清洗等步骤，使得层析柱使用与维护操作简单快速。</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装柱工作站系统</w:t>
            </w:r>
            <w:r>
              <w:rPr>
                <w:szCs w:val="21"/>
                <w:lang w:eastAsia="zh-CN"/>
              </w:rPr>
              <w:t>具有至少4级用户分层权限管理及密码管理的功能。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装柱工作站系统</w:t>
            </w:r>
            <w:r>
              <w:rPr>
                <w:szCs w:val="21"/>
                <w:lang w:eastAsia="zh-CN"/>
              </w:rPr>
              <w:t>应可以设置多个用户，并有用户分级管理功能，每个等级拥有相应的可设置权限。</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系统应可以为每个用户创建唯一的用户名和密码。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系统应不允许两个或多个用户拥有相同的用户名。</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应有权限功能防止系统时间被更改。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屏幕显示的结果与打印报告应是一致的。</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用户在密码输入时，电脑显示器上应不显示实际密码（比如密码会以*或其他符合显示）。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系统管理员应可以重置密码。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系统应可以设置密码最小长度为8位。</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应有安全保护以防止未授权的用户账号和密码进行使用，比如3次无效登录尝试后将锁定账户等。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系统管理员应可以激活锁住的账户。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系统必须具有超时强制退出要求重新登录的功能。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系统应可以允许用户和管理员更改自己的密码。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系统应可设置密码效期，如3个月。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系统应可提示密码效期信息以提醒用户更改密码。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系统应有审计追踪功能，可以记录系统和安全的事件，比如登录登出、密码更改、方法参数更改、记录删除及操作人员和日期时间等。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审计追踪记录应不可被删除或更改。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装柱工作站</w:t>
            </w:r>
            <w:r>
              <w:rPr>
                <w:szCs w:val="21"/>
                <w:lang w:eastAsia="zh-CN"/>
              </w:rPr>
              <w:t>系统应可以新增、修改和禁用账户，这些权限应可被系统管理员禁用。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iCs/>
                <w:szCs w:val="21"/>
                <w:lang w:eastAsia="zh-CN"/>
              </w:rPr>
              <w:t>报告格式应包含以下内容：日期，名称，运行时间，产品名称，运行号等。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报告应为只读的格式。</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使用者应不能修改测试结果。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39" w:name="_Toc522716123"/>
      <w:r>
        <w:rPr>
          <w:rFonts w:ascii="Times New Roman" w:hAnsi="Times New Roman"/>
          <w:b/>
        </w:rPr>
        <w:t>安全要求</w:t>
      </w:r>
      <w:bookmarkEnd w:id="26"/>
      <w:bookmarkEnd w:id="39"/>
    </w:p>
    <w:p>
      <w:pPr>
        <w:pStyle w:val="41"/>
        <w:spacing w:before="0" w:line="360" w:lineRule="auto"/>
        <w:ind w:left="357"/>
        <w:jc w:val="left"/>
        <w:rPr>
          <w:i/>
          <w:color w:val="4472C4"/>
          <w:szCs w:val="21"/>
          <w:lang w:eastAsia="zh-CN"/>
        </w:rPr>
      </w:pPr>
      <w:permStart w:id="29" w:edGrp="everyone"/>
    </w:p>
    <w:permEnd w:id="2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设备潜在危险源必需有标识、贴标签并做防护处理。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机械运动部件必需设有防护罩，或设置在防护区域内。</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不影响机器性能情况下，设备任何部位不能有锋利的边缘和尖角。如果不可避免，必需设有安全防护（罩）等措施，并且有安全警示标识。</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功能报警：能够对超出工艺范围或安全范围或设定值的项目（如压力，扭矩，柱头上下安全限等）进行报警并可以采取相应措施包括自动调整，同时给出提示，如果自动调整不能纠正能自动停机。</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故障报警：在设备出现故障时，必需具有相应报警提示同时具有蜂鸣的信号），在软件界面上显示故障原因，并有提示对应故障解决方案。</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动力故障不能自动重启，必需人工操作。</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当设备发生过载时，能有效地停机。</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szCs w:val="21"/>
                <w:lang w:eastAsia="zh-CN"/>
              </w:rPr>
              <w:t>设备运行噪音应小于</w:t>
            </w:r>
            <w:r>
              <w:rPr>
                <w:szCs w:val="21"/>
                <w:lang w:eastAsia="zh-CN"/>
              </w:rPr>
              <w:t>75dB</w:t>
            </w:r>
            <w:r>
              <w:rPr>
                <w:rFonts w:hint="eastAsia"/>
                <w:szCs w:val="21"/>
                <w:lang w:eastAsia="zh-CN"/>
              </w:rPr>
              <w:t>（距设备三英尺内）。</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设备所有的组件、控制线路、连接管路等都应有明确标识，易于鉴别。</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系统所有安全互锁功能必需在设计文件中详细说明并确认。</w:t>
            </w:r>
          </w:p>
        </w:tc>
        <w:tc>
          <w:tcPr>
            <w:tcW w:w="2125" w:type="dxa"/>
            <w:shd w:val="clear" w:color="auto" w:fill="auto"/>
            <w:vAlign w:val="center"/>
          </w:tcPr>
          <w:p>
            <w:pPr>
              <w:jc w:val="center"/>
              <w:rPr>
                <w:szCs w:val="21"/>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color w:val="000000" w:themeColor="text1"/>
                <w:szCs w:val="21"/>
                <w:lang w:eastAsia="zh-CN"/>
              </w:rPr>
              <w:t>设备必需设置急停开关，急停开关必需处于非常便于操作人员触及到的位置。在激活急停开关时，必需能够立即停止所有的机械操作。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bookmarkStart w:id="40" w:name="OLE_LINK103"/>
            <w:bookmarkStart w:id="41" w:name="OLE_LINK104"/>
            <w:r>
              <w:rPr>
                <w:rFonts w:hint="eastAsia"/>
                <w:szCs w:val="21"/>
                <w:lang w:eastAsia="zh-CN"/>
              </w:rPr>
              <w:t>电源放置必须合理，接地</w:t>
            </w:r>
            <w:r>
              <w:rPr>
                <w:szCs w:val="21"/>
                <w:lang w:eastAsia="zh-CN"/>
              </w:rPr>
              <w:t>,</w:t>
            </w:r>
            <w:r>
              <w:rPr>
                <w:rFonts w:hint="eastAsia"/>
                <w:szCs w:val="21"/>
                <w:lang w:eastAsia="zh-CN"/>
              </w:rPr>
              <w:t>不得与水接触</w:t>
            </w:r>
            <w:bookmarkEnd w:id="40"/>
            <w:bookmarkEnd w:id="41"/>
            <w:r>
              <w:rPr>
                <w:rFonts w:hint="eastAsia"/>
                <w:szCs w:val="21"/>
                <w:lang w:eastAsia="zh-CN"/>
              </w:rPr>
              <w:t>。</w:t>
            </w:r>
            <w:r>
              <w:rPr>
                <w:rFonts w:hint="eastAsia"/>
                <w:szCs w:val="21"/>
              </w:rPr>
              <w:t>有漏电保护装置。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bookmarkStart w:id="42" w:name="OLE_LINK106"/>
            <w:bookmarkStart w:id="43" w:name="OLE_LINK105"/>
            <w:r>
              <w:rPr>
                <w:rFonts w:hint="eastAsia"/>
                <w:szCs w:val="21"/>
                <w:lang w:eastAsia="zh-CN"/>
              </w:rPr>
              <w:t>系统要求防水防尘设计</w:t>
            </w:r>
            <w:r>
              <w:rPr>
                <w:szCs w:val="21"/>
                <w:lang w:eastAsia="zh-CN"/>
              </w:rPr>
              <w:t>≥IP5</w:t>
            </w:r>
            <w:bookmarkEnd w:id="42"/>
            <w:bookmarkEnd w:id="43"/>
            <w:r>
              <w:rPr>
                <w:szCs w:val="21"/>
                <w:lang w:eastAsia="zh-CN"/>
              </w:rPr>
              <w:t>4。</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color w:val="000000" w:themeColor="text1"/>
                <w:szCs w:val="21"/>
                <w:lang w:eastAsia="zh-CN"/>
              </w:rPr>
              <w:t>其他未尽事宜应符合中国相关法规。</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41"/>
        <w:spacing w:before="0" w:line="360" w:lineRule="auto"/>
        <w:jc w:val="left"/>
        <w:rPr>
          <w:i/>
          <w:szCs w:val="21"/>
          <w:lang w:eastAsia="zh-CN"/>
        </w:rPr>
      </w:pPr>
      <w:permStart w:id="34" w:edGrp="everyone"/>
    </w:p>
    <w:permEnd w:id="34"/>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提供文件清单，所有文件资料均须提供三份。</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rFonts w:hint="eastAsia"/>
                <w:color w:val="000000" w:themeColor="text1"/>
                <w:szCs w:val="21"/>
                <w:lang w:eastAsia="zh-CN"/>
              </w:rPr>
              <w:t>卖方发运清单及相关检验报告。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详细设计选型及技术文件。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图纸：实物图；各种安装、确认、维修等活动所需的电子版及打印版，设备布局图、设备尺寸图、设备局部图（与工艺、功能相关的细节图）、控制原理图、注释参考、图纸清单等。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零配件、部件、元件清单：包括编号、对应厂家名称、生产地、规格及必要说明。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设备制造相关文件：工厂相关检测报告、材质清单、材质报告及合格证（写明材料有效期）、清洁处理程序、各种标示、出厂合格证、各组件相关报告及合格证。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易损件、备用零部件清单。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仪器仪表清单和相关校验报告及计量证书。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szCs w:val="21"/>
                <w:lang w:eastAsia="zh-CN"/>
              </w:rPr>
              <w:t>供应商提供的确认文件包括</w:t>
            </w:r>
            <w:r>
              <w:rPr>
                <w:szCs w:val="21"/>
                <w:lang w:eastAsia="zh-CN"/>
              </w:rPr>
              <w:t>IQ</w:t>
            </w:r>
            <w:r>
              <w:rPr>
                <w:rFonts w:hint="eastAsia"/>
                <w:szCs w:val="21"/>
                <w:lang w:eastAsia="zh-CN"/>
              </w:rPr>
              <w:t>、</w:t>
            </w:r>
            <w:r>
              <w:rPr>
                <w:szCs w:val="21"/>
                <w:lang w:eastAsia="zh-CN"/>
              </w:rPr>
              <w:t>OQ</w:t>
            </w:r>
            <w:r>
              <w:rPr>
                <w:rFonts w:hint="eastAsia"/>
                <w:szCs w:val="21"/>
                <w:lang w:eastAsia="zh-CN"/>
              </w:rPr>
              <w:t>、</w:t>
            </w:r>
            <w:r>
              <w:rPr>
                <w:szCs w:val="21"/>
                <w:lang w:eastAsia="zh-CN"/>
              </w:rPr>
              <w:t>PQ</w:t>
            </w:r>
            <w:r>
              <w:rPr>
                <w:rFonts w:hint="eastAsia"/>
                <w:szCs w:val="21"/>
                <w:lang w:eastAsia="zh-CN"/>
              </w:rPr>
              <w:t>文件（协助指导）（符合欧盟及美国</w:t>
            </w:r>
            <w:r>
              <w:rPr>
                <w:szCs w:val="21"/>
                <w:lang w:eastAsia="zh-CN"/>
              </w:rPr>
              <w:t>GMP</w:t>
            </w:r>
            <w:r>
              <w:rPr>
                <w:rFonts w:hint="eastAsia"/>
                <w:szCs w:val="21"/>
                <w:lang w:eastAsia="zh-CN"/>
              </w:rPr>
              <w:t>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使用操作说明书及维护保养说明（即运行及维护手册）</w:t>
            </w:r>
            <w:r>
              <w:rPr>
                <w:color w:val="000000" w:themeColor="text1"/>
                <w:szCs w:val="21"/>
                <w:lang w:eastAsia="zh-CN"/>
              </w:rPr>
              <w:t>3</w:t>
            </w:r>
            <w:r>
              <w:rPr>
                <w:rFonts w:hint="eastAsia"/>
                <w:color w:val="000000" w:themeColor="text1"/>
                <w:szCs w:val="21"/>
                <w:lang w:eastAsia="zh-CN"/>
              </w:rPr>
              <w:t>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提供设备及其零部件使用寿命清单，</w:t>
            </w:r>
            <w:r>
              <w:rPr>
                <w:rFonts w:hint="eastAsia"/>
                <w:szCs w:val="21"/>
                <w:lang w:eastAsia="zh-CN"/>
              </w:rPr>
              <w:t>一年内易损坏品之建议清单。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szCs w:val="21"/>
                <w:lang w:eastAsia="zh-CN"/>
              </w:rPr>
              <w:t>所有读取和控制参数的传感器、控制器、</w:t>
            </w:r>
            <w:r>
              <w:rPr>
                <w:szCs w:val="21"/>
                <w:lang w:eastAsia="zh-CN"/>
              </w:rPr>
              <w:t>PLC</w:t>
            </w:r>
            <w:r>
              <w:rPr>
                <w:rFonts w:hint="eastAsia"/>
                <w:szCs w:val="21"/>
                <w:lang w:eastAsia="zh-CN"/>
              </w:rPr>
              <w:t>、传送器、指示器都应按照国内的标准进行校正，并有有效证明文件。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供应商应提供软件文件拷贝，和控制面板软件的拷贝，并免费提供程序恢复标准操作程序。</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permStart w:id="37" w:edGrp="everyone"/>
    </w:p>
    <w:permEnd w:id="37"/>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本系统质保期内如果因为需方原有操作人员操作不熟或人员更换需要供方进行再次培训的，需方必须无偿进行再次培训，如超过质保期需要再次培训的，供方可适当收取一定的培训师的住宿餐饮费或需方提供住宿餐饮等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供应商派人全程参与设备的安装、调试、验证。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供应商为本公司培训两名专业维修人员（一名电气维修、一名机械维修），并提出保养计划。</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color w:val="0070C0"/>
                <w:lang w:eastAsia="zh-CN"/>
              </w:rPr>
            </w:pPr>
            <w:r>
              <w:rPr>
                <w:rFonts w:hint="eastAsia"/>
                <w:szCs w:val="21"/>
                <w:lang w:eastAsia="zh-CN"/>
              </w:rPr>
              <w:t>包装满足运输和装卸要求，防潮湿、防磕碰、防振动。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运输时间包含在供货周期内，供方负责运输，并负责运输安全及运输费用。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机器到货清单必须详列每装箱内容物。</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供应商必须把设备货物运输送达用户指定的现场（用户地址）。</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机器到货卸车、拆箱验收工作供应商理应有人员陪同现场进行，不能当场开箱需要稍后开箱的或如供应商授权我方自行卸车收货、开箱检查收货工作，发现设备或零配件任何破损、缺少情况供应商应负全责不得推诿。</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验证含</w:t>
            </w:r>
            <w:r>
              <w:rPr>
                <w:szCs w:val="21"/>
                <w:lang w:eastAsia="zh-CN"/>
              </w:rPr>
              <w:t>硬件和软件（计算机系统），</w:t>
            </w:r>
            <w:r>
              <w:rPr>
                <w:rFonts w:hint="eastAsia"/>
                <w:color w:val="000000" w:themeColor="text1"/>
                <w:szCs w:val="21"/>
                <w:lang w:eastAsia="zh-CN"/>
              </w:rPr>
              <w:t>包括</w:t>
            </w:r>
            <w:r>
              <w:rPr>
                <w:color w:val="000000" w:themeColor="text1"/>
                <w:szCs w:val="21"/>
                <w:lang w:eastAsia="zh-CN"/>
              </w:rPr>
              <w:t>IQ</w:t>
            </w:r>
            <w:r>
              <w:rPr>
                <w:rFonts w:hint="eastAsia"/>
                <w:color w:val="000000" w:themeColor="text1"/>
                <w:szCs w:val="21"/>
                <w:lang w:eastAsia="zh-CN"/>
              </w:rPr>
              <w:t>、</w:t>
            </w:r>
            <w:r>
              <w:rPr>
                <w:color w:val="000000" w:themeColor="text1"/>
                <w:szCs w:val="21"/>
                <w:lang w:eastAsia="zh-CN"/>
              </w:rPr>
              <w:t>OQ</w:t>
            </w:r>
            <w:r>
              <w:rPr>
                <w:rFonts w:hint="eastAsia"/>
                <w:color w:val="000000" w:themeColor="text1"/>
                <w:szCs w:val="21"/>
                <w:lang w:eastAsia="zh-CN"/>
              </w:rPr>
              <w:t>、</w:t>
            </w:r>
            <w:r>
              <w:rPr>
                <w:color w:val="000000" w:themeColor="text1"/>
                <w:szCs w:val="21"/>
                <w:lang w:eastAsia="zh-CN"/>
              </w:rPr>
              <w:t>PQ</w:t>
            </w:r>
            <w:r>
              <w:rPr>
                <w:rFonts w:hint="eastAsia"/>
                <w:color w:val="000000" w:themeColor="text1"/>
                <w:szCs w:val="21"/>
                <w:lang w:eastAsia="zh-CN"/>
              </w:rPr>
              <w:t>（供应商协助）。</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各验证工作开始前验证方案需经过本公司相关部门审核，并经质量保证室批准。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验证工作应按时保质完成，供应商需提供验证工作计划表。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验证项目应包含法规要求的测试项目，以及本公司提出的测试项目。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验证工作完成后，验证记录经本公司相关部门审核，并经质量保证室批准。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themeColor="text1"/>
                <w:szCs w:val="21"/>
                <w:lang w:eastAsia="zh-CN"/>
              </w:rPr>
              <w:t>验收前，验证工作已成功完成，验证最终报告已经本公司相关部门审核，并经质量保证室批准。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供应商保证所供货物是用符合本项目规定材料制成，全新未曾使用过。</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本设备质量保证期限</w:t>
            </w:r>
            <w:r>
              <w:rPr>
                <w:rFonts w:hint="eastAsia"/>
                <w:color w:val="000000" w:themeColor="text1"/>
                <w:szCs w:val="21"/>
                <w:lang w:eastAsia="zh-CN"/>
              </w:rPr>
              <w:t>一</w:t>
            </w:r>
            <w:r>
              <w:rPr>
                <w:rFonts w:hint="eastAsia"/>
                <w:szCs w:val="21"/>
                <w:lang w:eastAsia="zh-CN"/>
              </w:rPr>
              <w:t>年，有效日为整机合格验收之次日开始计算。质量保证期限内供应商必须及时帮助用户解决设备故障。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设备发生故障，供方应在接到用户通知</w:t>
            </w:r>
            <w:r>
              <w:rPr>
                <w:szCs w:val="21"/>
                <w:lang w:eastAsia="zh-CN"/>
              </w:rPr>
              <w:t>4</w:t>
            </w:r>
            <w:r>
              <w:rPr>
                <w:rFonts w:hint="eastAsia"/>
                <w:szCs w:val="21"/>
                <w:lang w:eastAsia="zh-CN"/>
              </w:rPr>
              <w:t>小时内作出电话或书面答复，</w:t>
            </w:r>
            <w:r>
              <w:rPr>
                <w:szCs w:val="21"/>
                <w:lang w:eastAsia="zh-CN"/>
              </w:rPr>
              <w:t>24</w:t>
            </w:r>
            <w:r>
              <w:rPr>
                <w:rFonts w:hint="eastAsia"/>
                <w:szCs w:val="21"/>
                <w:lang w:eastAsia="zh-CN"/>
              </w:rPr>
              <w:t>小时内到达现场服务。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质量保证期内如因设备故障导致停止生产时，供应商应及时配合用户解决，尽快恢复生产；如属于设备自身质量原因引起的故障，需要延长保修期限。同时故障零件应该由供应商负责无条件免费进行维修或更换相应零部件，使之达到最佳运行状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质量保证期限内电子零件故障需由供应商负责免费提供更换或修缮，维修零件需要在</w:t>
            </w:r>
            <w:r>
              <w:rPr>
                <w:szCs w:val="21"/>
                <w:lang w:eastAsia="zh-CN"/>
              </w:rPr>
              <w:t>10</w:t>
            </w:r>
            <w:r>
              <w:rPr>
                <w:rFonts w:hint="eastAsia"/>
                <w:szCs w:val="21"/>
                <w:lang w:eastAsia="zh-CN"/>
              </w:rPr>
              <w:t>天内到现场。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质量保证期限内，</w:t>
            </w:r>
            <w:r>
              <w:rPr>
                <w:rFonts w:hint="eastAsia"/>
                <w:color w:val="000000" w:themeColor="text1"/>
                <w:szCs w:val="21"/>
                <w:lang w:eastAsia="zh-CN"/>
              </w:rPr>
              <w:t>每隔</w:t>
            </w:r>
            <w:r>
              <w:rPr>
                <w:szCs w:val="21"/>
                <w:lang w:eastAsia="zh-CN"/>
              </w:rPr>
              <w:t>10</w:t>
            </w:r>
            <w:r>
              <w:rPr>
                <w:rFonts w:hint="eastAsia"/>
                <w:szCs w:val="21"/>
                <w:lang w:eastAsia="zh-CN"/>
              </w:rPr>
              <w:t>～</w:t>
            </w:r>
            <w:r>
              <w:rPr>
                <w:szCs w:val="21"/>
                <w:lang w:eastAsia="zh-CN"/>
              </w:rPr>
              <w:t>12</w:t>
            </w:r>
            <w:r>
              <w:rPr>
                <w:rFonts w:hint="eastAsia"/>
                <w:szCs w:val="21"/>
                <w:lang w:eastAsia="zh-CN"/>
              </w:rPr>
              <w:t>个月，供应商应到现场作免费检修</w:t>
            </w:r>
            <w:r>
              <w:rPr>
                <w:szCs w:val="21"/>
                <w:lang w:eastAsia="zh-CN"/>
              </w:rPr>
              <w:t>1</w:t>
            </w:r>
            <w:r>
              <w:rPr>
                <w:rFonts w:hint="eastAsia"/>
                <w:szCs w:val="21"/>
                <w:lang w:eastAsia="zh-CN"/>
              </w:rPr>
              <w:t>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供应商应具有设备质保期后服务跟踪能力，指导、配合用户进行设备检修工作，优质优价提供零配件，保持设备综合性能良好。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提供本设备使用的</w:t>
            </w:r>
            <w:r>
              <w:rPr>
                <w:rFonts w:hint="eastAsia"/>
                <w:color w:val="000000" w:themeColor="text1"/>
                <w:szCs w:val="21"/>
                <w:lang w:eastAsia="zh-CN"/>
              </w:rPr>
              <w:t>一</w:t>
            </w:r>
            <w:r>
              <w:rPr>
                <w:rFonts w:hint="eastAsia"/>
                <w:szCs w:val="21"/>
                <w:lang w:eastAsia="zh-CN"/>
              </w:rPr>
              <w:t>年内易损坏备品零件。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提供本设备拆卸保养工具一组含工具箱，工具箱材质符合洁净区要求。</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设备需包括发货前工厂验收（</w:t>
            </w:r>
            <w:r>
              <w:rPr>
                <w:szCs w:val="21"/>
                <w:lang w:eastAsia="zh-CN"/>
              </w:rPr>
              <w:t>FAT</w:t>
            </w:r>
            <w:r>
              <w:rPr>
                <w:rFonts w:hint="eastAsia"/>
                <w:szCs w:val="21"/>
                <w:lang w:eastAsia="zh-CN"/>
              </w:rPr>
              <w:t>的组织安排和费用由供方负责）、开箱验收及货物交付后的现场最终验收。</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供方应以《设备采购合同》、《用户需求文件（</w:t>
            </w:r>
            <w:r>
              <w:rPr>
                <w:szCs w:val="21"/>
                <w:lang w:eastAsia="zh-CN"/>
              </w:rPr>
              <w:t>URS</w:t>
            </w:r>
            <w:r>
              <w:rPr>
                <w:rFonts w:hint="eastAsia"/>
                <w:szCs w:val="21"/>
                <w:lang w:eastAsia="zh-CN"/>
              </w:rPr>
              <w:t>）》和相关技术条款为依据，提供</w:t>
            </w:r>
            <w:r>
              <w:rPr>
                <w:szCs w:val="21"/>
                <w:lang w:eastAsia="zh-CN"/>
              </w:rPr>
              <w:t>FAT</w:t>
            </w:r>
            <w:r>
              <w:rPr>
                <w:rFonts w:hint="eastAsia"/>
                <w:szCs w:val="21"/>
                <w:lang w:eastAsia="zh-CN"/>
              </w:rPr>
              <w:t>方案（至少一式两份，需提供可编辑电子文档）。</w:t>
            </w:r>
            <w:r>
              <w:rPr>
                <w:szCs w:val="21"/>
                <w:lang w:eastAsia="zh-CN"/>
              </w:rPr>
              <w:t>FAT</w:t>
            </w:r>
            <w:r>
              <w:rPr>
                <w:rFonts w:hint="eastAsia"/>
                <w:szCs w:val="21"/>
                <w:lang w:eastAsia="zh-CN"/>
              </w:rPr>
              <w:t>方案必须经双方确认、签名、盖章后实行。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制造商应根据</w:t>
            </w:r>
            <w:r>
              <w:rPr>
                <w:szCs w:val="21"/>
                <w:lang w:eastAsia="zh-CN"/>
              </w:rPr>
              <w:t>URS</w:t>
            </w:r>
            <w:r>
              <w:rPr>
                <w:rFonts w:hint="eastAsia"/>
                <w:szCs w:val="21"/>
                <w:lang w:eastAsia="zh-CN"/>
              </w:rPr>
              <w:t>的相关技术条款及投标书内容、合同等为依据，提供出厂前工厂内验收测试方案，并经需方确认后实行。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所有机械部分、各个功能模块都要经历功能检测。检测方案和报告将形成书面文件，并作为整个验收测试的不可缺少部分。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设备在工厂制作完成，出厂前由制造商进行性能检测，以便检查设备是否能够满足合同对设备的要求，而且必须经过双方确认。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在设备进行</w:t>
            </w:r>
            <w:r>
              <w:rPr>
                <w:szCs w:val="21"/>
                <w:lang w:eastAsia="zh-CN"/>
              </w:rPr>
              <w:t>FAT</w:t>
            </w:r>
            <w:r>
              <w:rPr>
                <w:rFonts w:hint="eastAsia"/>
                <w:szCs w:val="21"/>
                <w:lang w:eastAsia="zh-CN"/>
              </w:rPr>
              <w:t>时，必须由供方代表、需方代表共同验收，而且对验收过程作即时记录，验收后双方签署</w:t>
            </w:r>
            <w:r>
              <w:rPr>
                <w:szCs w:val="21"/>
                <w:lang w:eastAsia="zh-CN"/>
              </w:rPr>
              <w:t>FAT</w:t>
            </w:r>
            <w:r>
              <w:rPr>
                <w:rFonts w:hint="eastAsia"/>
                <w:szCs w:val="21"/>
                <w:lang w:eastAsia="zh-CN"/>
              </w:rPr>
              <w:t>验收报告，需方对设备有异议的，在验收报告中注明，供方需在发货前完成整改。需方如不到供方现场进行</w:t>
            </w:r>
            <w:r>
              <w:rPr>
                <w:szCs w:val="21"/>
                <w:lang w:eastAsia="zh-CN"/>
              </w:rPr>
              <w:t>FAT</w:t>
            </w:r>
            <w:r>
              <w:rPr>
                <w:rFonts w:hint="eastAsia"/>
                <w:szCs w:val="21"/>
                <w:lang w:eastAsia="zh-CN"/>
              </w:rPr>
              <w:t>验收，则需书面声明认同供方的验收结论。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需方工厂后，由需方书面通知供方，供方应在收到通知后一个工作日内回复，并在约定的日期到需方工厂进行开箱验收。现场供需双方对设备型号、规格、数量、外观进行验收并签署开箱验收文件。需方对设备型号、规格、数量、外观有异议的，应在开箱后三天内书面声明提出，供方需在三天内进行解决。供方如不到需方现场进行开箱验收，则需书面声明认同需方的验收结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按照所应用的标准和规范进行现场验收和检测，制造商应列出验收和检测项目及计划。对于每一项检查和测试（使用方代表见证的或未见证的）制造商都应出具检测报告和检测证书，这些文件包含在最终竣工文件内，调试完毕时提供给使用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如果测试结果不合格，制造方工程师要留在现场继续调试，制造方要采取措施尽快调试合格。</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最终验收后一年内供方免费负责一切非人员破坏性维修</w:t>
            </w:r>
            <w:r>
              <w:rPr>
                <w:szCs w:val="21"/>
                <w:lang w:eastAsia="zh-CN"/>
              </w:rPr>
              <w:t xml:space="preserve">, </w:t>
            </w:r>
            <w:r>
              <w:rPr>
                <w:rFonts w:hint="eastAsia"/>
                <w:szCs w:val="21"/>
                <w:lang w:eastAsia="zh-CN"/>
              </w:rPr>
              <w:t>耗材除外。</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如在试运行或</w:t>
            </w:r>
            <w:r>
              <w:rPr>
                <w:szCs w:val="21"/>
                <w:lang w:eastAsia="zh-CN"/>
              </w:rPr>
              <w:t>FAT</w:t>
            </w:r>
            <w:r>
              <w:rPr>
                <w:rFonts w:hint="eastAsia"/>
                <w:szCs w:val="21"/>
                <w:lang w:eastAsia="zh-CN"/>
              </w:rPr>
              <w:t>过程中出现未满足合同、验收标准、</w:t>
            </w:r>
            <w:r>
              <w:rPr>
                <w:szCs w:val="21"/>
                <w:lang w:eastAsia="zh-CN"/>
              </w:rPr>
              <w:t>URS</w:t>
            </w:r>
            <w:r>
              <w:rPr>
                <w:rFonts w:hint="eastAsia"/>
                <w:szCs w:val="21"/>
                <w:lang w:eastAsia="zh-CN"/>
              </w:rPr>
              <w:t>等文件中任何一项的问题，并且需方不能接受，则供方必须根除此问题后才能通过验收；如在验收过程中发现偏差，但不影响设备的整体性能，在需方同意的情况下，并且在验收报告中需注明，双方签署后可以视为完成验收，但供方必须在验收后及时排除偏差，如质保期内未能解决，需方有权从质保款中扣除相应款额。</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7"/>
    </w:tbl>
    <w:p/>
    <w:p>
      <w:pPr>
        <w:pStyle w:val="31"/>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27"/>
    <w:bookmarkEnd w:id="28"/>
    <w:bookmarkEnd w:id="29"/>
    <w:bookmarkEnd w:id="30"/>
    <w:bookmarkEnd w:id="31"/>
    <w:bookmarkEnd w:id="32"/>
    <w:bookmarkEnd w:id="33"/>
    <w:bookmarkEnd w:id="34"/>
    <w:bookmarkEnd w:id="35"/>
    <w:bookmarkEnd w:id="36"/>
    <w:bookmarkEnd w:id="37"/>
    <w:bookmarkEnd w:id="38"/>
    <w:p>
      <w:pPr>
        <w:pStyle w:val="41"/>
        <w:spacing w:before="0" w:line="360" w:lineRule="auto"/>
        <w:ind w:left="357"/>
        <w:jc w:val="left"/>
        <w:rPr>
          <w:color w:val="4472C4"/>
          <w:szCs w:val="21"/>
          <w:lang w:eastAsia="zh-CN"/>
        </w:rPr>
      </w:pPr>
      <w:permStart w:id="48" w:edGrp="everyone"/>
    </w:p>
    <w:permEnd w:id="48"/>
    <w:p>
      <w:pPr>
        <w:pStyle w:val="41"/>
        <w:spacing w:before="0" w:line="360" w:lineRule="auto"/>
        <w:ind w:left="357"/>
        <w:jc w:val="left"/>
        <w:rPr>
          <w:color w:val="4472C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2C660EF"/>
    <w:multiLevelType w:val="multilevel"/>
    <w:tmpl w:val="72C660EF"/>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num w:numId="1">
    <w:abstractNumId w:val="1"/>
  </w:num>
  <w:num w:numId="2">
    <w:abstractNumId w:val="10"/>
  </w:num>
  <w:num w:numId="3">
    <w:abstractNumId w:val="6"/>
  </w:num>
  <w:num w:numId="4">
    <w:abstractNumId w:val="9"/>
  </w:num>
  <w:num w:numId="5">
    <w:abstractNumId w:val="5"/>
  </w:num>
  <w:num w:numId="6">
    <w:abstractNumId w:val="11"/>
  </w:num>
  <w:num w:numId="7">
    <w:abstractNumId w:val="0"/>
  </w:num>
  <w:num w:numId="8">
    <w:abstractNumId w:val="4"/>
  </w:num>
  <w:num w:numId="9">
    <w:abstractNumId w:val="3"/>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115"/>
    <w:rsid w:val="0000520B"/>
    <w:rsid w:val="000059AD"/>
    <w:rsid w:val="00005CB9"/>
    <w:rsid w:val="00005E76"/>
    <w:rsid w:val="00005F6D"/>
    <w:rsid w:val="00006273"/>
    <w:rsid w:val="00006FD5"/>
    <w:rsid w:val="0001160E"/>
    <w:rsid w:val="000117C7"/>
    <w:rsid w:val="000136ED"/>
    <w:rsid w:val="000169DD"/>
    <w:rsid w:val="00020FEA"/>
    <w:rsid w:val="00022818"/>
    <w:rsid w:val="000233DE"/>
    <w:rsid w:val="00023B07"/>
    <w:rsid w:val="00023CAD"/>
    <w:rsid w:val="0002457E"/>
    <w:rsid w:val="00027226"/>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30"/>
    <w:rsid w:val="000818AC"/>
    <w:rsid w:val="00082C13"/>
    <w:rsid w:val="00082F0C"/>
    <w:rsid w:val="00083D58"/>
    <w:rsid w:val="000844A8"/>
    <w:rsid w:val="00084F90"/>
    <w:rsid w:val="00086CA0"/>
    <w:rsid w:val="00087002"/>
    <w:rsid w:val="00092C03"/>
    <w:rsid w:val="00096510"/>
    <w:rsid w:val="00097A7D"/>
    <w:rsid w:val="00097CA2"/>
    <w:rsid w:val="000A1D9E"/>
    <w:rsid w:val="000A22EF"/>
    <w:rsid w:val="000A2664"/>
    <w:rsid w:val="000A2C3C"/>
    <w:rsid w:val="000A41DA"/>
    <w:rsid w:val="000A55CC"/>
    <w:rsid w:val="000A5CEE"/>
    <w:rsid w:val="000A6423"/>
    <w:rsid w:val="000A6661"/>
    <w:rsid w:val="000B02ED"/>
    <w:rsid w:val="000B02FD"/>
    <w:rsid w:val="000B068C"/>
    <w:rsid w:val="000B21A3"/>
    <w:rsid w:val="000B417D"/>
    <w:rsid w:val="000B45E0"/>
    <w:rsid w:val="000B4EC4"/>
    <w:rsid w:val="000B5888"/>
    <w:rsid w:val="000C0A41"/>
    <w:rsid w:val="000C0DD3"/>
    <w:rsid w:val="000C0FA5"/>
    <w:rsid w:val="000C3C81"/>
    <w:rsid w:val="000C41B6"/>
    <w:rsid w:val="000C5278"/>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7C00"/>
    <w:rsid w:val="001814FA"/>
    <w:rsid w:val="001815A9"/>
    <w:rsid w:val="00182A27"/>
    <w:rsid w:val="00184DDD"/>
    <w:rsid w:val="00184FFD"/>
    <w:rsid w:val="00185449"/>
    <w:rsid w:val="001860E9"/>
    <w:rsid w:val="00186314"/>
    <w:rsid w:val="00187B04"/>
    <w:rsid w:val="00190000"/>
    <w:rsid w:val="001929C2"/>
    <w:rsid w:val="00192B8F"/>
    <w:rsid w:val="00193D66"/>
    <w:rsid w:val="00194BB7"/>
    <w:rsid w:val="001A02E9"/>
    <w:rsid w:val="001A1DE7"/>
    <w:rsid w:val="001A3BB0"/>
    <w:rsid w:val="001A4947"/>
    <w:rsid w:val="001A64C0"/>
    <w:rsid w:val="001A685F"/>
    <w:rsid w:val="001A7EB6"/>
    <w:rsid w:val="001A7FE4"/>
    <w:rsid w:val="001B0278"/>
    <w:rsid w:val="001B28C8"/>
    <w:rsid w:val="001B4654"/>
    <w:rsid w:val="001C017B"/>
    <w:rsid w:val="001C0AAA"/>
    <w:rsid w:val="001C2014"/>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9D0"/>
    <w:rsid w:val="00212BD9"/>
    <w:rsid w:val="00213AA9"/>
    <w:rsid w:val="002168FE"/>
    <w:rsid w:val="00216AE5"/>
    <w:rsid w:val="00217048"/>
    <w:rsid w:val="002178C5"/>
    <w:rsid w:val="00220757"/>
    <w:rsid w:val="00222993"/>
    <w:rsid w:val="00223661"/>
    <w:rsid w:val="00224129"/>
    <w:rsid w:val="00225DD2"/>
    <w:rsid w:val="002279A2"/>
    <w:rsid w:val="00227A0D"/>
    <w:rsid w:val="002320D9"/>
    <w:rsid w:val="00234C07"/>
    <w:rsid w:val="00234D23"/>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1C8"/>
    <w:rsid w:val="002C527C"/>
    <w:rsid w:val="002D0253"/>
    <w:rsid w:val="002D03CD"/>
    <w:rsid w:val="002D2477"/>
    <w:rsid w:val="002D2AAB"/>
    <w:rsid w:val="002D5A0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167A"/>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24D"/>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656"/>
    <w:rsid w:val="00416E8B"/>
    <w:rsid w:val="00420273"/>
    <w:rsid w:val="00420AA0"/>
    <w:rsid w:val="0042116C"/>
    <w:rsid w:val="00422D19"/>
    <w:rsid w:val="00422DFE"/>
    <w:rsid w:val="00424D83"/>
    <w:rsid w:val="00424E29"/>
    <w:rsid w:val="00427D22"/>
    <w:rsid w:val="00427E2D"/>
    <w:rsid w:val="00432568"/>
    <w:rsid w:val="004365D7"/>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594"/>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AA6"/>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1C1F"/>
    <w:rsid w:val="005220FE"/>
    <w:rsid w:val="005247DE"/>
    <w:rsid w:val="00530B8F"/>
    <w:rsid w:val="00531434"/>
    <w:rsid w:val="00531754"/>
    <w:rsid w:val="00534840"/>
    <w:rsid w:val="00534D08"/>
    <w:rsid w:val="00536973"/>
    <w:rsid w:val="00536C6B"/>
    <w:rsid w:val="005376EC"/>
    <w:rsid w:val="00537998"/>
    <w:rsid w:val="00544652"/>
    <w:rsid w:val="0054625B"/>
    <w:rsid w:val="00551539"/>
    <w:rsid w:val="00552EFE"/>
    <w:rsid w:val="00554ABB"/>
    <w:rsid w:val="0055552D"/>
    <w:rsid w:val="00555668"/>
    <w:rsid w:val="0055679E"/>
    <w:rsid w:val="0056090D"/>
    <w:rsid w:val="00561E9C"/>
    <w:rsid w:val="00563F86"/>
    <w:rsid w:val="00565C7A"/>
    <w:rsid w:val="00567E14"/>
    <w:rsid w:val="005705A7"/>
    <w:rsid w:val="0057277E"/>
    <w:rsid w:val="00572F0E"/>
    <w:rsid w:val="00574D60"/>
    <w:rsid w:val="00575318"/>
    <w:rsid w:val="00577142"/>
    <w:rsid w:val="00577193"/>
    <w:rsid w:val="005773E5"/>
    <w:rsid w:val="00581AD5"/>
    <w:rsid w:val="00581C4E"/>
    <w:rsid w:val="00582DB0"/>
    <w:rsid w:val="00584B8E"/>
    <w:rsid w:val="00586EFD"/>
    <w:rsid w:val="00587AC1"/>
    <w:rsid w:val="00587DE8"/>
    <w:rsid w:val="00590694"/>
    <w:rsid w:val="00590AA6"/>
    <w:rsid w:val="00591A70"/>
    <w:rsid w:val="00592624"/>
    <w:rsid w:val="0059287E"/>
    <w:rsid w:val="00593AF8"/>
    <w:rsid w:val="00593EC9"/>
    <w:rsid w:val="005964B1"/>
    <w:rsid w:val="005965FD"/>
    <w:rsid w:val="00597FCC"/>
    <w:rsid w:val="005A132A"/>
    <w:rsid w:val="005A337C"/>
    <w:rsid w:val="005A34B0"/>
    <w:rsid w:val="005A3C45"/>
    <w:rsid w:val="005A3ECF"/>
    <w:rsid w:val="005A6821"/>
    <w:rsid w:val="005B2393"/>
    <w:rsid w:val="005B6DDF"/>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2C93"/>
    <w:rsid w:val="005E65FA"/>
    <w:rsid w:val="005F19CE"/>
    <w:rsid w:val="005F28F4"/>
    <w:rsid w:val="005F333C"/>
    <w:rsid w:val="005F43BB"/>
    <w:rsid w:val="005F503E"/>
    <w:rsid w:val="005F6CB3"/>
    <w:rsid w:val="005F7612"/>
    <w:rsid w:val="005F7663"/>
    <w:rsid w:val="005F7D63"/>
    <w:rsid w:val="00607170"/>
    <w:rsid w:val="00607408"/>
    <w:rsid w:val="00610AEE"/>
    <w:rsid w:val="00613A64"/>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266E"/>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6AC"/>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4AC4"/>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5733C"/>
    <w:rsid w:val="00760886"/>
    <w:rsid w:val="007615CA"/>
    <w:rsid w:val="00761ADD"/>
    <w:rsid w:val="00762B3A"/>
    <w:rsid w:val="00762B85"/>
    <w:rsid w:val="00765D6E"/>
    <w:rsid w:val="00765D7E"/>
    <w:rsid w:val="00765F7B"/>
    <w:rsid w:val="00766931"/>
    <w:rsid w:val="007674B6"/>
    <w:rsid w:val="00770E90"/>
    <w:rsid w:val="00770F01"/>
    <w:rsid w:val="00772C42"/>
    <w:rsid w:val="0077302F"/>
    <w:rsid w:val="00773661"/>
    <w:rsid w:val="00774A61"/>
    <w:rsid w:val="00774E08"/>
    <w:rsid w:val="00774E72"/>
    <w:rsid w:val="00777400"/>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217C"/>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726"/>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2DA6"/>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1380"/>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484"/>
    <w:rsid w:val="008B58C4"/>
    <w:rsid w:val="008B664E"/>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A8A"/>
    <w:rsid w:val="008D5C06"/>
    <w:rsid w:val="008D6227"/>
    <w:rsid w:val="008D7A8B"/>
    <w:rsid w:val="008E41D3"/>
    <w:rsid w:val="008E43F1"/>
    <w:rsid w:val="008E594F"/>
    <w:rsid w:val="008E7312"/>
    <w:rsid w:val="008E7522"/>
    <w:rsid w:val="008F297F"/>
    <w:rsid w:val="008F447E"/>
    <w:rsid w:val="008F7A5B"/>
    <w:rsid w:val="009031B2"/>
    <w:rsid w:val="00904BA9"/>
    <w:rsid w:val="00904E7E"/>
    <w:rsid w:val="0091086B"/>
    <w:rsid w:val="00911129"/>
    <w:rsid w:val="00912EA3"/>
    <w:rsid w:val="00914B6E"/>
    <w:rsid w:val="009156A2"/>
    <w:rsid w:val="0091579A"/>
    <w:rsid w:val="0091615D"/>
    <w:rsid w:val="009201E0"/>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0EAA"/>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29B4"/>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312A"/>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6AE0"/>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5D10"/>
    <w:rsid w:val="00B07418"/>
    <w:rsid w:val="00B11547"/>
    <w:rsid w:val="00B11EF0"/>
    <w:rsid w:val="00B1226C"/>
    <w:rsid w:val="00B14F05"/>
    <w:rsid w:val="00B15D01"/>
    <w:rsid w:val="00B20EBF"/>
    <w:rsid w:val="00B24F44"/>
    <w:rsid w:val="00B25428"/>
    <w:rsid w:val="00B255BB"/>
    <w:rsid w:val="00B25E24"/>
    <w:rsid w:val="00B2609A"/>
    <w:rsid w:val="00B301B1"/>
    <w:rsid w:val="00B31909"/>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219B"/>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1F9B"/>
    <w:rsid w:val="00BC44F5"/>
    <w:rsid w:val="00BC500B"/>
    <w:rsid w:val="00BC547C"/>
    <w:rsid w:val="00BC6B29"/>
    <w:rsid w:val="00BC798C"/>
    <w:rsid w:val="00BC7D11"/>
    <w:rsid w:val="00BD00FD"/>
    <w:rsid w:val="00BD15A2"/>
    <w:rsid w:val="00BD2153"/>
    <w:rsid w:val="00BD240E"/>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637"/>
    <w:rsid w:val="00C16542"/>
    <w:rsid w:val="00C22382"/>
    <w:rsid w:val="00C2355B"/>
    <w:rsid w:val="00C274A6"/>
    <w:rsid w:val="00C30E5C"/>
    <w:rsid w:val="00C31C03"/>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76DA2"/>
    <w:rsid w:val="00C83D88"/>
    <w:rsid w:val="00C84961"/>
    <w:rsid w:val="00C84B06"/>
    <w:rsid w:val="00C87100"/>
    <w:rsid w:val="00C87CAC"/>
    <w:rsid w:val="00C90FFB"/>
    <w:rsid w:val="00C913A1"/>
    <w:rsid w:val="00C92A31"/>
    <w:rsid w:val="00C950D6"/>
    <w:rsid w:val="00C97646"/>
    <w:rsid w:val="00C97672"/>
    <w:rsid w:val="00CA4F9C"/>
    <w:rsid w:val="00CA55BD"/>
    <w:rsid w:val="00CB0837"/>
    <w:rsid w:val="00CB2BFA"/>
    <w:rsid w:val="00CB3888"/>
    <w:rsid w:val="00CB400E"/>
    <w:rsid w:val="00CB48F6"/>
    <w:rsid w:val="00CB5F04"/>
    <w:rsid w:val="00CB67F1"/>
    <w:rsid w:val="00CB7DC8"/>
    <w:rsid w:val="00CC0624"/>
    <w:rsid w:val="00CC0EC0"/>
    <w:rsid w:val="00CC34DB"/>
    <w:rsid w:val="00CC51AC"/>
    <w:rsid w:val="00CC609D"/>
    <w:rsid w:val="00CC6E1F"/>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5BC2"/>
    <w:rsid w:val="00D00811"/>
    <w:rsid w:val="00D02A43"/>
    <w:rsid w:val="00D04518"/>
    <w:rsid w:val="00D05489"/>
    <w:rsid w:val="00D05CA1"/>
    <w:rsid w:val="00D061CB"/>
    <w:rsid w:val="00D0796C"/>
    <w:rsid w:val="00D07B7D"/>
    <w:rsid w:val="00D11A35"/>
    <w:rsid w:val="00D13130"/>
    <w:rsid w:val="00D137FF"/>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13A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2A40"/>
    <w:rsid w:val="00E53A9F"/>
    <w:rsid w:val="00E549AF"/>
    <w:rsid w:val="00E60540"/>
    <w:rsid w:val="00E61C74"/>
    <w:rsid w:val="00E63D8F"/>
    <w:rsid w:val="00E706B6"/>
    <w:rsid w:val="00E747C7"/>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43B4"/>
    <w:rsid w:val="00EA623C"/>
    <w:rsid w:val="00EA6395"/>
    <w:rsid w:val="00EB044B"/>
    <w:rsid w:val="00EB067C"/>
    <w:rsid w:val="00EB3C66"/>
    <w:rsid w:val="00EB4B03"/>
    <w:rsid w:val="00EB5DEE"/>
    <w:rsid w:val="00EB64CB"/>
    <w:rsid w:val="00EB6D46"/>
    <w:rsid w:val="00EC07F3"/>
    <w:rsid w:val="00EC3194"/>
    <w:rsid w:val="00EC44F9"/>
    <w:rsid w:val="00EC518D"/>
    <w:rsid w:val="00EC71D3"/>
    <w:rsid w:val="00ED02FE"/>
    <w:rsid w:val="00ED0735"/>
    <w:rsid w:val="00ED1EC9"/>
    <w:rsid w:val="00ED3737"/>
    <w:rsid w:val="00ED3856"/>
    <w:rsid w:val="00ED3E2E"/>
    <w:rsid w:val="00ED4CC8"/>
    <w:rsid w:val="00ED6A08"/>
    <w:rsid w:val="00EE05EE"/>
    <w:rsid w:val="00EE0AE2"/>
    <w:rsid w:val="00EE35B4"/>
    <w:rsid w:val="00EE4F43"/>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5BE8"/>
    <w:rsid w:val="00F36D7F"/>
    <w:rsid w:val="00F37186"/>
    <w:rsid w:val="00F42FCF"/>
    <w:rsid w:val="00F44A83"/>
    <w:rsid w:val="00F51743"/>
    <w:rsid w:val="00F529D4"/>
    <w:rsid w:val="00F53FDE"/>
    <w:rsid w:val="00F54F27"/>
    <w:rsid w:val="00F55FC8"/>
    <w:rsid w:val="00F604E3"/>
    <w:rsid w:val="00F610E6"/>
    <w:rsid w:val="00F61FCC"/>
    <w:rsid w:val="00F64ACD"/>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39B"/>
    <w:rsid w:val="00FA64BF"/>
    <w:rsid w:val="00FA6D7E"/>
    <w:rsid w:val="00FB020D"/>
    <w:rsid w:val="00FB3F33"/>
    <w:rsid w:val="00FB43E4"/>
    <w:rsid w:val="00FB4889"/>
    <w:rsid w:val="00FB664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6C18F7"/>
    <w:rsid w:val="08AE0B40"/>
    <w:rsid w:val="0B0E1535"/>
    <w:rsid w:val="13146339"/>
    <w:rsid w:val="136D004B"/>
    <w:rsid w:val="16AE6966"/>
    <w:rsid w:val="17095C6E"/>
    <w:rsid w:val="1A9A79B9"/>
    <w:rsid w:val="1AEC55AD"/>
    <w:rsid w:val="24805711"/>
    <w:rsid w:val="29101065"/>
    <w:rsid w:val="29D662F5"/>
    <w:rsid w:val="35767635"/>
    <w:rsid w:val="3723560A"/>
    <w:rsid w:val="39632126"/>
    <w:rsid w:val="3C99602E"/>
    <w:rsid w:val="47FA0219"/>
    <w:rsid w:val="4988120B"/>
    <w:rsid w:val="594E1611"/>
    <w:rsid w:val="5E55010E"/>
    <w:rsid w:val="61373C8D"/>
    <w:rsid w:val="6B1A17D2"/>
    <w:rsid w:val="6EFE409C"/>
    <w:rsid w:val="70A62476"/>
    <w:rsid w:val="7154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7120</Words>
  <Characters>1832</Characters>
  <Lines>15</Lines>
  <Paragraphs>17</Paragraphs>
  <TotalTime>1</TotalTime>
  <ScaleCrop>false</ScaleCrop>
  <LinksUpToDate>false</LinksUpToDate>
  <CharactersWithSpaces>8935</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2019-07-25T00:58:00Z</dcterms:created>
  <dc:creator>Lilly</dc:creator>
  <cp:lastModifiedBy>汪洋</cp:lastModifiedBy>
  <cp:lastPrinted>2019-08-23T06:32:00Z</cp:lastPrinted>
  <dcterms:modified xsi:type="dcterms:W3CDTF">2022-04-07T02:39:01Z</dcterms:modified>
  <dc:title>生效期：</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27A3F182CE3F4BC49E4DCCBAD0608881</vt:lpwstr>
  </property>
</Properties>
</file>