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227223"/>
      <w:bookmarkStart w:id="2" w:name="_Toc483666358"/>
      <w:bookmarkStart w:id="3" w:name="_Toc482717189"/>
      <w:bookmarkStart w:id="4" w:name="_Toc484532399"/>
    </w:p>
    <w:p>
      <w:pPr>
        <w:spacing w:after="158" w:afterLines="50"/>
        <w:jc w:val="center"/>
        <w:rPr>
          <w:b/>
          <w:szCs w:val="21"/>
          <w:lang w:eastAsia="zh-CN"/>
        </w:rPr>
      </w:pPr>
      <w:permStart w:id="0" w:edGrp="everyone"/>
      <w:r>
        <w:rPr>
          <w:rFonts w:hint="eastAsia"/>
          <w:b/>
          <w:sz w:val="28"/>
          <w:szCs w:val="28"/>
          <w:lang w:val="en-US" w:eastAsia="zh-CN"/>
        </w:rPr>
        <w:t>疫苗楼Sabin株脊髓灰质炎灭活疫苗（Vero细胞）车间浮游菌采样仪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2"/>
        <w:spacing w:before="0" w:line="360" w:lineRule="auto"/>
        <w:ind w:left="357"/>
        <w:jc w:val="left"/>
        <w:rPr>
          <w:szCs w:val="21"/>
          <w:lang w:eastAsia="zh-CN"/>
        </w:rPr>
      </w:pPr>
      <w:bookmarkStart w:id="7" w:name="_Toc482359936"/>
      <w:bookmarkStart w:id="8" w:name="_Toc482625279"/>
      <w:bookmarkStart w:id="9" w:name="_Toc481702475"/>
      <w:bookmarkStart w:id="10" w:name="_Toc482369805"/>
      <w:bookmarkStart w:id="11" w:name="_Toc482360281"/>
      <w:bookmarkStart w:id="12" w:name="_Toc482370061"/>
      <w:bookmarkStart w:id="13" w:name="_Toc482370349"/>
      <w:bookmarkStart w:id="14" w:name="_Toc482370757"/>
      <w:bookmarkStart w:id="15" w:name="_Toc482370141"/>
      <w:r>
        <w:rPr>
          <w:szCs w:val="21"/>
          <w:lang w:eastAsia="zh-CN"/>
        </w:rPr>
        <w:t>本文件的目的是描述武汉生物制品研究所有限责任公司</w:t>
      </w:r>
      <w:permStart w:id="3" w:edGrp="everyone"/>
      <w:r>
        <w:rPr>
          <w:rFonts w:hint="eastAsia"/>
          <w:szCs w:val="21"/>
          <w:lang w:eastAsia="zh-CN"/>
        </w:rPr>
        <w:t>疫苗楼Sabin株脊髓灰质炎灭活疫苗（Vero细胞）车间浮游菌采样仪</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疫苗楼Sabin株脊髓灰质炎灭活疫苗（Vero细胞）车间浮游菌采样仪</w:t>
      </w:r>
      <w:permEnd w:id="4"/>
      <w:r>
        <w:rPr>
          <w:szCs w:val="21"/>
          <w:lang w:eastAsia="zh-CN"/>
        </w:rPr>
        <w:t>。</w:t>
      </w:r>
      <w:bookmarkEnd w:id="7"/>
      <w:bookmarkEnd w:id="8"/>
      <w:bookmarkEnd w:id="9"/>
      <w:bookmarkEnd w:id="10"/>
      <w:bookmarkEnd w:id="11"/>
      <w:bookmarkEnd w:id="12"/>
      <w:bookmarkEnd w:id="13"/>
      <w:bookmarkEnd w:id="14"/>
      <w:bookmarkEnd w:id="15"/>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《中华人民共和国药典》（2020版）</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《药品生产质量管理规范》（2010版）</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
      <w:pPr>
        <w:pStyle w:val="42"/>
        <w:numPr>
          <w:ilvl w:val="0"/>
          <w:numId w:val="5"/>
        </w:numPr>
        <w:spacing w:before="0" w:line="360" w:lineRule="auto"/>
        <w:ind w:left="777"/>
        <w:jc w:val="left"/>
        <w:rPr>
          <w:szCs w:val="21"/>
          <w:lang w:eastAsia="zh-CN"/>
        </w:rPr>
      </w:pPr>
      <w:r>
        <w:rPr>
          <w:rFonts w:hint="eastAsia"/>
          <w:szCs w:val="21"/>
          <w:lang w:eastAsia="zh-CN"/>
        </w:rPr>
        <w:t>自动化生产规范（GAMP 5）</w:t>
      </w:r>
    </w:p>
    <w:p>
      <w:pPr>
        <w:pStyle w:val="42"/>
        <w:numPr>
          <w:ilvl w:val="0"/>
          <w:numId w:val="5"/>
        </w:numPr>
        <w:spacing w:before="0" w:line="360" w:lineRule="auto"/>
        <w:ind w:left="777"/>
        <w:jc w:val="left"/>
        <w:rPr>
          <w:szCs w:val="21"/>
          <w:lang w:eastAsia="zh-CN"/>
        </w:rPr>
      </w:pPr>
      <w:r>
        <w:rPr>
          <w:rFonts w:hint="eastAsia"/>
          <w:color w:val="000000"/>
          <w:szCs w:val="21"/>
          <w:lang w:eastAsia="zh-CN"/>
        </w:rPr>
        <w:t xml:space="preserve">ISO </w:t>
      </w:r>
      <w:r>
        <w:rPr>
          <w:rFonts w:hint="eastAsia"/>
          <w:szCs w:val="21"/>
          <w:lang w:eastAsia="zh-CN"/>
        </w:rPr>
        <w:t>14698-1/2洁净室及相关控制环境的生物污染控制</w:t>
      </w:r>
    </w:p>
    <w:p>
      <w:pPr>
        <w:pStyle w:val="42"/>
        <w:numPr>
          <w:ilvl w:val="0"/>
          <w:numId w:val="5"/>
        </w:numPr>
        <w:spacing w:before="0" w:line="360" w:lineRule="auto"/>
        <w:ind w:left="777"/>
        <w:jc w:val="left"/>
        <w:rPr>
          <w:szCs w:val="21"/>
          <w:lang w:eastAsia="zh-CN"/>
        </w:rPr>
      </w:pPr>
      <w:r>
        <w:rPr>
          <w:rFonts w:hint="eastAsia"/>
          <w:color w:val="000000"/>
          <w:szCs w:val="21"/>
          <w:lang w:eastAsia="zh-CN"/>
        </w:rPr>
        <w:t>GB/T 16293-2010医药工业</w:t>
      </w:r>
      <w:r>
        <w:rPr>
          <w:rFonts w:hint="eastAsia"/>
          <w:szCs w:val="21"/>
          <w:lang w:eastAsia="zh-CN"/>
        </w:rPr>
        <w:t>洁净室(区)浮游菌的测试方法</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6"/>
        </w:numPr>
        <w:spacing w:before="0" w:line="360" w:lineRule="auto"/>
        <w:jc w:val="left"/>
        <w:rPr>
          <w:szCs w:val="21"/>
          <w:lang w:eastAsia="zh-CN"/>
        </w:rPr>
      </w:pPr>
      <w:permStart w:id="6" w:edGrp="everyone"/>
      <w:r>
        <w:rPr>
          <w:rFonts w:hint="eastAsia"/>
          <w:szCs w:val="21"/>
          <w:lang w:eastAsia="zh-CN"/>
        </w:rPr>
        <w:t>电气安全应符合GB4793.1和GB4793.4的要求</w:t>
      </w:r>
    </w:p>
    <w:permEnd w:id="6"/>
    <w:p>
      <w:pPr>
        <w:pStyle w:val="42"/>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42"/>
        <w:spacing w:before="0" w:line="360" w:lineRule="auto"/>
        <w:ind w:left="357"/>
        <w:jc w:val="left"/>
        <w:rPr>
          <w:i/>
          <w:color w:val="4472C4"/>
          <w:szCs w:val="21"/>
          <w:lang w:eastAsia="zh-CN"/>
        </w:rPr>
      </w:pPr>
      <w:permStart w:id="7" w:edGrp="everyone"/>
      <w:r>
        <w:rPr>
          <w:rFonts w:hint="eastAsia"/>
          <w:color w:val="000000"/>
          <w:szCs w:val="21"/>
          <w:lang w:eastAsia="zh-CN"/>
        </w:rPr>
        <w:t>疫苗楼Sabin株脊髓灰质炎灭活疫苗（Vero细胞）车间需要购买</w:t>
      </w:r>
      <w:r>
        <w:rPr>
          <w:color w:val="000000"/>
          <w:szCs w:val="21"/>
          <w:lang w:eastAsia="zh-CN"/>
        </w:rPr>
        <w:t>8</w:t>
      </w:r>
      <w:r>
        <w:rPr>
          <w:rFonts w:hint="eastAsia"/>
          <w:color w:val="000000"/>
          <w:szCs w:val="21"/>
          <w:lang w:eastAsia="zh-CN"/>
        </w:rPr>
        <w:t>台浮游菌采样仪，用于过程控制中环境监测的采样。</w:t>
      </w:r>
      <w:permEnd w:id="7"/>
    </w:p>
    <w:p>
      <w:pPr>
        <w:pStyle w:val="32"/>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ermStart w:id="8" w:edGrp="everyone"/>
      <w:permEnd w:id="8"/>
      <w:bookmarkStart w:id="47" w:name="_GoBack"/>
      <w:bookmarkEnd w:id="4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i/>
                <w:color w:val="0070C0"/>
                <w:szCs w:val="21"/>
                <w:lang w:eastAsia="zh-CN"/>
              </w:rPr>
            </w:pPr>
            <w:r>
              <w:rPr>
                <w:rFonts w:hint="eastAsia"/>
                <w:color w:val="000000"/>
                <w:szCs w:val="21"/>
                <w:lang w:eastAsia="zh-CN"/>
              </w:rPr>
              <w:t>疫苗楼Sabin株脊髓灰质炎灭活疫苗（Vero细胞）车间</w:t>
            </w:r>
          </w:p>
        </w:tc>
        <w:tc>
          <w:tcPr>
            <w:tcW w:w="2125" w:type="dxa"/>
            <w:shd w:val="clear" w:color="auto" w:fill="auto"/>
            <w:vAlign w:val="center"/>
          </w:tcPr>
          <w:p>
            <w:pPr>
              <w:jc w:val="center"/>
              <w:rPr>
                <w:i/>
                <w:szCs w:val="21"/>
                <w:lang w:eastAsia="zh-CN"/>
              </w:rPr>
            </w:pPr>
            <w:r>
              <w:rPr>
                <w:rFonts w:hint="eastAsia"/>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浮游菌采样仪适用于90MM TSA平皿，设备尺寸外形必须方便携带，便于手动操作，直径和高度在 φ160MM*250MM范围以内。</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70C0"/>
                <w:szCs w:val="21"/>
                <w:lang w:val="en-US" w:eastAsia="zh-CN"/>
              </w:rPr>
            </w:pPr>
            <w:r>
              <w:rPr>
                <w:rFonts w:hint="eastAsia"/>
                <w:szCs w:val="21"/>
                <w:lang w:val="en-US" w:eastAsia="zh-CN"/>
              </w:rPr>
              <w:t>设备的形式尺寸应符合制造商说明书及技术文件规定的要求。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rFonts w:hint="eastAsia"/>
                <w:szCs w:val="21"/>
                <w:lang w:val="en-US" w:eastAsia="zh-CN"/>
              </w:rPr>
              <w:t>供应商必须给出设备选型方案及相应附件选型方案，并交给我公司使用部门及工程类部门审核。</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426"/>
              <w:rPr>
                <w:szCs w:val="21"/>
                <w:shd w:val="clear" w:color="FFFFFF" w:fill="D9D9D9"/>
              </w:rPr>
            </w:pPr>
            <w:permStart w:id="12" w:edGrp="everyone"/>
          </w:p>
        </w:tc>
        <w:tc>
          <w:tcPr>
            <w:tcW w:w="9253" w:type="dxa"/>
            <w:gridSpan w:val="2"/>
            <w:shd w:val="clear" w:color="auto" w:fill="auto"/>
            <w:vAlign w:val="center"/>
          </w:tcPr>
          <w:p>
            <w:pPr>
              <w:spacing w:line="276" w:lineRule="auto"/>
              <w:jc w:val="both"/>
              <w:rPr>
                <w:i/>
                <w:color w:val="0070C0"/>
                <w:szCs w:val="21"/>
                <w:lang w:eastAsia="zh-CN"/>
              </w:rPr>
            </w:pPr>
            <w:r>
              <w:rPr>
                <w:rFonts w:hint="eastAsia"/>
                <w:sz w:val="24"/>
                <w:szCs w:val="24"/>
                <w:lang w:eastAsia="zh-CN"/>
              </w:rPr>
              <w:t>N</w:t>
            </w:r>
            <w:r>
              <w:rPr>
                <w:sz w:val="24"/>
                <w:szCs w:val="24"/>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rPr>
                <w:szCs w:val="21"/>
                <w:lang w:val="en-US" w:eastAsia="zh-CN"/>
              </w:rPr>
            </w:pPr>
            <w:permStart w:id="13" w:edGrp="everyone"/>
          </w:p>
        </w:tc>
        <w:tc>
          <w:tcPr>
            <w:tcW w:w="9253" w:type="dxa"/>
            <w:gridSpan w:val="2"/>
            <w:shd w:val="clear" w:color="auto" w:fill="auto"/>
            <w:vAlign w:val="center"/>
          </w:tcPr>
          <w:p>
            <w:pPr>
              <w:spacing w:line="276" w:lineRule="auto"/>
              <w:jc w:val="both"/>
              <w:rPr>
                <w:i/>
                <w:szCs w:val="21"/>
                <w:lang w:eastAsia="zh-CN"/>
              </w:rPr>
            </w:pPr>
            <w:r>
              <w:rPr>
                <w:rFonts w:hint="eastAsia"/>
                <w:sz w:val="24"/>
                <w:szCs w:val="24"/>
                <w:lang w:eastAsia="zh-CN"/>
              </w:rPr>
              <w:t>N</w:t>
            </w:r>
            <w:r>
              <w:rPr>
                <w:sz w:val="24"/>
                <w:szCs w:val="24"/>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szCs w:val="21"/>
                <w:lang w:eastAsia="zh-CN"/>
              </w:rPr>
              <w:t>工作环境</w:t>
            </w:r>
            <w:r>
              <w:rPr>
                <w:color w:val="000000"/>
                <w:lang w:eastAsia="zh-CN"/>
              </w:rPr>
              <w:t>温度：能适应</w:t>
            </w:r>
            <w:r>
              <w:rPr>
                <w:rFonts w:hint="eastAsia"/>
                <w:color w:val="000000"/>
                <w:lang w:val="en-US" w:eastAsia="zh-CN"/>
              </w:rPr>
              <w:t>2</w:t>
            </w:r>
            <w:r>
              <w:rPr>
                <w:rFonts w:hint="eastAsia" w:ascii="宋体" w:hAnsi="宋体" w:cs="宋体"/>
                <w:color w:val="000000"/>
                <w:lang w:eastAsia="zh-CN"/>
              </w:rPr>
              <w:t>℃</w:t>
            </w:r>
            <w:r>
              <w:rPr>
                <w:color w:val="000000"/>
                <w:lang w:eastAsia="zh-CN"/>
              </w:rPr>
              <w:t>～</w:t>
            </w:r>
            <w:r>
              <w:rPr>
                <w:rFonts w:hint="eastAsia"/>
                <w:szCs w:val="21"/>
                <w:lang w:val="en-US" w:eastAsia="zh-CN"/>
              </w:rPr>
              <w:t>26</w:t>
            </w:r>
            <w:r>
              <w:rPr>
                <w:rFonts w:hint="eastAsia" w:ascii="宋体" w:hAnsi="宋体" w:cs="宋体"/>
                <w:color w:val="000000"/>
                <w:lang w:eastAsia="zh-CN"/>
              </w:rPr>
              <w:t>℃</w:t>
            </w:r>
            <w:r>
              <w:rPr>
                <w:color w:val="000000"/>
                <w:lang w:eastAsia="zh-CN"/>
              </w:rPr>
              <w:t xml:space="preserve">环境 </w:t>
            </w:r>
            <w:r>
              <w:rPr>
                <w:rFonts w:hint="eastAsia"/>
                <w:color w:val="000000"/>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w:t>
            </w:r>
            <w:r>
              <w:rPr>
                <w:szCs w:val="21"/>
                <w:lang w:eastAsia="zh-CN"/>
              </w:rPr>
              <w:t>45</w:t>
            </w:r>
            <w:r>
              <w:rPr>
                <w:color w:val="000000"/>
                <w:lang w:eastAsia="zh-CN"/>
              </w:rPr>
              <w:t>%～</w:t>
            </w:r>
            <w:r>
              <w:rPr>
                <w:szCs w:val="21"/>
                <w:lang w:eastAsia="zh-CN"/>
              </w:rPr>
              <w:t>65</w:t>
            </w:r>
            <w:r>
              <w:rPr>
                <w:color w:val="000000"/>
                <w:lang w:eastAsia="zh-CN"/>
              </w:rPr>
              <w:t>%</w:t>
            </w:r>
            <w:r>
              <w:rPr>
                <w:rFonts w:hint="eastAsia"/>
                <w:color w:val="000000"/>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工作环境洁净级别：</w:t>
            </w:r>
            <w:r>
              <w:rPr>
                <w:rFonts w:hint="eastAsia"/>
                <w:szCs w:val="21"/>
                <w:lang w:eastAsia="zh-CN"/>
              </w:rPr>
              <w:t>A级/C级/D级洁净区。</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FF0000"/>
                <w:szCs w:val="21"/>
                <w:lang w:eastAsia="zh-CN"/>
              </w:rPr>
            </w:pPr>
            <w:r>
              <w:rPr>
                <w:color w:val="000000"/>
                <w:lang w:eastAsia="zh-CN"/>
              </w:rPr>
              <w:t>交流电电源：</w:t>
            </w:r>
            <w:r>
              <w:rPr>
                <w:szCs w:val="21"/>
                <w:lang w:eastAsia="zh-CN"/>
              </w:rPr>
              <w:t>220±10%V，</w:t>
            </w:r>
            <w:r>
              <w:rPr>
                <w:rFonts w:hint="eastAsia"/>
                <w:szCs w:val="21"/>
                <w:lang w:val="en-US" w:eastAsia="zh-CN"/>
              </w:rPr>
              <w:t>50</w:t>
            </w:r>
            <w:r>
              <w:rPr>
                <w:szCs w:val="21"/>
                <w:lang w:eastAsia="zh-CN"/>
              </w:rPr>
              <w:t>±1</w:t>
            </w:r>
            <w:r>
              <w:rPr>
                <w:rFonts w:hint="eastAsia"/>
                <w:szCs w:val="21"/>
                <w:lang w:val="en-US" w:eastAsia="zh-CN"/>
              </w:rPr>
              <w:t>HZ，可充电。</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lang w:eastAsia="zh-CN"/>
              </w:rPr>
            </w:pPr>
            <w:r>
              <w:rPr>
                <w:rFonts w:hint="eastAsia"/>
                <w:szCs w:val="21"/>
                <w:lang w:eastAsia="zh-CN"/>
              </w:rPr>
              <w:t>自带大容量充电电池，需配一个备用充电电池，在充满电的情况下至少能使用</w:t>
            </w:r>
            <w:r>
              <w:rPr>
                <w:rFonts w:hint="eastAsia"/>
                <w:szCs w:val="21"/>
                <w:lang w:val="en-US" w:eastAsia="zh-CN"/>
              </w:rPr>
              <w:t>6-8小时</w:t>
            </w:r>
            <w:r>
              <w:rPr>
                <w:rFonts w:hint="eastAsia"/>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18" w:edGrp="everyone"/>
          </w:p>
        </w:tc>
        <w:tc>
          <w:tcPr>
            <w:tcW w:w="7128" w:type="dxa"/>
            <w:shd w:val="clear" w:color="auto" w:fill="auto"/>
            <w:vAlign w:val="center"/>
          </w:tcPr>
          <w:p>
            <w:pPr>
              <w:pStyle w:val="48"/>
              <w:spacing w:line="360" w:lineRule="auto"/>
              <w:jc w:val="both"/>
              <w:rPr>
                <w:lang w:eastAsia="zh-CN"/>
              </w:rPr>
            </w:pPr>
            <w:r>
              <w:rPr>
                <w:rFonts w:hint="eastAsia"/>
                <w:sz w:val="21"/>
                <w:szCs w:val="21"/>
                <w:lang w:eastAsia="zh-CN"/>
              </w:rPr>
              <w:t>浮游菌采样仪器材质应符合药品生产行业要求。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8"/>
              <w:spacing w:line="360" w:lineRule="auto"/>
              <w:rPr>
                <w:lang w:eastAsia="zh-CN"/>
              </w:rPr>
            </w:pPr>
            <w:r>
              <w:rPr>
                <w:rFonts w:hint="eastAsia"/>
                <w:sz w:val="21"/>
                <w:szCs w:val="21"/>
                <w:lang w:eastAsia="zh-CN"/>
              </w:rPr>
              <w:t>浮游菌采样仪外观应端正、整齐，不得有明显的偏歪、毛刺和锈蚀等缺陷，内部表面不得有凹陷、毛刺和锈蚀等缺陷。</w:t>
            </w:r>
            <w:r>
              <w:rPr>
                <w:rFonts w:hint="eastAsia"/>
                <w:sz w:val="21"/>
                <w:szCs w:val="21"/>
                <w:lang w:val="en-US" w:eastAsia="zh-CN"/>
              </w:rPr>
              <w:t>机身材质至少为304不锈钢。</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8"/>
              <w:spacing w:line="360" w:lineRule="auto"/>
              <w:rPr>
                <w:sz w:val="21"/>
                <w:szCs w:val="21"/>
                <w:lang w:eastAsia="zh-CN"/>
              </w:rPr>
            </w:pPr>
            <w:r>
              <w:rPr>
                <w:rFonts w:hint="eastAsia"/>
                <w:sz w:val="21"/>
                <w:szCs w:val="21"/>
                <w:lang w:eastAsia="zh-CN"/>
              </w:rPr>
              <w:t>采样头为316L不锈钢材质，并适用于常见制药行业消毒方式，</w:t>
            </w:r>
            <w:r>
              <w:rPr>
                <w:rFonts w:hint="eastAsia"/>
                <w:sz w:val="21"/>
                <w:szCs w:val="21"/>
                <w:lang w:val="en-US" w:eastAsia="zh-CN"/>
              </w:rPr>
              <w:t>如1%84消毒液、0.1%新洁尔灭、75%乙醇，</w:t>
            </w:r>
            <w:r>
              <w:rPr>
                <w:rFonts w:hint="eastAsia"/>
                <w:sz w:val="21"/>
                <w:szCs w:val="21"/>
                <w:lang w:eastAsia="zh-CN"/>
              </w:rPr>
              <w:t>易清洁耐腐蚀。浮游菌采样仪表面应光滑，平整，易于清洁消毒。</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8"/>
              <w:spacing w:line="360" w:lineRule="auto"/>
              <w:rPr>
                <w:sz w:val="21"/>
                <w:szCs w:val="21"/>
                <w:lang w:eastAsia="zh-CN"/>
              </w:rPr>
            </w:pPr>
            <w:r>
              <w:rPr>
                <w:rFonts w:hint="eastAsia"/>
                <w:sz w:val="21"/>
                <w:szCs w:val="21"/>
                <w:lang w:eastAsia="zh-CN"/>
              </w:rPr>
              <w:t>采样头可选配多孔吸入式或狭缝式。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8"/>
              <w:spacing w:line="360" w:lineRule="auto"/>
              <w:rPr>
                <w:sz w:val="21"/>
                <w:szCs w:val="21"/>
                <w:lang w:eastAsia="zh-CN"/>
              </w:rPr>
            </w:pPr>
            <w:r>
              <w:rPr>
                <w:rFonts w:hint="eastAsia"/>
                <w:sz w:val="21"/>
                <w:szCs w:val="21"/>
                <w:lang w:eastAsia="zh-CN"/>
              </w:rPr>
              <w:t>显示屏需为大屏幕，高亮度LCD显示中文菜单，便于操作。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rPr>
                <w:lang w:eastAsia="zh-CN"/>
              </w:rPr>
            </w:pPr>
            <w:r>
              <w:rPr>
                <w:rFonts w:hint="eastAsia"/>
                <w:szCs w:val="21"/>
                <w:lang w:eastAsia="zh-CN"/>
              </w:rPr>
              <w:t>标记：至少应有以下永久贴牢和清楚易认的标记：</w:t>
            </w:r>
          </w:p>
          <w:p>
            <w:pPr>
              <w:spacing w:line="276" w:lineRule="auto"/>
              <w:rPr>
                <w:lang w:eastAsia="zh-CN"/>
              </w:rPr>
            </w:pPr>
            <w:r>
              <w:rPr>
                <w:rFonts w:hint="eastAsia"/>
                <w:szCs w:val="21"/>
                <w:lang w:eastAsia="zh-CN"/>
              </w:rPr>
              <w:t>（1）制造/供应单位；</w:t>
            </w:r>
          </w:p>
          <w:p>
            <w:pPr>
              <w:spacing w:line="276" w:lineRule="auto"/>
              <w:rPr>
                <w:lang w:eastAsia="zh-CN"/>
              </w:rPr>
            </w:pPr>
            <w:r>
              <w:rPr>
                <w:rFonts w:hint="eastAsia"/>
                <w:szCs w:val="21"/>
                <w:lang w:eastAsia="zh-CN"/>
              </w:rPr>
              <w:t>（2）产品注册号；</w:t>
            </w:r>
          </w:p>
          <w:p>
            <w:pPr>
              <w:spacing w:line="276" w:lineRule="auto"/>
              <w:rPr>
                <w:lang w:eastAsia="zh-CN"/>
              </w:rPr>
            </w:pPr>
            <w:r>
              <w:rPr>
                <w:rFonts w:hint="eastAsia"/>
                <w:szCs w:val="21"/>
                <w:lang w:eastAsia="zh-CN"/>
              </w:rPr>
              <w:t>（3）型号标记；</w:t>
            </w:r>
          </w:p>
          <w:p>
            <w:pPr>
              <w:spacing w:line="276" w:lineRule="auto"/>
              <w:rPr>
                <w:lang w:eastAsia="zh-CN"/>
              </w:rPr>
            </w:pPr>
            <w:r>
              <w:rPr>
                <w:rFonts w:hint="eastAsia"/>
                <w:szCs w:val="21"/>
                <w:lang w:eastAsia="zh-CN"/>
              </w:rPr>
              <w:t>（4）生产日期或编号；</w:t>
            </w:r>
          </w:p>
          <w:p>
            <w:pPr>
              <w:spacing w:line="276" w:lineRule="auto"/>
              <w:rPr>
                <w:lang w:eastAsia="zh-CN"/>
              </w:rPr>
            </w:pPr>
            <w:r>
              <w:rPr>
                <w:rFonts w:hint="eastAsia"/>
                <w:szCs w:val="21"/>
                <w:lang w:eastAsia="zh-CN"/>
              </w:rPr>
              <w:t>（5）必要的功能标识及说明；</w:t>
            </w:r>
          </w:p>
          <w:p>
            <w:pPr>
              <w:spacing w:line="276" w:lineRule="auto"/>
              <w:rPr>
                <w:szCs w:val="21"/>
                <w:lang w:eastAsia="zh-CN"/>
              </w:rPr>
            </w:pPr>
            <w:r>
              <w:rPr>
                <w:rFonts w:hint="eastAsia"/>
                <w:szCs w:val="21"/>
                <w:lang w:eastAsia="zh-CN"/>
              </w:rPr>
              <w:t>（6）安全标识。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bookmarkEnd w:id="23"/>
      <w:bookmarkEnd w:id="24"/>
      <w:permEnd w:id="18"/>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包装需满足运输和装卸要求，防潮湿、防磕碰、防振动。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配备专用便携式铝制手提保护箱。</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993"/>
              <w:rPr>
                <w:szCs w:val="21"/>
              </w:rPr>
            </w:pPr>
            <w:permStart w:id="21"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基本运行参数：采样体积参数可自行设置，设置范围在1~2000L，要求满足日常监测和验证要求，采样流量不小于100L/min，采样流量稳定，精度优于</w:t>
            </w:r>
            <w:r>
              <w:rPr>
                <w:rFonts w:hint="eastAsia" w:eastAsia="Times New Roman"/>
                <w:szCs w:val="21"/>
                <w:lang w:val="en-US" w:eastAsia="zh-CN"/>
              </w:rPr>
              <w:t xml:space="preserve"> </w:t>
            </w:r>
            <w:r>
              <w:rPr>
                <w:rFonts w:hint="eastAsia"/>
                <w:szCs w:val="21"/>
                <w:lang w:val="en-US" w:eastAsia="zh-CN"/>
              </w:rPr>
              <w:t>± 2.5%。</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rPr>
                <w:lang w:eastAsia="zh-CN"/>
              </w:rPr>
            </w:pPr>
            <w:r>
              <w:rPr>
                <w:rFonts w:hint="eastAsia"/>
                <w:szCs w:val="21"/>
                <w:lang w:val="en-US" w:eastAsia="zh-CN"/>
              </w:rPr>
              <w:t>正常工作条件：</w:t>
            </w:r>
          </w:p>
          <w:p>
            <w:pPr>
              <w:spacing w:line="276" w:lineRule="auto"/>
              <w:rPr>
                <w:lang w:eastAsia="zh-CN"/>
              </w:rPr>
            </w:pPr>
            <w:r>
              <w:rPr>
                <w:rFonts w:hint="eastAsia"/>
                <w:szCs w:val="21"/>
                <w:lang w:val="en-US" w:eastAsia="zh-CN"/>
              </w:rPr>
              <w:t>（1）环境温度：2</w:t>
            </w:r>
            <w:r>
              <w:rPr>
                <w:rFonts w:hint="eastAsia" w:ascii="宋体" w:hAnsi="宋体" w:cs="宋体"/>
                <w:szCs w:val="21"/>
                <w:lang w:val="en-US" w:eastAsia="zh-CN"/>
              </w:rPr>
              <w:t>℃</w:t>
            </w:r>
            <w:r>
              <w:rPr>
                <w:rFonts w:hint="eastAsia"/>
                <w:szCs w:val="21"/>
                <w:lang w:val="en-US" w:eastAsia="zh-CN"/>
              </w:rPr>
              <w:t>～26</w:t>
            </w:r>
            <w:r>
              <w:rPr>
                <w:rFonts w:hint="eastAsia" w:ascii="宋体" w:hAnsi="宋体" w:cs="宋体"/>
                <w:szCs w:val="21"/>
                <w:lang w:val="en-US" w:eastAsia="zh-CN"/>
              </w:rPr>
              <w:t>℃</w:t>
            </w:r>
            <w:r>
              <w:rPr>
                <w:rFonts w:hint="eastAsia"/>
                <w:szCs w:val="21"/>
                <w:lang w:val="en-US" w:eastAsia="zh-CN"/>
              </w:rPr>
              <w:t>；</w:t>
            </w:r>
          </w:p>
          <w:p>
            <w:pPr>
              <w:spacing w:line="276" w:lineRule="auto"/>
              <w:rPr>
                <w:lang w:eastAsia="zh-CN"/>
              </w:rPr>
            </w:pPr>
            <w:r>
              <w:rPr>
                <w:rFonts w:hint="eastAsia"/>
                <w:szCs w:val="21"/>
                <w:lang w:val="en-US" w:eastAsia="zh-CN"/>
              </w:rPr>
              <w:t>（2）相对湿度：至少</w:t>
            </w:r>
            <w:r>
              <w:rPr>
                <w:szCs w:val="21"/>
                <w:lang w:eastAsia="zh-CN"/>
              </w:rPr>
              <w:t>包括45%～65%</w:t>
            </w:r>
            <w:r>
              <w:rPr>
                <w:rFonts w:hint="eastAsia"/>
                <w:szCs w:val="21"/>
                <w:lang w:val="en-US" w:eastAsia="zh-CN"/>
              </w:rPr>
              <w:t>；</w:t>
            </w:r>
          </w:p>
          <w:p>
            <w:pPr>
              <w:spacing w:line="276" w:lineRule="auto"/>
              <w:rPr>
                <w:lang w:eastAsia="zh-CN"/>
              </w:rPr>
            </w:pPr>
            <w:r>
              <w:rPr>
                <w:rFonts w:hint="eastAsia"/>
                <w:szCs w:val="21"/>
                <w:lang w:val="en-US" w:eastAsia="zh-CN"/>
              </w:rPr>
              <w:t>（3）大气压力：70kPa～106 kPa；</w:t>
            </w:r>
          </w:p>
          <w:p>
            <w:pPr>
              <w:spacing w:line="276" w:lineRule="auto"/>
              <w:jc w:val="both"/>
              <w:rPr>
                <w:szCs w:val="21"/>
                <w:lang w:val="en-US" w:eastAsia="zh-CN"/>
              </w:rPr>
            </w:pPr>
            <w:r>
              <w:rPr>
                <w:rFonts w:hint="eastAsia"/>
                <w:szCs w:val="21"/>
                <w:lang w:val="en-US" w:eastAsia="zh-CN"/>
              </w:rPr>
              <w:t>（4）使用电源：交流</w:t>
            </w:r>
            <w:r>
              <w:rPr>
                <w:szCs w:val="21"/>
                <w:lang w:eastAsia="zh-CN"/>
              </w:rPr>
              <w:t>220±10%V，</w:t>
            </w:r>
            <w:r>
              <w:rPr>
                <w:rFonts w:hint="eastAsia"/>
                <w:szCs w:val="21"/>
                <w:lang w:val="en-US" w:eastAsia="zh-CN"/>
              </w:rPr>
              <w:t>50</w:t>
            </w:r>
            <w:r>
              <w:rPr>
                <w:szCs w:val="21"/>
                <w:lang w:eastAsia="zh-CN"/>
              </w:rPr>
              <w:t>±1</w:t>
            </w:r>
            <w:r>
              <w:rPr>
                <w:rFonts w:hint="eastAsia"/>
                <w:szCs w:val="21"/>
                <w:lang w:val="en-US" w:eastAsia="zh-CN"/>
              </w:rPr>
              <w:t>HZ或内置可充电直流电池。</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采样模式</w:t>
            </w:r>
            <w:r>
              <w:rPr>
                <w:rFonts w:hint="eastAsia"/>
                <w:szCs w:val="21"/>
                <w:lang w:val="en-US" w:eastAsia="zh-CN"/>
              </w:rPr>
              <w:t>500L，600L，1000L</w:t>
            </w:r>
            <w:r>
              <w:rPr>
                <w:rFonts w:hint="eastAsia"/>
                <w:szCs w:val="21"/>
                <w:lang w:eastAsia="zh-CN"/>
              </w:rPr>
              <w:t>三档设计，可自定义采样体积。</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采样流量不小于100L/min，采样流量稳定，采样流量全自动精准控制，采样流量误差小于2.5%</w:t>
            </w:r>
            <w:r>
              <w:rPr>
                <w:rFonts w:hint="eastAsia" w:ascii="宋体" w:hAnsi="宋体" w:cs="宋体"/>
                <w:color w:val="000000"/>
                <w:sz w:val="24"/>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采样量1~2000L，调整步距为10L。</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pPr>
            <w:r>
              <w:rPr>
                <w:rFonts w:hint="eastAsia"/>
                <w:szCs w:val="21"/>
                <w:lang w:val="en-US" w:eastAsia="zh-CN"/>
              </w:rPr>
              <w:t>采样延迟：1-99秒。</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采集方式：手动或遥控。</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适配90mm直径的标准平皿。</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采样头为无数微孔，要求能使微生物均匀分布在琼脂表面，减少尘菌重叠，降低计数误差。</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外形尺寸大小适宜，重量应小于工作台面承受重量。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显示窗口：高亮度LCD显示屏、显示精度至少为小数点后1位。</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噪音产生：要求小于60分贝。</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校正范围：20-200L/min</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1702480"/>
      <w:bookmarkStart w:id="30" w:name="_Toc482370359"/>
      <w:bookmarkStart w:id="31" w:name="_Toc482360291"/>
      <w:bookmarkStart w:id="32" w:name="_Toc482370071"/>
      <w:bookmarkStart w:id="33" w:name="_Toc482369815"/>
      <w:bookmarkStart w:id="34" w:name="_Toc483400317"/>
      <w:bookmarkStart w:id="35" w:name="_Toc482359946"/>
      <w:bookmarkStart w:id="36" w:name="_Toc482370151"/>
      <w:bookmarkStart w:id="37" w:name="_Toc482370767"/>
      <w:bookmarkStart w:id="38" w:name="_Toc483227237"/>
      <w:bookmarkStart w:id="39" w:name="_Toc482625289"/>
      <w:bookmarkStart w:id="40" w:name="_Toc482717202"/>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5" w:edGrp="everyone"/>
            <w:permEnd w:id="2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要求该设备为高亮度LCD显示屏，显示清晰，可以将采样日期，采样时间，采样量，采样体积和电量都能显示；电池运转时间不少于8小时，且电量不足时，提前报警。</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要求该设备功能操作及程序设置为按键操作</w:t>
            </w:r>
            <w:r>
              <w:rPr>
                <w:rFonts w:hint="eastAsia" w:eastAsia="Times New Roman"/>
                <w:szCs w:val="21"/>
                <w:lang w:val="en-US" w:eastAsia="zh-CN"/>
              </w:rPr>
              <w:t xml:space="preserve"> </w:t>
            </w:r>
            <w:r>
              <w:rPr>
                <w:rFonts w:hint="eastAsia"/>
                <w:szCs w:val="21"/>
                <w:lang w:val="en-US" w:eastAsia="zh-CN"/>
              </w:rPr>
              <w:t>，且在功能操作程序设置后，能储存设置模式；采集方式为遥控或人工两种操作。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要求采样口为无数微孔，可减少采样过程中尘菌重叠，降低计数错误，而且要求该设备采样头为316不锈钢，易清洁，耐腐蚀。使用过程中，不会产生产生粉尘，能在洁净区使用。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内置风速流量计自动调节流速，以保证每分钟采样量为100L ± 2.5%。</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要求采样便捷，更换培养皿简单，适用于标准通用培养皿直径为90mm。</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配有万年历时钟, 时钟可校准与调节。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气体流速过低时提示并配备声响报警系统。</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具有审计追踪功能，能够储存5年以内的数据。</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可查询储存的历史数据。历史数据可用U盘导出。导出数据为不可修改模式。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具有三级用户权限管理。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系统时间、流速的确认；报警功能确认；数据备份与恢复确认；权限管理测试。</w:t>
            </w:r>
          </w:p>
        </w:tc>
        <w:tc>
          <w:tcPr>
            <w:tcW w:w="2125" w:type="dxa"/>
            <w:shd w:val="clear" w:color="auto" w:fill="auto"/>
            <w:vAlign w:val="center"/>
          </w:tcPr>
          <w:p>
            <w:pPr>
              <w:jc w:val="center"/>
              <w:rPr>
                <w:szCs w:val="21"/>
                <w:lang w:val="en-US" w:eastAsia="zh-CN"/>
              </w:rPr>
            </w:pPr>
          </w:p>
        </w:tc>
      </w:tr>
      <w:permEnd w:id="28"/>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426"/>
              <w:rPr>
                <w:szCs w:val="21"/>
              </w:rPr>
            </w:pPr>
            <w:permStart w:id="30"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31" w:edGrp="everyone"/>
          </w:p>
        </w:tc>
        <w:tc>
          <w:tcPr>
            <w:tcW w:w="7128" w:type="dxa"/>
            <w:shd w:val="clear" w:color="auto" w:fill="auto"/>
            <w:vAlign w:val="center"/>
          </w:tcPr>
          <w:p>
            <w:pPr>
              <w:jc w:val="both"/>
              <w:rPr>
                <w:szCs w:val="21"/>
                <w:lang w:eastAsia="zh-CN"/>
              </w:rPr>
            </w:pPr>
            <w:r>
              <w:rPr>
                <w:rFonts w:hint="eastAsia"/>
                <w:szCs w:val="21"/>
                <w:lang w:val="en-US" w:eastAsia="zh-CN"/>
              </w:rPr>
              <w:t>电气安全应符合GB4793.1和GB4793.4的要求。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szCs w:val="21"/>
                <w:lang w:val="en-US" w:eastAsia="zh-CN"/>
              </w:rPr>
              <w:t>电磁兼容性应符合GB/T18268</w:t>
            </w:r>
            <w:r>
              <w:rPr>
                <w:rFonts w:hint="eastAsia" w:ascii="宋体" w:hAnsi="宋体" w:cs="宋体"/>
                <w:szCs w:val="21"/>
                <w:lang w:val="en-US" w:eastAsia="zh-CN"/>
              </w:rPr>
              <w:t>—</w:t>
            </w:r>
            <w:r>
              <w:rPr>
                <w:rFonts w:hint="eastAsia"/>
                <w:szCs w:val="21"/>
                <w:lang w:val="en-US" w:eastAsia="zh-CN"/>
              </w:rPr>
              <w:t>2000的要求。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2"/>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szCs w:val="21"/>
                <w:lang w:val="en-US" w:eastAsia="zh-CN"/>
              </w:rPr>
              <w:t>投标文件、合同及订单。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szCs w:val="21"/>
                <w:lang w:eastAsia="zh-CN"/>
              </w:rPr>
            </w:pPr>
            <w:r>
              <w:rPr>
                <w:szCs w:val="21"/>
                <w:lang w:val="en-US" w:eastAsia="zh-CN"/>
              </w:rPr>
              <w:t>卖方发运清单及相关检验报告。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szCs w:val="21"/>
                <w:lang w:val="en-US" w:eastAsia="zh-CN"/>
              </w:rPr>
              <w:t>详细</w:t>
            </w:r>
            <w:r>
              <w:rPr>
                <w:szCs w:val="21"/>
                <w:lang w:val="en-US" w:eastAsia="zh-CN"/>
              </w:rPr>
              <w:t>功能设计</w:t>
            </w:r>
            <w:r>
              <w:rPr>
                <w:rFonts w:hint="eastAsia"/>
                <w:szCs w:val="21"/>
                <w:lang w:val="en-US" w:eastAsia="zh-CN"/>
              </w:rPr>
              <w:t>说明</w:t>
            </w:r>
            <w:r>
              <w:rPr>
                <w:rFonts w:hint="eastAsia"/>
                <w:sz w:val="24"/>
                <w:lang w:eastAsia="zh-CN"/>
              </w:rPr>
              <w:t>、</w:t>
            </w:r>
            <w:r>
              <w:rPr>
                <w:rFonts w:hint="eastAsia"/>
                <w:szCs w:val="21"/>
                <w:lang w:val="en-US" w:eastAsia="zh-CN"/>
              </w:rPr>
              <w:t>配置说明与清单。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图纸：实物图；尺寸图；控制原理图、各种</w:t>
            </w:r>
            <w:r>
              <w:rPr>
                <w:rFonts w:hint="eastAsia"/>
                <w:szCs w:val="21"/>
                <w:lang w:val="en-US" w:eastAsia="zh-CN"/>
              </w:rPr>
              <w:t>确认、</w:t>
            </w:r>
            <w:r>
              <w:rPr>
                <w:szCs w:val="21"/>
                <w:lang w:val="en-US" w:eastAsia="zh-CN"/>
              </w:rPr>
              <w:t>维护维修等活动所需的电子版及打印版设备图纸、注释参考等、图纸清单。设备图纸需满足国家相关制图法规要求。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零配件、部件、元件</w:t>
            </w:r>
            <w:r>
              <w:rPr>
                <w:rFonts w:hint="eastAsia"/>
                <w:szCs w:val="21"/>
                <w:lang w:val="en-US" w:eastAsia="zh-CN"/>
              </w:rPr>
              <w:t>，备件</w:t>
            </w:r>
            <w:r>
              <w:rPr>
                <w:szCs w:val="21"/>
                <w:lang w:val="en-US" w:eastAsia="zh-CN"/>
              </w:rPr>
              <w:t>清单：包括编号、对应厂家名称、生产地、规格及必要说明。</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设备制造文件：材质报告及合格证、制造商检测数据报告、</w:t>
            </w:r>
            <w:r>
              <w:rPr>
                <w:rFonts w:hint="eastAsia"/>
                <w:szCs w:val="21"/>
                <w:lang w:val="en-US" w:eastAsia="zh-CN"/>
              </w:rPr>
              <w:t>设备</w:t>
            </w:r>
            <w:r>
              <w:rPr>
                <w:szCs w:val="21"/>
                <w:lang w:val="en-US" w:eastAsia="zh-CN"/>
              </w:rPr>
              <w:t>及各组件合格证（对本URS要求合格的相应证明）、各种标示、风险评估文件</w:t>
            </w:r>
            <w:r>
              <w:rPr>
                <w:rFonts w:hint="eastAsia"/>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szCs w:val="21"/>
                <w:lang w:val="en-US" w:eastAsia="zh-CN"/>
              </w:rPr>
              <w:t>材质证书（写明材料有效期）。</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仪器仪表清单，及相关仪表校验报告及计量证书。</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设备交付计划表。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szCs w:val="21"/>
                <w:lang w:val="en-US" w:eastAsia="zh-CN"/>
              </w:rPr>
              <w:t>现场验收报告。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安全报告。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before="2" w:line="360" w:lineRule="auto"/>
              <w:ind w:left="108"/>
            </w:pPr>
            <w:r>
              <w:t>验证文件：</w:t>
            </w:r>
          </w:p>
          <w:p>
            <w:pPr>
              <w:widowControl w:val="0"/>
              <w:numPr>
                <w:ilvl w:val="0"/>
                <w:numId w:val="12"/>
              </w:numPr>
              <w:tabs>
                <w:tab w:val="left" w:pos="528"/>
                <w:tab w:val="left" w:pos="529"/>
              </w:tabs>
              <w:overflowPunct/>
              <w:adjustRightInd/>
              <w:spacing w:before="2" w:line="360" w:lineRule="auto"/>
              <w:ind w:hanging="421"/>
              <w:textAlignment w:val="auto"/>
            </w:pPr>
            <w:r>
              <w:t>验证计划；</w:t>
            </w:r>
          </w:p>
          <w:p>
            <w:pPr>
              <w:widowControl w:val="0"/>
              <w:numPr>
                <w:ilvl w:val="0"/>
                <w:numId w:val="12"/>
              </w:numPr>
              <w:tabs>
                <w:tab w:val="left" w:pos="528"/>
                <w:tab w:val="left" w:pos="529"/>
              </w:tabs>
              <w:overflowPunct/>
              <w:adjustRightInd/>
              <w:spacing w:before="4" w:line="360" w:lineRule="auto"/>
              <w:ind w:hanging="421"/>
              <w:textAlignment w:val="auto"/>
              <w:rPr>
                <w:lang w:eastAsia="zh-CN"/>
              </w:rPr>
            </w:pPr>
            <w:r>
              <w:rPr>
                <w:lang w:eastAsia="zh-CN"/>
              </w:rPr>
              <w:t>满足</w:t>
            </w:r>
            <w:r>
              <w:rPr>
                <w:rFonts w:eastAsia="Times New Roman"/>
                <w:lang w:eastAsia="zh-CN"/>
              </w:rPr>
              <w:t>GMP</w:t>
            </w:r>
            <w:r>
              <w:rPr>
                <w:lang w:eastAsia="zh-CN"/>
              </w:rPr>
              <w:t>和</w:t>
            </w:r>
            <w:r>
              <w:rPr>
                <w:rFonts w:eastAsia="Times New Roman"/>
                <w:lang w:eastAsia="zh-CN"/>
              </w:rPr>
              <w:t>GAMP5</w:t>
            </w:r>
            <w:r>
              <w:rPr>
                <w:lang w:eastAsia="zh-CN"/>
              </w:rPr>
              <w:t>等相关法规的评估文件；</w:t>
            </w:r>
          </w:p>
          <w:p>
            <w:pPr>
              <w:widowControl w:val="0"/>
              <w:numPr>
                <w:ilvl w:val="0"/>
                <w:numId w:val="12"/>
              </w:numPr>
              <w:tabs>
                <w:tab w:val="left" w:pos="528"/>
                <w:tab w:val="left" w:pos="529"/>
              </w:tabs>
              <w:overflowPunct/>
              <w:adjustRightInd/>
              <w:spacing w:before="3" w:line="360" w:lineRule="auto"/>
              <w:ind w:hanging="421"/>
              <w:textAlignment w:val="auto"/>
              <w:rPr>
                <w:lang w:eastAsia="zh-CN"/>
              </w:rPr>
            </w:pPr>
            <w:r>
              <w:rPr>
                <w:lang w:eastAsia="zh-CN"/>
              </w:rPr>
              <w:t>设计确认及文件（</w:t>
            </w:r>
            <w:r>
              <w:rPr>
                <w:rFonts w:eastAsia="Times New Roman"/>
                <w:lang w:eastAsia="zh-CN"/>
              </w:rPr>
              <w:t>DQ</w:t>
            </w:r>
            <w:r>
              <w:rPr>
                <w:lang w:eastAsia="zh-CN"/>
              </w:rPr>
              <w:t>）；</w:t>
            </w:r>
          </w:p>
          <w:p>
            <w:pPr>
              <w:widowControl w:val="0"/>
              <w:numPr>
                <w:ilvl w:val="0"/>
                <w:numId w:val="12"/>
              </w:numPr>
              <w:tabs>
                <w:tab w:val="left" w:pos="528"/>
                <w:tab w:val="left" w:pos="529"/>
              </w:tabs>
              <w:overflowPunct/>
              <w:adjustRightInd/>
              <w:spacing w:before="4" w:line="360" w:lineRule="auto"/>
              <w:ind w:hanging="421"/>
              <w:textAlignment w:val="auto"/>
              <w:rPr>
                <w:lang w:eastAsia="zh-CN"/>
              </w:rPr>
            </w:pPr>
            <w:r>
              <w:rPr>
                <w:lang w:eastAsia="zh-CN"/>
              </w:rPr>
              <w:t>安装确认及文件（</w:t>
            </w:r>
            <w:r>
              <w:rPr>
                <w:rFonts w:eastAsia="Times New Roman"/>
                <w:lang w:eastAsia="zh-CN"/>
              </w:rPr>
              <w:t>IQ</w:t>
            </w:r>
            <w:r>
              <w:rPr>
                <w:lang w:eastAsia="zh-CN"/>
              </w:rPr>
              <w:t>）；</w:t>
            </w:r>
          </w:p>
          <w:p>
            <w:pPr>
              <w:widowControl w:val="0"/>
              <w:numPr>
                <w:ilvl w:val="0"/>
                <w:numId w:val="12"/>
              </w:numPr>
              <w:tabs>
                <w:tab w:val="left" w:pos="528"/>
                <w:tab w:val="left" w:pos="529"/>
              </w:tabs>
              <w:overflowPunct/>
              <w:adjustRightInd/>
              <w:spacing w:before="2" w:line="360" w:lineRule="auto"/>
              <w:ind w:hanging="421"/>
              <w:textAlignment w:val="auto"/>
              <w:rPr>
                <w:lang w:eastAsia="zh-CN"/>
              </w:rPr>
            </w:pPr>
            <w:r>
              <w:rPr>
                <w:lang w:eastAsia="zh-CN"/>
              </w:rPr>
              <w:t>运行确认及文件（</w:t>
            </w:r>
            <w:r>
              <w:rPr>
                <w:rFonts w:eastAsia="Times New Roman"/>
                <w:lang w:eastAsia="zh-CN"/>
              </w:rPr>
              <w:t>OQ</w:t>
            </w:r>
            <w:r>
              <w:rPr>
                <w:lang w:eastAsia="zh-CN"/>
              </w:rPr>
              <w:t>）；</w:t>
            </w:r>
          </w:p>
          <w:p>
            <w:pPr>
              <w:widowControl w:val="0"/>
              <w:numPr>
                <w:ilvl w:val="0"/>
                <w:numId w:val="12"/>
              </w:numPr>
              <w:tabs>
                <w:tab w:val="left" w:pos="528"/>
                <w:tab w:val="left" w:pos="529"/>
              </w:tabs>
              <w:overflowPunct/>
              <w:adjustRightInd/>
              <w:spacing w:before="5" w:line="360" w:lineRule="auto"/>
              <w:ind w:hanging="421"/>
              <w:textAlignment w:val="auto"/>
            </w:pPr>
            <w:r>
              <w:t>追溯矩阵（</w:t>
            </w:r>
            <w:r>
              <w:rPr>
                <w:rFonts w:eastAsia="Times New Roman"/>
              </w:rPr>
              <w:t>RTM</w:t>
            </w:r>
            <w:r>
              <w:t>）；</w:t>
            </w:r>
          </w:p>
          <w:p>
            <w:pPr>
              <w:widowControl w:val="0"/>
              <w:numPr>
                <w:ilvl w:val="0"/>
                <w:numId w:val="12"/>
              </w:numPr>
              <w:tabs>
                <w:tab w:val="left" w:pos="528"/>
                <w:tab w:val="left" w:pos="529"/>
              </w:tabs>
              <w:overflowPunct/>
              <w:adjustRightInd/>
              <w:spacing w:before="2" w:line="360" w:lineRule="auto"/>
              <w:ind w:hanging="421"/>
              <w:textAlignment w:val="auto"/>
              <w:rPr>
                <w:lang w:eastAsia="zh-CN"/>
              </w:rPr>
            </w:pPr>
            <w:r>
              <w:rPr>
                <w:lang w:eastAsia="zh-CN"/>
              </w:rPr>
              <w:t>验证总结报告（</w:t>
            </w:r>
            <w:r>
              <w:rPr>
                <w:rFonts w:eastAsia="Times New Roman"/>
                <w:lang w:eastAsia="zh-CN"/>
              </w:rPr>
              <w:t>VSR</w:t>
            </w:r>
            <w:r>
              <w:rPr>
                <w:lang w:eastAsia="zh-CN"/>
              </w:rPr>
              <w:t>）；</w:t>
            </w:r>
          </w:p>
          <w:p>
            <w:pPr>
              <w:pStyle w:val="48"/>
              <w:spacing w:line="460" w:lineRule="exact"/>
              <w:rPr>
                <w:sz w:val="21"/>
                <w:szCs w:val="21"/>
                <w:lang w:val="en-US" w:eastAsia="zh-CN"/>
              </w:rPr>
            </w:pPr>
            <w:r>
              <w:rPr>
                <w:sz w:val="21"/>
                <w:szCs w:val="21"/>
                <w:lang w:eastAsia="zh-CN"/>
              </w:rPr>
              <w:t>设备生产商负责制定设备验证计划、评估文件、DQ/IQ/OQ验证文件、  追溯矩阵、验证总结报告，并负责验证工作的实施，该验证文件作为 设备必备文件。</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szCs w:val="21"/>
                <w:lang w:val="en-US" w:eastAsia="zh-CN"/>
              </w:rPr>
              <w:t>设备操作手册（</w:t>
            </w:r>
            <w:r>
              <w:rPr>
                <w:szCs w:val="21"/>
                <w:lang w:val="en-US" w:eastAsia="zh-CN"/>
              </w:rPr>
              <w:t>SOP</w:t>
            </w:r>
            <w:r>
              <w:rPr>
                <w:rFonts w:hint="eastAsia"/>
                <w:szCs w:val="21"/>
                <w:lang w:val="en-US" w:eastAsia="zh-CN"/>
              </w:rPr>
              <w:t>）：语言为中文，应说明校准周期，并能提供校准服务。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ascii="宋体" w:hAnsi="宋体" w:cs="宋体"/>
                <w:szCs w:val="22"/>
                <w:lang w:val="en-US" w:eastAsia="zh-CN"/>
              </w:rPr>
              <w:t>设备仪表清单和相关第三方校验报告及计量证书（提供所有在该设备上安装的仪表、传感器的校验证书，且证书有效期自设备到货之日起不少于</w:t>
            </w:r>
            <w:r>
              <w:rPr>
                <w:rFonts w:eastAsia="Times New Roman" w:cs="宋体"/>
                <w:szCs w:val="22"/>
                <w:lang w:val="en-US" w:eastAsia="zh-CN"/>
              </w:rPr>
              <w:t>8</w:t>
            </w:r>
            <w:r>
              <w:rPr>
                <w:rFonts w:hint="eastAsia" w:ascii="宋体" w:hAnsi="宋体" w:cs="宋体"/>
                <w:szCs w:val="22"/>
                <w:lang w:val="en-US" w:eastAsia="zh-CN"/>
              </w:rPr>
              <w:t>个月）。</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调试文件：调试计划，检查计划，检测清单，各测试结果，调试总结报告等。</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使用操作说明书及维护保养说明（即运行及维护手册）3份。</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提供设备及其零部件使用寿命清单及大修周期说明。</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8"/>
              <w:spacing w:line="460" w:lineRule="exact"/>
              <w:rPr>
                <w:lang w:eastAsia="zh-CN"/>
              </w:rPr>
            </w:pPr>
            <w:r>
              <w:rPr>
                <w:rFonts w:hint="eastAsia"/>
                <w:sz w:val="21"/>
                <w:szCs w:val="21"/>
                <w:lang w:val="en-US" w:eastAsia="zh-CN"/>
              </w:rPr>
              <w:t>文件具体要求：</w:t>
            </w:r>
          </w:p>
          <w:p>
            <w:pPr>
              <w:pStyle w:val="48"/>
              <w:spacing w:line="460" w:lineRule="exact"/>
              <w:rPr>
                <w:lang w:eastAsia="zh-CN"/>
              </w:rPr>
            </w:pPr>
            <w:r>
              <w:rPr>
                <w:rFonts w:hint="eastAsia"/>
                <w:sz w:val="21"/>
                <w:szCs w:val="21"/>
                <w:lang w:val="en-US" w:eastAsia="zh-CN"/>
              </w:rPr>
              <w:t>（</w:t>
            </w:r>
            <w:r>
              <w:rPr>
                <w:sz w:val="21"/>
                <w:szCs w:val="21"/>
                <w:lang w:val="en-US" w:eastAsia="zh-CN"/>
              </w:rPr>
              <w:t>1</w:t>
            </w:r>
            <w:r>
              <w:rPr>
                <w:rFonts w:hint="eastAsia"/>
                <w:sz w:val="21"/>
                <w:szCs w:val="21"/>
                <w:lang w:val="en-US" w:eastAsia="zh-CN"/>
              </w:rPr>
              <w:t>）系统相关方案中，应明确本系统的配置、规格，并且通过分析阐述每一个系统环节的必要性；</w:t>
            </w:r>
          </w:p>
          <w:p>
            <w:pPr>
              <w:pStyle w:val="48"/>
              <w:spacing w:line="460" w:lineRule="exact"/>
              <w:rPr>
                <w:lang w:eastAsia="zh-CN"/>
              </w:rPr>
            </w:pPr>
            <w:r>
              <w:rPr>
                <w:rFonts w:hint="eastAsia"/>
                <w:sz w:val="21"/>
                <w:szCs w:val="21"/>
                <w:lang w:val="en-US" w:eastAsia="zh-CN"/>
              </w:rPr>
              <w:t>（</w:t>
            </w:r>
            <w:r>
              <w:rPr>
                <w:sz w:val="21"/>
                <w:szCs w:val="21"/>
                <w:lang w:val="en-US" w:eastAsia="zh-CN"/>
              </w:rPr>
              <w:t>1</w:t>
            </w:r>
            <w:r>
              <w:rPr>
                <w:rFonts w:hint="eastAsia"/>
                <w:sz w:val="21"/>
                <w:szCs w:val="21"/>
                <w:lang w:val="en-US" w:eastAsia="zh-CN"/>
              </w:rPr>
              <w:t>）标书中明确系统所有组件的品牌、材质、型号，并且注明每一个组件的保修期；</w:t>
            </w:r>
          </w:p>
          <w:p>
            <w:pPr>
              <w:jc w:val="both"/>
              <w:rPr>
                <w:szCs w:val="21"/>
                <w:lang w:eastAsia="zh-CN"/>
              </w:rPr>
            </w:pP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5"/>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70C0"/>
                <w:szCs w:val="21"/>
                <w:lang w:eastAsia="zh-CN"/>
              </w:rPr>
            </w:pPr>
            <w:r>
              <w:rPr>
                <w:szCs w:val="21"/>
                <w:lang w:val="en-US"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70C0"/>
                <w:szCs w:val="21"/>
                <w:lang w:eastAsia="zh-CN"/>
              </w:rPr>
            </w:pPr>
            <w:r>
              <w:rPr>
                <w:szCs w:val="21"/>
                <w:lang w:val="en-US"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color w:val="0070C0"/>
                <w:lang w:eastAsia="zh-CN"/>
              </w:rPr>
            </w:pPr>
            <w:r>
              <w:rPr>
                <w:szCs w:val="21"/>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szCs w:val="21"/>
                <w:lang w:val="en-US" w:eastAsia="zh-CN"/>
              </w:rPr>
              <w:t>设备运输在运输途中需做好防护措施，不得有任何损伤。</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验证包括计划、计算机化系统评估、风险评估、D</w:t>
            </w:r>
            <w:r>
              <w:rPr>
                <w:szCs w:val="21"/>
                <w:lang w:val="en-US" w:eastAsia="zh-CN"/>
              </w:rPr>
              <w:t>Q</w:t>
            </w:r>
            <w:r>
              <w:rPr>
                <w:rFonts w:hint="eastAsia"/>
                <w:szCs w:val="21"/>
                <w:lang w:val="en-US" w:eastAsia="zh-CN"/>
              </w:rPr>
              <w:t>、</w:t>
            </w:r>
            <w:r>
              <w:rPr>
                <w:szCs w:val="21"/>
                <w:lang w:val="en-US" w:eastAsia="zh-CN"/>
              </w:rPr>
              <w:t>IQ</w:t>
            </w:r>
            <w:r>
              <w:rPr>
                <w:rFonts w:hint="eastAsia"/>
                <w:szCs w:val="21"/>
                <w:lang w:val="en-US" w:eastAsia="zh-CN"/>
              </w:rPr>
              <w:t>、</w:t>
            </w:r>
            <w:r>
              <w:rPr>
                <w:szCs w:val="21"/>
                <w:lang w:val="en-US" w:eastAsia="zh-CN"/>
              </w:rPr>
              <w:t>OQ</w:t>
            </w:r>
            <w:r>
              <w:rPr>
                <w:rFonts w:hint="eastAsia"/>
                <w:szCs w:val="21"/>
                <w:lang w:val="en-US" w:eastAsia="zh-CN"/>
              </w:rPr>
              <w:t>、PQ文件与服务，供应商必须派出具备该类系统验证经验，且熟悉验证相关文件编写及验证工作实施的验证工程师开展验证工作。由供应商协助完成PQ。</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各验证工作开始前验证方案需经过本公司相关部门审核，并经质量保证部批准。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验证工作应按时保质完成，供应商需提供验证工作计划表。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验证项目应包含法规要求的测试项目，以及本公司提出的测试项目（设备性能及软件的验证）。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验证工作完成后，验证记录经本公司相关部门审核，并经质量保证部批准。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val="en-US" w:eastAsia="zh-CN"/>
              </w:rPr>
              <w:t>验收前，验证工作已成功完成，验证最终报告已经本公司相关部门审核，并经质量保证部批准。</w:t>
            </w:r>
          </w:p>
          <w:p>
            <w:pPr>
              <w:spacing w:line="276" w:lineRule="auto"/>
              <w:jc w:val="both"/>
              <w:rPr>
                <w:i/>
                <w:color w:val="0070C0"/>
                <w:szCs w:val="21"/>
                <w:lang w:eastAsia="zh-CN"/>
              </w:rPr>
            </w:pP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szCs w:val="21"/>
                <w:lang w:val="en-US" w:eastAsia="zh-CN"/>
              </w:rPr>
              <w:t>设备保质期从确认验收的阶段就开始计算。</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val="en-US" w:eastAsia="zh-CN"/>
              </w:rPr>
              <w:t>设备质保期为</w:t>
            </w:r>
            <w:r>
              <w:rPr>
                <w:rFonts w:hint="eastAsia"/>
                <w:szCs w:val="21"/>
                <w:lang w:val="en-US" w:eastAsia="zh-CN"/>
              </w:rPr>
              <w:t>三</w:t>
            </w:r>
            <w:r>
              <w:rPr>
                <w:szCs w:val="21"/>
                <w:lang w:val="en-US" w:eastAsia="zh-CN"/>
              </w:rPr>
              <w:t>年，</w:t>
            </w:r>
            <w:r>
              <w:rPr>
                <w:rFonts w:hint="eastAsia"/>
                <w:szCs w:val="21"/>
                <w:lang w:val="en-US" w:eastAsia="zh-CN"/>
              </w:rPr>
              <w:t>三</w:t>
            </w:r>
            <w:r>
              <w:rPr>
                <w:szCs w:val="21"/>
                <w:lang w:val="en-US" w:eastAsia="zh-CN"/>
              </w:rPr>
              <w:t>年内免费保修，</w:t>
            </w:r>
            <w:r>
              <w:rPr>
                <w:rFonts w:hint="eastAsia"/>
                <w:szCs w:val="21"/>
                <w:lang w:val="en-US" w:eastAsia="zh-CN"/>
              </w:rPr>
              <w:t>三</w:t>
            </w:r>
            <w:r>
              <w:rPr>
                <w:szCs w:val="21"/>
                <w:lang w:val="en-US" w:eastAsia="zh-CN"/>
              </w:rPr>
              <w:t>年后应提供良好的售后服务。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三年内，由于充电器或电源导致无法使用时应免费更换电源。</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val="en-US" w:eastAsia="zh-CN"/>
              </w:rPr>
              <w:t>售后服务必须响应及时，要求设备出现须厂家维修的故障后，应在24小时工作日内明确答复，当电话沟通无法解决时，须48小时工作日内派人至现场解决。</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三</w:t>
            </w:r>
            <w:r>
              <w:rPr>
                <w:szCs w:val="21"/>
                <w:lang w:val="en-US" w:eastAsia="zh-CN"/>
              </w:rPr>
              <w:t>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szCs w:val="21"/>
                <w:lang w:val="en-US" w:eastAsia="zh-CN"/>
              </w:rPr>
              <w:t>厂家应提供合格的备件，用于设备相应部件的维修、更换。</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szCs w:val="21"/>
                <w:lang w:val="en-US" w:eastAsia="zh-CN"/>
              </w:rPr>
              <w:t>货物到达买方使用现场后，由买卖双方共同验收，卖方工程师免费为买</w:t>
            </w:r>
            <w:r>
              <w:rPr>
                <w:rFonts w:hint="eastAsia"/>
                <w:szCs w:val="21"/>
                <w:lang w:val="en-US" w:eastAsia="zh-CN"/>
              </w:rPr>
              <w:t>方</w:t>
            </w:r>
            <w:r>
              <w:rPr>
                <w:szCs w:val="21"/>
                <w:lang w:val="en-US" w:eastAsia="zh-CN"/>
              </w:rPr>
              <w:t>提供调试。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供应商进厂安装需遵守安全和安装规定。</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szCs w:val="21"/>
                <w:lang w:val="en-US" w:eastAsia="zh-CN"/>
              </w:rPr>
              <w:t>确认验收合格后，买卖双方签订验收报告。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5"/>
    </w:tbl>
    <w:p/>
    <w:p>
      <w:pPr>
        <w:pStyle w:val="32"/>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9"/>
        <w:spacing w:after="158"/>
      </w:pPr>
      <w:permStart w:id="46" w:edGrp="everyone"/>
      <w:r>
        <w:rPr>
          <w:rFonts w:ascii="Times New Roman" w:hAnsi="Times New Roman" w:cs="Times New Roman"/>
          <w:b/>
          <w:bCs/>
        </w:rPr>
        <w:t>配制清单：</w:t>
      </w:r>
    </w:p>
    <w:tbl>
      <w:tblPr>
        <w:tblStyle w:val="19"/>
        <w:tblW w:w="0" w:type="auto"/>
        <w:tblInd w:w="-5" w:type="dxa"/>
        <w:tblLayout w:type="fixed"/>
        <w:tblCellMar>
          <w:top w:w="0" w:type="dxa"/>
          <w:left w:w="108" w:type="dxa"/>
          <w:bottom w:w="0" w:type="dxa"/>
          <w:right w:w="108" w:type="dxa"/>
        </w:tblCellMar>
      </w:tblPr>
      <w:tblGrid>
        <w:gridCol w:w="3435"/>
        <w:gridCol w:w="2445"/>
        <w:gridCol w:w="2950"/>
      </w:tblGrid>
      <w:tr>
        <w:tblPrEx>
          <w:tblCellMar>
            <w:top w:w="0" w:type="dxa"/>
            <w:left w:w="108" w:type="dxa"/>
            <w:bottom w:w="0" w:type="dxa"/>
            <w:right w:w="108" w:type="dxa"/>
          </w:tblCellMar>
        </w:tblPrEx>
        <w:trPr>
          <w:trHeight w:val="478" w:hRule="atLeast"/>
        </w:trPr>
        <w:tc>
          <w:tcPr>
            <w:tcW w:w="343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配制</w:t>
            </w:r>
          </w:p>
        </w:tc>
        <w:tc>
          <w:tcPr>
            <w:tcW w:w="244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个数</w:t>
            </w:r>
          </w:p>
        </w:tc>
        <w:tc>
          <w:tcPr>
            <w:tcW w:w="2950"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备注</w:t>
            </w:r>
          </w:p>
        </w:tc>
      </w:tr>
      <w:tr>
        <w:tblPrEx>
          <w:tblCellMar>
            <w:top w:w="0" w:type="dxa"/>
            <w:left w:w="108" w:type="dxa"/>
            <w:bottom w:w="0" w:type="dxa"/>
            <w:right w:w="108" w:type="dxa"/>
          </w:tblCellMar>
        </w:tblPrEx>
        <w:trPr>
          <w:trHeight w:val="478" w:hRule="atLeast"/>
        </w:trPr>
        <w:tc>
          <w:tcPr>
            <w:tcW w:w="343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主机</w:t>
            </w:r>
          </w:p>
        </w:tc>
        <w:tc>
          <w:tcPr>
            <w:tcW w:w="244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78" w:hRule="atLeast"/>
        </w:trPr>
        <w:tc>
          <w:tcPr>
            <w:tcW w:w="343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电源适配器</w:t>
            </w:r>
          </w:p>
        </w:tc>
        <w:tc>
          <w:tcPr>
            <w:tcW w:w="244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2</w:t>
            </w:r>
          </w:p>
        </w:tc>
        <w:tc>
          <w:tcPr>
            <w:tcW w:w="2950"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1主1备</w:t>
            </w:r>
          </w:p>
        </w:tc>
      </w:tr>
      <w:tr>
        <w:tblPrEx>
          <w:tblCellMar>
            <w:top w:w="0" w:type="dxa"/>
            <w:left w:w="108" w:type="dxa"/>
            <w:bottom w:w="0" w:type="dxa"/>
            <w:right w:w="108" w:type="dxa"/>
          </w:tblCellMar>
        </w:tblPrEx>
        <w:trPr>
          <w:trHeight w:val="478" w:hRule="atLeast"/>
        </w:trPr>
        <w:tc>
          <w:tcPr>
            <w:tcW w:w="343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仪器箱</w:t>
            </w:r>
          </w:p>
        </w:tc>
        <w:tc>
          <w:tcPr>
            <w:tcW w:w="244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78" w:hRule="atLeast"/>
        </w:trPr>
        <w:tc>
          <w:tcPr>
            <w:tcW w:w="343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说明书</w:t>
            </w:r>
          </w:p>
        </w:tc>
        <w:tc>
          <w:tcPr>
            <w:tcW w:w="244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88" w:hRule="atLeast"/>
        </w:trPr>
        <w:tc>
          <w:tcPr>
            <w:tcW w:w="343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合格证</w:t>
            </w:r>
          </w:p>
        </w:tc>
        <w:tc>
          <w:tcPr>
            <w:tcW w:w="244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88" w:hRule="atLeast"/>
        </w:trPr>
        <w:tc>
          <w:tcPr>
            <w:tcW w:w="343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rPr>
                <w:lang w:eastAsia="zh-CN"/>
              </w:rPr>
            </w:pPr>
            <w:r>
              <w:rPr>
                <w:rFonts w:hint="eastAsia" w:ascii="宋体" w:hAnsi="宋体" w:cs="宋体"/>
                <w:color w:val="000000"/>
                <w:sz w:val="24"/>
                <w:lang w:val="en-US" w:eastAsia="zh-CN"/>
              </w:rPr>
              <w:t>第三方校验报告(计量证书）</w:t>
            </w:r>
          </w:p>
        </w:tc>
        <w:tc>
          <w:tcPr>
            <w:tcW w:w="244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88" w:hRule="atLeast"/>
        </w:trPr>
        <w:tc>
          <w:tcPr>
            <w:tcW w:w="343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保修卡</w:t>
            </w:r>
          </w:p>
        </w:tc>
        <w:tc>
          <w:tcPr>
            <w:tcW w:w="2445"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8"/>
              <w:spacing w:line="460" w:lineRule="exact"/>
              <w:jc w:val="center"/>
            </w:pPr>
            <w:r>
              <w:rPr>
                <w:rFonts w:hint="eastAsia" w:ascii="宋体" w:hAnsi="宋体" w:cs="宋体"/>
                <w:color w:val="000000"/>
                <w:sz w:val="24"/>
                <w:lang w:val="en-US" w:eastAsia="zh-CN"/>
              </w:rPr>
              <w:t>/</w:t>
            </w:r>
          </w:p>
        </w:tc>
      </w:tr>
      <w:permEnd w:id="46"/>
    </w:tbl>
    <w:p>
      <w:pPr>
        <w:pStyle w:val="42"/>
        <w:spacing w:before="0" w:line="20" w:lineRule="exact"/>
        <w:ind w:left="357"/>
        <w:jc w:val="left"/>
        <w:rPr>
          <w:color w:val="4472C4"/>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0"/>
      <w:numFmt w:val="bullet"/>
      <w:lvlText w:val=""/>
      <w:lvlJc w:val="left"/>
      <w:pPr>
        <w:ind w:left="528" w:hanging="420"/>
      </w:pPr>
      <w:rPr>
        <w:rFonts w:hint="default" w:ascii="Wingdings" w:hAnsi="Wingdings" w:eastAsia="Wingdings" w:cs="Wingdings"/>
        <w:w w:val="99"/>
        <w:sz w:val="21"/>
        <w:szCs w:val="21"/>
        <w:lang w:val="en-US" w:eastAsia="en-US" w:bidi="en-US"/>
      </w:rPr>
    </w:lvl>
    <w:lvl w:ilvl="1" w:tentative="0">
      <w:start w:val="0"/>
      <w:numFmt w:val="bullet"/>
      <w:lvlText w:val="•"/>
      <w:lvlJc w:val="left"/>
      <w:pPr>
        <w:ind w:left="1179" w:hanging="420"/>
      </w:pPr>
      <w:rPr>
        <w:rFonts w:hint="default"/>
        <w:lang w:val="en-US" w:eastAsia="en-US" w:bidi="en-US"/>
      </w:rPr>
    </w:lvl>
    <w:lvl w:ilvl="2" w:tentative="0">
      <w:start w:val="0"/>
      <w:numFmt w:val="bullet"/>
      <w:lvlText w:val="•"/>
      <w:lvlJc w:val="left"/>
      <w:pPr>
        <w:ind w:left="1839" w:hanging="420"/>
      </w:pPr>
      <w:rPr>
        <w:rFonts w:hint="default"/>
        <w:lang w:val="en-US" w:eastAsia="en-US" w:bidi="en-US"/>
      </w:rPr>
    </w:lvl>
    <w:lvl w:ilvl="3" w:tentative="0">
      <w:start w:val="0"/>
      <w:numFmt w:val="bullet"/>
      <w:lvlText w:val="•"/>
      <w:lvlJc w:val="left"/>
      <w:pPr>
        <w:ind w:left="2499" w:hanging="420"/>
      </w:pPr>
      <w:rPr>
        <w:rFonts w:hint="default"/>
        <w:lang w:val="en-US" w:eastAsia="en-US" w:bidi="en-US"/>
      </w:rPr>
    </w:lvl>
    <w:lvl w:ilvl="4" w:tentative="0">
      <w:start w:val="0"/>
      <w:numFmt w:val="bullet"/>
      <w:lvlText w:val="•"/>
      <w:lvlJc w:val="left"/>
      <w:pPr>
        <w:ind w:left="3159" w:hanging="420"/>
      </w:pPr>
      <w:rPr>
        <w:rFonts w:hint="default"/>
        <w:lang w:val="en-US" w:eastAsia="en-US" w:bidi="en-US"/>
      </w:rPr>
    </w:lvl>
    <w:lvl w:ilvl="5" w:tentative="0">
      <w:start w:val="0"/>
      <w:numFmt w:val="bullet"/>
      <w:lvlText w:val="•"/>
      <w:lvlJc w:val="left"/>
      <w:pPr>
        <w:ind w:left="3819" w:hanging="420"/>
      </w:pPr>
      <w:rPr>
        <w:rFonts w:hint="default"/>
        <w:lang w:val="en-US" w:eastAsia="en-US" w:bidi="en-US"/>
      </w:rPr>
    </w:lvl>
    <w:lvl w:ilvl="6" w:tentative="0">
      <w:start w:val="0"/>
      <w:numFmt w:val="bullet"/>
      <w:lvlText w:val="•"/>
      <w:lvlJc w:val="left"/>
      <w:pPr>
        <w:ind w:left="4478" w:hanging="420"/>
      </w:pPr>
      <w:rPr>
        <w:rFonts w:hint="default"/>
        <w:lang w:val="en-US" w:eastAsia="en-US" w:bidi="en-US"/>
      </w:rPr>
    </w:lvl>
    <w:lvl w:ilvl="7" w:tentative="0">
      <w:start w:val="0"/>
      <w:numFmt w:val="bullet"/>
      <w:lvlText w:val="•"/>
      <w:lvlJc w:val="left"/>
      <w:pPr>
        <w:ind w:left="5138" w:hanging="420"/>
      </w:pPr>
      <w:rPr>
        <w:rFonts w:hint="default"/>
        <w:lang w:val="en-US" w:eastAsia="en-US" w:bidi="en-US"/>
      </w:rPr>
    </w:lvl>
    <w:lvl w:ilvl="8" w:tentative="0">
      <w:start w:val="0"/>
      <w:numFmt w:val="bullet"/>
      <w:lvlText w:val="•"/>
      <w:lvlJc w:val="left"/>
      <w:pPr>
        <w:ind w:left="5798" w:hanging="420"/>
      </w:pPr>
      <w:rPr>
        <w:rFonts w:hint="default"/>
        <w:lang w:val="en-US" w:eastAsia="en-US" w:bidi="en-US"/>
      </w:rPr>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1413"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1FA414AA"/>
    <w:multiLevelType w:val="multilevel"/>
    <w:tmpl w:val="1FA414AA"/>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8">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2"/>
  </w:num>
  <w:num w:numId="3">
    <w:abstractNumId w:val="8"/>
  </w:num>
  <w:num w:numId="4">
    <w:abstractNumId w:val="11"/>
  </w:num>
  <w:num w:numId="5">
    <w:abstractNumId w:val="6"/>
  </w:num>
  <w:num w:numId="6">
    <w:abstractNumId w:val="7"/>
  </w:num>
  <w:num w:numId="7">
    <w:abstractNumId w:val="1"/>
  </w:num>
  <w:num w:numId="8">
    <w:abstractNumId w:val="5"/>
  </w:num>
  <w:num w:numId="9">
    <w:abstractNumId w:val="4"/>
  </w:num>
  <w:num w:numId="10">
    <w:abstractNumId w:val="9"/>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4359"/>
    <w:rsid w:val="00096510"/>
    <w:rsid w:val="00097A7D"/>
    <w:rsid w:val="00097CA2"/>
    <w:rsid w:val="000A1D9E"/>
    <w:rsid w:val="000A2664"/>
    <w:rsid w:val="000A2C3C"/>
    <w:rsid w:val="000A41DA"/>
    <w:rsid w:val="000A55CC"/>
    <w:rsid w:val="000A5CEE"/>
    <w:rsid w:val="000A6423"/>
    <w:rsid w:val="000A6661"/>
    <w:rsid w:val="000A70BF"/>
    <w:rsid w:val="000B02ED"/>
    <w:rsid w:val="000B02FD"/>
    <w:rsid w:val="000B068C"/>
    <w:rsid w:val="000B417D"/>
    <w:rsid w:val="000B45E0"/>
    <w:rsid w:val="000B4EC4"/>
    <w:rsid w:val="000B5888"/>
    <w:rsid w:val="000C0A41"/>
    <w:rsid w:val="000C0DD3"/>
    <w:rsid w:val="000C0FA5"/>
    <w:rsid w:val="000C3C81"/>
    <w:rsid w:val="000C4182"/>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6D4D"/>
    <w:rsid w:val="001273B0"/>
    <w:rsid w:val="00127CB8"/>
    <w:rsid w:val="001313C3"/>
    <w:rsid w:val="00132F4C"/>
    <w:rsid w:val="00134C68"/>
    <w:rsid w:val="00135FD6"/>
    <w:rsid w:val="001374CF"/>
    <w:rsid w:val="001402D4"/>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863"/>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588B"/>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43A9"/>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9B4"/>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8F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52E"/>
    <w:rsid w:val="00395CE1"/>
    <w:rsid w:val="00395D47"/>
    <w:rsid w:val="00396425"/>
    <w:rsid w:val="003970BE"/>
    <w:rsid w:val="00397379"/>
    <w:rsid w:val="00397C18"/>
    <w:rsid w:val="003A03EA"/>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56EC"/>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109A"/>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518"/>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0CF"/>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48C7"/>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4C3D"/>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D69CC"/>
    <w:rsid w:val="006E050C"/>
    <w:rsid w:val="006E152B"/>
    <w:rsid w:val="006E36D1"/>
    <w:rsid w:val="006E4002"/>
    <w:rsid w:val="006E4DB6"/>
    <w:rsid w:val="006E622E"/>
    <w:rsid w:val="006E7938"/>
    <w:rsid w:val="006E79FB"/>
    <w:rsid w:val="006F229A"/>
    <w:rsid w:val="006F3BB9"/>
    <w:rsid w:val="006F4AA6"/>
    <w:rsid w:val="006F4C62"/>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3C9"/>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39DB"/>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906"/>
    <w:rsid w:val="00822F2B"/>
    <w:rsid w:val="008232F0"/>
    <w:rsid w:val="00823D9A"/>
    <w:rsid w:val="00827EA4"/>
    <w:rsid w:val="008301D6"/>
    <w:rsid w:val="008305B7"/>
    <w:rsid w:val="00830C78"/>
    <w:rsid w:val="00830FB9"/>
    <w:rsid w:val="00832BA8"/>
    <w:rsid w:val="00834968"/>
    <w:rsid w:val="00834B53"/>
    <w:rsid w:val="00835C6E"/>
    <w:rsid w:val="00840298"/>
    <w:rsid w:val="00841BE4"/>
    <w:rsid w:val="00845A53"/>
    <w:rsid w:val="00847E8C"/>
    <w:rsid w:val="008505E1"/>
    <w:rsid w:val="00850B19"/>
    <w:rsid w:val="00852488"/>
    <w:rsid w:val="0085405E"/>
    <w:rsid w:val="008571DD"/>
    <w:rsid w:val="0085772E"/>
    <w:rsid w:val="00860344"/>
    <w:rsid w:val="00860E2C"/>
    <w:rsid w:val="0086228E"/>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469"/>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2B5"/>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16C35"/>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56140"/>
    <w:rsid w:val="00956ABA"/>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72B"/>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2CC3"/>
    <w:rsid w:val="00A94CC0"/>
    <w:rsid w:val="00A9534A"/>
    <w:rsid w:val="00A957FA"/>
    <w:rsid w:val="00A968DC"/>
    <w:rsid w:val="00A977BA"/>
    <w:rsid w:val="00AA1A89"/>
    <w:rsid w:val="00AA346E"/>
    <w:rsid w:val="00AA3770"/>
    <w:rsid w:val="00AA3CFA"/>
    <w:rsid w:val="00AA41C3"/>
    <w:rsid w:val="00AA423C"/>
    <w:rsid w:val="00AA53E2"/>
    <w:rsid w:val="00AA71C7"/>
    <w:rsid w:val="00AA73FD"/>
    <w:rsid w:val="00AB1D6E"/>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53D1"/>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1751"/>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4557"/>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60A8"/>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CF9"/>
    <w:rsid w:val="00DD3D81"/>
    <w:rsid w:val="00DD571C"/>
    <w:rsid w:val="00DD64E1"/>
    <w:rsid w:val="00DE039A"/>
    <w:rsid w:val="00DE0403"/>
    <w:rsid w:val="00DE4811"/>
    <w:rsid w:val="00DE5458"/>
    <w:rsid w:val="00DE5EE6"/>
    <w:rsid w:val="00DE77EA"/>
    <w:rsid w:val="00DF0ABA"/>
    <w:rsid w:val="00DF1EEE"/>
    <w:rsid w:val="00DF6C58"/>
    <w:rsid w:val="00E001C1"/>
    <w:rsid w:val="00E00C9C"/>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041D"/>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4145"/>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5851"/>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532E"/>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020C5A"/>
    <w:rsid w:val="03114B08"/>
    <w:rsid w:val="0E8469B3"/>
    <w:rsid w:val="1667651F"/>
    <w:rsid w:val="188D3A55"/>
    <w:rsid w:val="1A846E0E"/>
    <w:rsid w:val="1B0F2614"/>
    <w:rsid w:val="220C4457"/>
    <w:rsid w:val="23B8434D"/>
    <w:rsid w:val="30BB3F76"/>
    <w:rsid w:val="3ACD2836"/>
    <w:rsid w:val="3F194BD4"/>
    <w:rsid w:val="47D139FD"/>
    <w:rsid w:val="59A411E3"/>
    <w:rsid w:val="64A240A2"/>
    <w:rsid w:val="69FF3090"/>
    <w:rsid w:val="7ED8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semiHidden/>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1"/>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7"/>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1"/>
    <w:qFormat/>
    <w:uiPriority w:val="0"/>
  </w:style>
  <w:style w:type="character" w:customStyle="1" w:styleId="45">
    <w:name w:val="标题 字符"/>
    <w:link w:val="17"/>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6"/>
    <w:pPr>
      <w:overflowPunct/>
      <w:autoSpaceDE/>
      <w:autoSpaceDN/>
      <w:adjustRightInd/>
      <w:spacing w:before="120" w:after="120"/>
      <w:jc w:val="both"/>
      <w:textAlignment w:val="auto"/>
    </w:pPr>
    <w:rPr>
      <w:lang w:val="en-US"/>
    </w:rPr>
  </w:style>
  <w:style w:type="character" w:customStyle="1" w:styleId="47">
    <w:name w:val="Footer Char"/>
    <w:basedOn w:val="21"/>
    <w:semiHidden/>
    <w:qFormat/>
    <w:locked/>
    <w:uiPriority w:val="0"/>
    <w:rPr>
      <w:rFonts w:cs="Times New Roman"/>
      <w:sz w:val="18"/>
      <w:szCs w:val="18"/>
    </w:rPr>
  </w:style>
  <w:style w:type="paragraph" w:customStyle="1" w:styleId="48">
    <w:name w:val="正文文本 31"/>
    <w:basedOn w:val="1"/>
    <w:qFormat/>
    <w:uiPriority w:val="0"/>
    <w:pPr>
      <w:autoSpaceDN/>
      <w:adjustRightInd/>
    </w:pPr>
    <w:rPr>
      <w:sz w:val="28"/>
    </w:rPr>
  </w:style>
  <w:style w:type="paragraph" w:customStyle="1" w:styleId="49">
    <w:name w:val="列出段落1"/>
    <w:basedOn w:val="1"/>
    <w:qFormat/>
    <w:uiPriority w:val="7"/>
    <w:pPr>
      <w:widowControl w:val="0"/>
      <w:overflowPunct/>
      <w:autoSpaceDE/>
      <w:autoSpaceDN/>
      <w:adjustRightInd/>
      <w:ind w:firstLine="420"/>
      <w:jc w:val="both"/>
      <w:textAlignment w:val="auto"/>
    </w:pPr>
    <w:rPr>
      <w:rFonts w:ascii="Calibri" w:hAnsi="Calibri" w:cs="Calibri"/>
      <w:kern w:val="2"/>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4314</Words>
  <Characters>1713</Characters>
  <Lines>14</Lines>
  <Paragraphs>12</Paragraphs>
  <TotalTime>2</TotalTime>
  <ScaleCrop>false</ScaleCrop>
  <LinksUpToDate>false</LinksUpToDate>
  <CharactersWithSpaces>6015</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2022-02-18T01:11:00Z</dcterms:created>
  <dc:creator>Lilly</dc:creator>
  <cp:lastModifiedBy>Administrator</cp:lastModifiedBy>
  <cp:lastPrinted>2022-02-18T01:09:00Z</cp:lastPrinted>
  <dcterms:modified xsi:type="dcterms:W3CDTF">2022-04-18T07:11:12Z</dcterms:modified>
  <dc:title>生效期：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684D9A24B6654E5D87185DD63316FA2A</vt:lpwstr>
  </property>
</Properties>
</file>