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0" w:name="_Toc483666358"/>
      <w:bookmarkStart w:id="1" w:name="_Toc483400307"/>
      <w:bookmarkStart w:id="2" w:name="_Toc484532399"/>
      <w:bookmarkStart w:id="3" w:name="_Toc483227223"/>
      <w:bookmarkStart w:id="4" w:name="_Toc482717189"/>
    </w:p>
    <w:p>
      <w:pPr>
        <w:spacing w:after="158" w:afterLines="50"/>
        <w:jc w:val="center"/>
        <w:rPr>
          <w:b/>
          <w:szCs w:val="21"/>
          <w:lang w:eastAsia="zh-CN"/>
        </w:rPr>
      </w:pPr>
      <w:permStart w:id="0" w:edGrp="everyone"/>
      <w:r>
        <w:rPr>
          <w:rFonts w:hint="eastAsia"/>
          <w:b/>
          <w:sz w:val="28"/>
          <w:szCs w:val="28"/>
          <w:lang w:val="en-US" w:eastAsia="zh-CN"/>
        </w:rPr>
        <w:t>细菌类疫苗室浮游菌采样器</w:t>
      </w:r>
      <w:permEnd w:id="0"/>
      <w:r>
        <w:rPr>
          <w:b/>
          <w:sz w:val="28"/>
          <w:szCs w:val="28"/>
          <w:lang w:eastAsia="zh-CN"/>
        </w:rPr>
        <w:t>用户需求说明（URS</w:t>
      </w:r>
      <w:r>
        <w:rPr>
          <w:b/>
          <w:szCs w:val="21"/>
          <w:lang w:eastAsia="zh-CN"/>
        </w:rPr>
        <w:t>）</w:t>
      </w:r>
      <w:bookmarkEnd w:id="0"/>
      <w:bookmarkEnd w:id="1"/>
      <w:bookmarkEnd w:id="2"/>
      <w:bookmarkEnd w:id="3"/>
      <w:bookmarkEnd w:id="4"/>
    </w:p>
    <w:p>
      <w:pPr>
        <w:pStyle w:val="33"/>
        <w:keepNext w:val="0"/>
        <w:keepLines w:val="0"/>
        <w:widowControl w:val="0"/>
        <w:spacing w:after="158" w:afterLines="50" w:line="240" w:lineRule="auto"/>
        <w:rPr>
          <w:sz w:val="21"/>
          <w:szCs w:val="21"/>
          <w:lang w:eastAsia="zh-CN"/>
        </w:rPr>
      </w:pPr>
      <w:permStart w:id="1" w:edGrp="everyone"/>
      <w:permEnd w:id="1"/>
    </w:p>
    <w:p>
      <w:pPr>
        <w:pStyle w:val="33"/>
        <w:keepNext w:val="0"/>
        <w:keepLines w:val="0"/>
        <w:widowControl w:val="0"/>
        <w:spacing w:after="158" w:afterLines="50" w:line="240" w:lineRule="auto"/>
        <w:jc w:val="center"/>
        <w:rPr>
          <w:sz w:val="21"/>
          <w:szCs w:val="21"/>
          <w:lang w:val="zh-CN" w:eastAsia="zh-CN"/>
        </w:rPr>
      </w:pPr>
      <w:r>
        <w:rPr>
          <w:sz w:val="21"/>
          <w:szCs w:val="21"/>
          <w:lang w:val="zh-CN" w:eastAsia="zh-CN"/>
        </w:rPr>
        <w:t xml:space="preserve">目录 </w:t>
      </w:r>
    </w:p>
    <w:p>
      <w:pPr>
        <w:pStyle w:val="15"/>
        <w:rPr>
          <w:b w:val="0"/>
          <w:bCs w:val="0"/>
          <w:caps w:val="0"/>
          <w:szCs w:val="22"/>
        </w:rPr>
      </w:pPr>
      <w:permStart w:id="2" w:edGrp="everyone"/>
      <w:r>
        <w:fldChar w:fldCharType="begin"/>
      </w:r>
      <w:r>
        <w:instrText xml:space="preserve"> TOC \o "1-2" \h \z \u </w:instrText>
      </w:r>
      <w:r>
        <w:fldChar w:fldCharType="separate"/>
      </w:r>
      <w:r>
        <w:fldChar w:fldCharType="begin"/>
      </w:r>
      <w:r>
        <w:instrText xml:space="preserve"> HYPERLINK \l "_Toc522716114" </w:instrText>
      </w:r>
      <w:r>
        <w:fldChar w:fldCharType="separate"/>
      </w:r>
      <w:r>
        <w:rPr>
          <w:rStyle w:val="23"/>
        </w:rPr>
        <w:t>修订历史</w:t>
      </w:r>
      <w:r>
        <w:tab/>
      </w:r>
      <w:r>
        <w:fldChar w:fldCharType="begin"/>
      </w:r>
      <w:r>
        <w:instrText xml:space="preserve"> PAGEREF _Toc522716114 \h </w:instrText>
      </w:r>
      <w:r>
        <w:fldChar w:fldCharType="separate"/>
      </w:r>
      <w:r>
        <w:t>3</w:t>
      </w:r>
      <w:r>
        <w:fldChar w:fldCharType="end"/>
      </w:r>
      <w:r>
        <w:fldChar w:fldCharType="end"/>
      </w:r>
    </w:p>
    <w:p>
      <w:pPr>
        <w:pStyle w:val="15"/>
        <w:rPr>
          <w:b w:val="0"/>
          <w:bCs w:val="0"/>
          <w:caps w:val="0"/>
          <w:szCs w:val="22"/>
        </w:rPr>
      </w:pPr>
      <w:r>
        <w:fldChar w:fldCharType="begin"/>
      </w:r>
      <w:r>
        <w:instrText xml:space="preserve"> HYPERLINK \l "_Toc522716115" </w:instrText>
      </w:r>
      <w:r>
        <w:fldChar w:fldCharType="separate"/>
      </w:r>
      <w:r>
        <w:rPr>
          <w:rStyle w:val="23"/>
        </w:rPr>
        <w:t>1</w:t>
      </w:r>
      <w:r>
        <w:rPr>
          <w:b w:val="0"/>
          <w:bCs w:val="0"/>
          <w:caps w:val="0"/>
          <w:szCs w:val="22"/>
        </w:rPr>
        <w:tab/>
      </w:r>
      <w:r>
        <w:rPr>
          <w:rStyle w:val="23"/>
        </w:rPr>
        <w:t>目的</w:t>
      </w:r>
      <w:r>
        <w:tab/>
      </w:r>
      <w:r>
        <w:fldChar w:fldCharType="begin"/>
      </w:r>
      <w:r>
        <w:instrText xml:space="preserve"> PAGEREF _Toc522716115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"_Toc522716116" </w:instrText>
      </w:r>
      <w:r>
        <w:fldChar w:fldCharType="separate"/>
      </w:r>
      <w:r>
        <w:rPr>
          <w:rStyle w:val="23"/>
        </w:rPr>
        <w:t>2</w:t>
      </w:r>
      <w:r>
        <w:rPr>
          <w:b w:val="0"/>
          <w:bCs w:val="0"/>
          <w:caps w:val="0"/>
          <w:szCs w:val="22"/>
        </w:rPr>
        <w:tab/>
      </w:r>
      <w:r>
        <w:rPr>
          <w:rStyle w:val="23"/>
        </w:rPr>
        <w:t>范围</w:t>
      </w:r>
      <w:r>
        <w:tab/>
      </w:r>
      <w:r>
        <w:fldChar w:fldCharType="begin"/>
      </w:r>
      <w:r>
        <w:instrText xml:space="preserve"> PAGEREF _Toc522716116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"_Toc522716117" </w:instrText>
      </w:r>
      <w:r>
        <w:fldChar w:fldCharType="separate"/>
      </w:r>
      <w:r>
        <w:rPr>
          <w:rStyle w:val="23"/>
        </w:rPr>
        <w:t>3</w:t>
      </w:r>
      <w:r>
        <w:rPr>
          <w:b w:val="0"/>
          <w:bCs w:val="0"/>
          <w:caps w:val="0"/>
          <w:szCs w:val="22"/>
        </w:rPr>
        <w:tab/>
      </w:r>
      <w:r>
        <w:rPr>
          <w:rStyle w:val="23"/>
        </w:rPr>
        <w:t>参考文件</w:t>
      </w:r>
      <w:r>
        <w:tab/>
      </w:r>
      <w:r>
        <w:fldChar w:fldCharType="begin"/>
      </w:r>
      <w:r>
        <w:instrText xml:space="preserve"> PAGEREF _Toc522716117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"_Toc522716118" </w:instrText>
      </w:r>
      <w:r>
        <w:fldChar w:fldCharType="separate"/>
      </w:r>
      <w:r>
        <w:rPr>
          <w:rStyle w:val="23"/>
        </w:rPr>
        <w:t>4</w:t>
      </w:r>
      <w:r>
        <w:rPr>
          <w:b w:val="0"/>
          <w:bCs w:val="0"/>
          <w:caps w:val="0"/>
          <w:szCs w:val="22"/>
        </w:rPr>
        <w:tab/>
      </w:r>
      <w:r>
        <w:rPr>
          <w:rStyle w:val="23"/>
        </w:rPr>
        <w:t>职责</w:t>
      </w:r>
      <w:r>
        <w:tab/>
      </w:r>
      <w:r>
        <w:fldChar w:fldCharType="begin"/>
      </w:r>
      <w:r>
        <w:instrText xml:space="preserve"> PAGEREF _Toc522716118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"_Toc522716119" </w:instrText>
      </w:r>
      <w:r>
        <w:fldChar w:fldCharType="separate"/>
      </w:r>
      <w:r>
        <w:rPr>
          <w:rStyle w:val="23"/>
        </w:rPr>
        <w:t>5</w:t>
      </w:r>
      <w:r>
        <w:rPr>
          <w:b w:val="0"/>
          <w:bCs w:val="0"/>
          <w:caps w:val="0"/>
          <w:szCs w:val="22"/>
        </w:rPr>
        <w:tab/>
      </w:r>
      <w:r>
        <w:rPr>
          <w:rStyle w:val="23"/>
        </w:rPr>
        <w:t>系统描述</w:t>
      </w:r>
      <w:r>
        <w:tab/>
      </w:r>
      <w:r>
        <w:fldChar w:fldCharType="begin"/>
      </w:r>
      <w:r>
        <w:instrText xml:space="preserve"> PAGEREF _Toc522716119 \h </w:instrText>
      </w:r>
      <w:r>
        <w:fldChar w:fldCharType="separate"/>
      </w:r>
      <w:r>
        <w:t>5</w:t>
      </w:r>
      <w:r>
        <w:fldChar w:fldCharType="end"/>
      </w:r>
      <w:r>
        <w:fldChar w:fldCharType="end"/>
      </w:r>
    </w:p>
    <w:p>
      <w:pPr>
        <w:pStyle w:val="15"/>
        <w:rPr>
          <w:b w:val="0"/>
          <w:bCs w:val="0"/>
          <w:caps w:val="0"/>
          <w:szCs w:val="22"/>
        </w:rPr>
      </w:pPr>
      <w:r>
        <w:fldChar w:fldCharType="begin"/>
      </w:r>
      <w:r>
        <w:instrText xml:space="preserve"> HYPERLINK \l "_Toc522716120" </w:instrText>
      </w:r>
      <w:r>
        <w:fldChar w:fldCharType="separate"/>
      </w:r>
      <w:r>
        <w:rPr>
          <w:rStyle w:val="23"/>
        </w:rPr>
        <w:t>6</w:t>
      </w:r>
      <w:r>
        <w:rPr>
          <w:b w:val="0"/>
          <w:bCs w:val="0"/>
          <w:caps w:val="0"/>
          <w:szCs w:val="22"/>
        </w:rPr>
        <w:tab/>
      </w:r>
      <w:r>
        <w:rPr>
          <w:rStyle w:val="23"/>
        </w:rPr>
        <w:t>安装要求</w:t>
      </w:r>
      <w:r>
        <w:tab/>
      </w:r>
      <w:r>
        <w:fldChar w:fldCharType="begin"/>
      </w:r>
      <w:r>
        <w:instrText xml:space="preserve"> PAGEREF _Toc522716120 \h </w:instrText>
      </w:r>
      <w:r>
        <w:fldChar w:fldCharType="separate"/>
      </w:r>
      <w:r>
        <w:t>5</w:t>
      </w:r>
      <w:r>
        <w:fldChar w:fldCharType="end"/>
      </w:r>
      <w:r>
        <w:fldChar w:fldCharType="end"/>
      </w:r>
    </w:p>
    <w:p>
      <w:pPr>
        <w:pStyle w:val="15"/>
        <w:rPr>
          <w:b w:val="0"/>
          <w:bCs w:val="0"/>
          <w:caps w:val="0"/>
          <w:szCs w:val="22"/>
        </w:rPr>
      </w:pPr>
      <w:r>
        <w:fldChar w:fldCharType="begin"/>
      </w:r>
      <w:r>
        <w:instrText xml:space="preserve"> HYPERLINK \l "_Toc522716121" </w:instrText>
      </w:r>
      <w:r>
        <w:fldChar w:fldCharType="separate"/>
      </w:r>
      <w:r>
        <w:rPr>
          <w:rStyle w:val="23"/>
        </w:rPr>
        <w:t>7</w:t>
      </w:r>
      <w:r>
        <w:rPr>
          <w:b w:val="0"/>
          <w:bCs w:val="0"/>
          <w:caps w:val="0"/>
          <w:szCs w:val="22"/>
        </w:rPr>
        <w:tab/>
      </w:r>
      <w:r>
        <w:rPr>
          <w:rStyle w:val="23"/>
        </w:rPr>
        <w:t>运行要求</w:t>
      </w:r>
      <w:r>
        <w:tab/>
      </w:r>
      <w:r>
        <w:fldChar w:fldCharType="begin"/>
      </w:r>
      <w:r>
        <w:instrText xml:space="preserve"> PAGEREF _Toc522716121 \h </w:instrText>
      </w:r>
      <w:r>
        <w:fldChar w:fldCharType="separate"/>
      </w:r>
      <w:r>
        <w:t>7</w:t>
      </w:r>
      <w:r>
        <w:fldChar w:fldCharType="end"/>
      </w:r>
      <w:r>
        <w:fldChar w:fldCharType="end"/>
      </w:r>
    </w:p>
    <w:p>
      <w:pPr>
        <w:pStyle w:val="15"/>
        <w:rPr>
          <w:b w:val="0"/>
          <w:bCs w:val="0"/>
          <w:caps w:val="0"/>
          <w:szCs w:val="22"/>
        </w:rPr>
      </w:pPr>
      <w:r>
        <w:fldChar w:fldCharType="begin"/>
      </w:r>
      <w:r>
        <w:instrText xml:space="preserve"> HYPERLINK \l "_Toc522716122" </w:instrText>
      </w:r>
      <w:r>
        <w:fldChar w:fldCharType="separate"/>
      </w:r>
      <w:r>
        <w:rPr>
          <w:rStyle w:val="23"/>
        </w:rPr>
        <w:t>8</w:t>
      </w:r>
      <w:r>
        <w:rPr>
          <w:b w:val="0"/>
          <w:bCs w:val="0"/>
          <w:caps w:val="0"/>
          <w:szCs w:val="22"/>
        </w:rPr>
        <w:tab/>
      </w:r>
      <w:r>
        <w:rPr>
          <w:rStyle w:val="23"/>
        </w:rPr>
        <w:t>电气、自动控制要求</w:t>
      </w:r>
      <w:r>
        <w:tab/>
      </w:r>
      <w:r>
        <w:fldChar w:fldCharType="begin"/>
      </w:r>
      <w:r>
        <w:instrText xml:space="preserve"> PAGEREF _Toc522716122 \h </w:instrText>
      </w:r>
      <w:r>
        <w:fldChar w:fldCharType="separate"/>
      </w:r>
      <w:r>
        <w:t>8</w:t>
      </w:r>
      <w:r>
        <w:fldChar w:fldCharType="end"/>
      </w:r>
      <w:r>
        <w:fldChar w:fldCharType="end"/>
      </w:r>
    </w:p>
    <w:p>
      <w:pPr>
        <w:pStyle w:val="15"/>
        <w:rPr>
          <w:b w:val="0"/>
          <w:bCs w:val="0"/>
          <w:caps w:val="0"/>
          <w:szCs w:val="22"/>
        </w:rPr>
      </w:pPr>
      <w:r>
        <w:fldChar w:fldCharType="begin"/>
      </w:r>
      <w:r>
        <w:instrText xml:space="preserve"> HYPERLINK \l "_Toc522716123" </w:instrText>
      </w:r>
      <w:r>
        <w:fldChar w:fldCharType="separate"/>
      </w:r>
      <w:r>
        <w:rPr>
          <w:rStyle w:val="23"/>
        </w:rPr>
        <w:t>9</w:t>
      </w:r>
      <w:r>
        <w:rPr>
          <w:b w:val="0"/>
          <w:bCs w:val="0"/>
          <w:caps w:val="0"/>
          <w:szCs w:val="22"/>
        </w:rPr>
        <w:tab/>
      </w:r>
      <w:r>
        <w:rPr>
          <w:rStyle w:val="23"/>
        </w:rPr>
        <w:t>安全要求</w:t>
      </w:r>
      <w:r>
        <w:tab/>
      </w:r>
      <w:r>
        <w:fldChar w:fldCharType="begin"/>
      </w:r>
      <w:r>
        <w:instrText xml:space="preserve"> PAGEREF _Toc522716123 \h </w:instrText>
      </w:r>
      <w:r>
        <w:fldChar w:fldCharType="separate"/>
      </w:r>
      <w:r>
        <w:t>9</w:t>
      </w:r>
      <w:r>
        <w:fldChar w:fldCharType="end"/>
      </w:r>
      <w:r>
        <w:fldChar w:fldCharType="end"/>
      </w:r>
    </w:p>
    <w:p>
      <w:pPr>
        <w:pStyle w:val="15"/>
        <w:rPr>
          <w:b w:val="0"/>
          <w:bCs w:val="0"/>
          <w:caps w:val="0"/>
          <w:szCs w:val="22"/>
        </w:rPr>
      </w:pPr>
      <w:r>
        <w:fldChar w:fldCharType="begin"/>
      </w:r>
      <w:r>
        <w:instrText xml:space="preserve"> HYPERLINK \l "_Toc522716124" </w:instrText>
      </w:r>
      <w:r>
        <w:fldChar w:fldCharType="separate"/>
      </w:r>
      <w:r>
        <w:rPr>
          <w:rStyle w:val="23"/>
        </w:rPr>
        <w:t>10</w:t>
      </w:r>
      <w:r>
        <w:rPr>
          <w:b w:val="0"/>
          <w:bCs w:val="0"/>
          <w:caps w:val="0"/>
          <w:szCs w:val="22"/>
        </w:rPr>
        <w:tab/>
      </w:r>
      <w:r>
        <w:rPr>
          <w:rStyle w:val="23"/>
        </w:rPr>
        <w:t>文件要求</w:t>
      </w:r>
      <w:r>
        <w:tab/>
      </w:r>
      <w:r>
        <w:fldChar w:fldCharType="begin"/>
      </w:r>
      <w:r>
        <w:instrText xml:space="preserve"> PAGEREF _Toc522716124 \h </w:instrText>
      </w:r>
      <w:r>
        <w:fldChar w:fldCharType="separate"/>
      </w:r>
      <w:r>
        <w:t>9</w:t>
      </w:r>
      <w:r>
        <w:fldChar w:fldCharType="end"/>
      </w:r>
      <w:r>
        <w:fldChar w:fldCharType="end"/>
      </w:r>
    </w:p>
    <w:p>
      <w:pPr>
        <w:pStyle w:val="15"/>
        <w:rPr>
          <w:b w:val="0"/>
          <w:bCs w:val="0"/>
          <w:caps w:val="0"/>
          <w:szCs w:val="22"/>
        </w:rPr>
      </w:pPr>
      <w:r>
        <w:fldChar w:fldCharType="begin"/>
      </w:r>
      <w:r>
        <w:instrText xml:space="preserve"> HYPERLINK \l "_Toc522716125" </w:instrText>
      </w:r>
      <w:r>
        <w:fldChar w:fldCharType="separate"/>
      </w:r>
      <w:r>
        <w:rPr>
          <w:rStyle w:val="23"/>
        </w:rPr>
        <w:t>11</w:t>
      </w:r>
      <w:r>
        <w:rPr>
          <w:b w:val="0"/>
          <w:bCs w:val="0"/>
          <w:caps w:val="0"/>
          <w:szCs w:val="22"/>
        </w:rPr>
        <w:tab/>
      </w:r>
      <w:r>
        <w:rPr>
          <w:rStyle w:val="23"/>
        </w:rPr>
        <w:t>服务要求</w:t>
      </w:r>
      <w:r>
        <w:tab/>
      </w:r>
      <w:r>
        <w:fldChar w:fldCharType="begin"/>
      </w:r>
      <w:r>
        <w:instrText xml:space="preserve"> PAGEREF _Toc522716125 \h </w:instrText>
      </w:r>
      <w:r>
        <w:fldChar w:fldCharType="separate"/>
      </w:r>
      <w:r>
        <w:t>11</w:t>
      </w:r>
      <w:r>
        <w:fldChar w:fldCharType="end"/>
      </w:r>
      <w:r>
        <w:fldChar w:fldCharType="end"/>
      </w:r>
    </w:p>
    <w:p>
      <w:pPr>
        <w:pStyle w:val="15"/>
        <w:rPr>
          <w:b w:val="0"/>
          <w:bCs w:val="0"/>
          <w:caps w:val="0"/>
          <w:szCs w:val="22"/>
        </w:rPr>
      </w:pPr>
      <w:r>
        <w:fldChar w:fldCharType="begin"/>
      </w:r>
      <w:r>
        <w:instrText xml:space="preserve"> HYPERLINK \l "_Toc522716126" </w:instrText>
      </w:r>
      <w:r>
        <w:fldChar w:fldCharType="separate"/>
      </w:r>
      <w:r>
        <w:rPr>
          <w:rStyle w:val="23"/>
        </w:rPr>
        <w:t>12</w:t>
      </w:r>
      <w:r>
        <w:rPr>
          <w:b w:val="0"/>
          <w:bCs w:val="0"/>
          <w:caps w:val="0"/>
          <w:szCs w:val="22"/>
        </w:rPr>
        <w:tab/>
      </w:r>
      <w:r>
        <w:rPr>
          <w:rStyle w:val="23"/>
        </w:rPr>
        <w:t>附件</w:t>
      </w:r>
      <w:r>
        <w:tab/>
      </w:r>
      <w:r>
        <w:fldChar w:fldCharType="begin"/>
      </w:r>
      <w:r>
        <w:instrText xml:space="preserve"> PAGEREF _Toc522716126 \h </w:instrText>
      </w:r>
      <w:r>
        <w:fldChar w:fldCharType="separate"/>
      </w:r>
      <w:r>
        <w:t>13</w:t>
      </w:r>
      <w:r>
        <w:fldChar w:fldCharType="end"/>
      </w:r>
      <w:r>
        <w:fldChar w:fldCharType="end"/>
      </w:r>
    </w:p>
    <w:p>
      <w:r>
        <w:fldChar w:fldCharType="end"/>
      </w:r>
      <w:permEnd w:id="2"/>
    </w:p>
    <w:p>
      <w:pPr>
        <w:rPr>
          <w:b/>
          <w:bCs/>
          <w:caps/>
          <w:kern w:val="2"/>
          <w:szCs w:val="21"/>
          <w:lang w:eastAsia="zh-CN"/>
        </w:rPr>
      </w:pPr>
      <w:r>
        <w:rPr>
          <w:b/>
          <w:bCs/>
          <w:caps/>
          <w:kern w:val="2"/>
          <w:szCs w:val="21"/>
          <w:lang w:eastAsia="zh-CN"/>
        </w:rPr>
        <w:br w:type="page"/>
      </w:r>
    </w:p>
    <w:p>
      <w:pPr>
        <w:pStyle w:val="31"/>
        <w:numPr>
          <w:ilvl w:val="0"/>
          <w:numId w:val="3"/>
        </w:numPr>
        <w:spacing w:after="158" w:afterLines="50"/>
        <w:ind w:left="426" w:hanging="426" w:hangingChars="202"/>
        <w:outlineLvl w:val="0"/>
        <w:rPr>
          <w:rFonts w:ascii="Times New Roman" w:hAnsi="Times New Roman"/>
          <w:b/>
        </w:rPr>
      </w:pPr>
      <w:bookmarkStart w:id="5" w:name="_Toc522107735"/>
      <w:bookmarkStart w:id="6" w:name="_Toc522716115"/>
      <w:r>
        <w:rPr>
          <w:rFonts w:ascii="Times New Roman" w:hAnsi="Times New Roman"/>
          <w:b/>
        </w:rPr>
        <w:t>目的</w:t>
      </w:r>
      <w:bookmarkEnd w:id="5"/>
      <w:bookmarkEnd w:id="6"/>
    </w:p>
    <w:p>
      <w:pPr>
        <w:pStyle w:val="41"/>
        <w:spacing w:before="0" w:line="360" w:lineRule="auto"/>
        <w:ind w:left="357"/>
        <w:jc w:val="left"/>
        <w:rPr>
          <w:szCs w:val="21"/>
          <w:lang w:eastAsia="zh-CN"/>
        </w:rPr>
      </w:pPr>
      <w:bookmarkStart w:id="7" w:name="_Toc482370349"/>
      <w:bookmarkStart w:id="8" w:name="_Toc481702475"/>
      <w:bookmarkStart w:id="9" w:name="_Toc482370757"/>
      <w:bookmarkStart w:id="10" w:name="_Toc482625279"/>
      <w:bookmarkStart w:id="11" w:name="_Toc482370061"/>
      <w:bookmarkStart w:id="12" w:name="_Toc482359936"/>
      <w:bookmarkStart w:id="13" w:name="_Toc482360281"/>
      <w:bookmarkStart w:id="14" w:name="_Toc482370141"/>
      <w:bookmarkStart w:id="15" w:name="_Toc482369805"/>
      <w:r>
        <w:rPr>
          <w:szCs w:val="21"/>
          <w:lang w:eastAsia="zh-CN"/>
        </w:rPr>
        <w:t>本文件的目的是描述武汉生物制品研究所有限责任公司</w:t>
      </w:r>
      <w:permStart w:id="3" w:edGrp="everyone"/>
      <w:r>
        <w:rPr>
          <w:rFonts w:hint="eastAsia"/>
          <w:lang w:eastAsia="zh-CN"/>
        </w:rPr>
        <w:t>细菌类疫苗室</w:t>
      </w:r>
      <w:r>
        <w:rPr>
          <w:rFonts w:hint="eastAsia"/>
          <w:szCs w:val="24"/>
          <w:lang w:eastAsia="zh-CN"/>
        </w:rPr>
        <w:t>百日咳疫苗原液车间、</w:t>
      </w:r>
      <w:r>
        <w:rPr>
          <w:rFonts w:hint="eastAsia"/>
          <w:lang w:eastAsia="zh-CN"/>
        </w:rPr>
        <w:t>毒素组白喉/</w:t>
      </w:r>
      <w:r>
        <w:rPr>
          <w:lang w:eastAsia="zh-CN"/>
        </w:rPr>
        <w:t>破伤风原液车间</w:t>
      </w:r>
      <w:r>
        <w:rPr>
          <w:rFonts w:hint="eastAsia"/>
          <w:lang w:eastAsia="zh-CN"/>
        </w:rPr>
        <w:t>、小容量注射剂（安瓿）分装车间、</w:t>
      </w:r>
      <w:r>
        <w:rPr>
          <w:rFonts w:hint="eastAsia"/>
          <w:szCs w:val="24"/>
          <w:lang w:eastAsia="zh-CN"/>
        </w:rPr>
        <w:t>钩端螺旋体疫苗原液车间、多糖类疫苗车间</w:t>
      </w:r>
      <w:r>
        <w:rPr>
          <w:rFonts w:hint="eastAsia"/>
          <w:szCs w:val="21"/>
          <w:lang w:eastAsia="zh-CN"/>
        </w:rPr>
        <w:t>浮游菌采样器</w:t>
      </w:r>
      <w:permEnd w:id="3"/>
      <w:r>
        <w:rPr>
          <w:szCs w:val="21"/>
          <w:lang w:eastAsia="zh-CN"/>
        </w:rPr>
        <w:t>的用户需求说明（URS），以确保最终用户的需求在项目设计阶段得以实现，并作为后续验证工作的基础。</w:t>
      </w:r>
    </w:p>
    <w:p>
      <w:pPr>
        <w:pStyle w:val="41"/>
        <w:spacing w:before="0"/>
        <w:ind w:left="360"/>
        <w:rPr>
          <w:szCs w:val="21"/>
          <w:lang w:eastAsia="zh-CN"/>
        </w:rPr>
      </w:pPr>
    </w:p>
    <w:p>
      <w:pPr>
        <w:pStyle w:val="31"/>
        <w:numPr>
          <w:ilvl w:val="0"/>
          <w:numId w:val="3"/>
        </w:numPr>
        <w:spacing w:after="158" w:afterLines="50"/>
        <w:ind w:left="426" w:hanging="426" w:hangingChars="202"/>
        <w:outlineLvl w:val="0"/>
        <w:rPr>
          <w:rFonts w:ascii="Times New Roman" w:hAnsi="Times New Roman"/>
          <w:b/>
        </w:rPr>
      </w:pPr>
      <w:bookmarkStart w:id="16" w:name="_Toc522107736"/>
      <w:bookmarkStart w:id="17" w:name="_Toc522716116"/>
      <w:r>
        <w:rPr>
          <w:rFonts w:ascii="Times New Roman" w:hAnsi="Times New Roman"/>
          <w:b/>
        </w:rPr>
        <w:t>范围</w:t>
      </w:r>
      <w:bookmarkEnd w:id="16"/>
      <w:bookmarkEnd w:id="17"/>
    </w:p>
    <w:p>
      <w:pPr>
        <w:pStyle w:val="41"/>
        <w:spacing w:before="0" w:line="360" w:lineRule="auto"/>
        <w:ind w:left="357"/>
        <w:jc w:val="left"/>
        <w:rPr>
          <w:szCs w:val="21"/>
          <w:lang w:eastAsia="zh-CN"/>
        </w:rPr>
      </w:pPr>
      <w:r>
        <w:rPr>
          <w:szCs w:val="21"/>
          <w:lang w:eastAsia="zh-CN"/>
        </w:rPr>
        <w:t>本URS适用于武汉生物制品研究所有限责任公司</w:t>
      </w:r>
      <w:permStart w:id="4" w:edGrp="everyone"/>
      <w:r>
        <w:rPr>
          <w:rFonts w:hint="eastAsia"/>
          <w:lang w:eastAsia="zh-CN"/>
        </w:rPr>
        <w:t>细菌类疫苗室</w:t>
      </w:r>
      <w:r>
        <w:rPr>
          <w:rFonts w:hint="eastAsia"/>
          <w:szCs w:val="24"/>
          <w:lang w:eastAsia="zh-CN"/>
        </w:rPr>
        <w:t>百日咳疫苗原液车间、</w:t>
      </w:r>
      <w:r>
        <w:rPr>
          <w:rFonts w:hint="eastAsia"/>
          <w:lang w:eastAsia="zh-CN"/>
        </w:rPr>
        <w:t>毒素组白喉/</w:t>
      </w:r>
      <w:r>
        <w:rPr>
          <w:lang w:eastAsia="zh-CN"/>
        </w:rPr>
        <w:t>破伤风原液车间</w:t>
      </w:r>
      <w:r>
        <w:rPr>
          <w:rFonts w:hint="eastAsia"/>
          <w:lang w:eastAsia="zh-CN"/>
        </w:rPr>
        <w:t>、小容量注射剂（安瓿）分装车间、</w:t>
      </w:r>
      <w:r>
        <w:rPr>
          <w:rFonts w:hint="eastAsia"/>
          <w:szCs w:val="24"/>
          <w:lang w:eastAsia="zh-CN"/>
        </w:rPr>
        <w:t>钩端螺旋体疫苗原液车间、多糖类疫苗车间</w:t>
      </w:r>
      <w:r>
        <w:rPr>
          <w:rFonts w:hint="eastAsia"/>
          <w:szCs w:val="21"/>
          <w:lang w:eastAsia="zh-CN"/>
        </w:rPr>
        <w:t>浮游菌采样器</w:t>
      </w:r>
      <w:permEnd w:id="4"/>
      <w:r>
        <w:rPr>
          <w:szCs w:val="21"/>
          <w:lang w:eastAsia="zh-CN"/>
        </w:rPr>
        <w:t>。</w:t>
      </w:r>
      <w:bookmarkEnd w:id="7"/>
      <w:bookmarkEnd w:id="8"/>
      <w:bookmarkEnd w:id="9"/>
      <w:bookmarkEnd w:id="10"/>
      <w:bookmarkEnd w:id="11"/>
      <w:bookmarkEnd w:id="12"/>
      <w:bookmarkEnd w:id="13"/>
      <w:bookmarkEnd w:id="14"/>
      <w:bookmarkEnd w:id="15"/>
    </w:p>
    <w:p>
      <w:pPr>
        <w:pStyle w:val="41"/>
        <w:spacing w:before="0" w:line="360" w:lineRule="auto"/>
        <w:ind w:left="357"/>
        <w:jc w:val="left"/>
        <w:rPr>
          <w:szCs w:val="21"/>
          <w:lang w:eastAsia="zh-CN"/>
        </w:rPr>
      </w:pPr>
    </w:p>
    <w:p>
      <w:pPr>
        <w:pStyle w:val="31"/>
        <w:numPr>
          <w:ilvl w:val="0"/>
          <w:numId w:val="3"/>
        </w:numPr>
        <w:spacing w:after="158" w:afterLines="50"/>
        <w:ind w:left="426" w:hanging="426" w:hangingChars="202"/>
        <w:outlineLvl w:val="0"/>
        <w:rPr>
          <w:rFonts w:ascii="Times New Roman" w:hAnsi="Times New Roman"/>
          <w:b/>
        </w:rPr>
      </w:pPr>
      <w:bookmarkStart w:id="18" w:name="_Toc522716117"/>
      <w:bookmarkStart w:id="19" w:name="_Toc522107737"/>
      <w:r>
        <w:rPr>
          <w:rFonts w:ascii="Times New Roman" w:hAnsi="Times New Roman"/>
          <w:b/>
        </w:rPr>
        <w:t>参考文件</w:t>
      </w:r>
      <w:bookmarkEnd w:id="18"/>
      <w:bookmarkEnd w:id="19"/>
    </w:p>
    <w:p>
      <w:pPr>
        <w:pStyle w:val="41"/>
        <w:numPr>
          <w:ilvl w:val="0"/>
          <w:numId w:val="4"/>
        </w:numPr>
        <w:spacing w:before="0" w:line="360" w:lineRule="auto"/>
        <w:jc w:val="left"/>
        <w:rPr>
          <w:color w:val="000000"/>
          <w:szCs w:val="21"/>
          <w:lang w:eastAsia="zh-CN"/>
        </w:rPr>
      </w:pPr>
      <w:r>
        <w:rPr>
          <w:color w:val="000000"/>
          <w:szCs w:val="21"/>
          <w:lang w:eastAsia="zh-CN"/>
        </w:rPr>
        <w:t>GMP法规指南和SOP</w:t>
      </w:r>
    </w:p>
    <w:p>
      <w:pPr>
        <w:pStyle w:val="41"/>
        <w:numPr>
          <w:ilvl w:val="0"/>
          <w:numId w:val="5"/>
        </w:numPr>
        <w:spacing w:before="0" w:line="360" w:lineRule="auto"/>
        <w:ind w:left="777"/>
        <w:jc w:val="left"/>
        <w:rPr>
          <w:color w:val="4472C4"/>
          <w:szCs w:val="21"/>
          <w:lang w:eastAsia="zh-CN"/>
        </w:rPr>
      </w:pPr>
      <w:r>
        <w:rPr>
          <w:color w:val="000000"/>
          <w:szCs w:val="21"/>
          <w:lang w:eastAsia="zh-CN"/>
        </w:rPr>
        <w:t>SOP-06-12-0005 用户需求编写审批SOP</w:t>
      </w:r>
    </w:p>
    <w:p>
      <w:pPr>
        <w:pStyle w:val="41"/>
        <w:numPr>
          <w:ilvl w:val="0"/>
          <w:numId w:val="5"/>
        </w:numPr>
        <w:spacing w:before="0" w:line="360" w:lineRule="auto"/>
        <w:ind w:left="777"/>
        <w:jc w:val="left"/>
        <w:rPr>
          <w:color w:val="000000"/>
          <w:szCs w:val="21"/>
          <w:lang w:eastAsia="zh-CN"/>
        </w:rPr>
      </w:pPr>
      <w:permStart w:id="5" w:edGrp="everyone"/>
      <w:r>
        <w:rPr>
          <w:rFonts w:hint="eastAsia"/>
          <w:color w:val="000000"/>
          <w:szCs w:val="21"/>
          <w:lang w:eastAsia="zh-CN"/>
        </w:rPr>
        <w:t>《中华人民共和国药典》（2020版）</w:t>
      </w:r>
    </w:p>
    <w:p>
      <w:pPr>
        <w:pStyle w:val="41"/>
        <w:numPr>
          <w:ilvl w:val="0"/>
          <w:numId w:val="5"/>
        </w:numPr>
        <w:spacing w:before="0" w:line="360" w:lineRule="auto"/>
        <w:ind w:left="777"/>
        <w:jc w:val="left"/>
        <w:rPr>
          <w:color w:val="000000"/>
          <w:szCs w:val="21"/>
          <w:lang w:eastAsia="zh-CN"/>
        </w:rPr>
      </w:pPr>
      <w:r>
        <w:rPr>
          <w:rFonts w:hint="eastAsia"/>
          <w:color w:val="000000"/>
          <w:szCs w:val="21"/>
          <w:lang w:eastAsia="zh-CN"/>
        </w:rPr>
        <w:t>《药品生产质量管理规范》（2010版）</w:t>
      </w:r>
    </w:p>
    <w:p>
      <w:pPr>
        <w:pStyle w:val="41"/>
        <w:numPr>
          <w:ilvl w:val="0"/>
          <w:numId w:val="5"/>
        </w:numPr>
        <w:spacing w:before="0" w:line="360" w:lineRule="auto"/>
        <w:ind w:left="777"/>
        <w:jc w:val="left"/>
        <w:rPr>
          <w:color w:val="000000"/>
          <w:szCs w:val="21"/>
          <w:lang w:eastAsia="zh-CN"/>
        </w:rPr>
      </w:pPr>
      <w:r>
        <w:rPr>
          <w:rFonts w:hint="eastAsia"/>
          <w:color w:val="000000"/>
          <w:szCs w:val="21"/>
          <w:lang w:eastAsia="zh-CN"/>
        </w:rPr>
        <w:t>《药品GMP指南》 （2011版）</w:t>
      </w:r>
    </w:p>
    <w:p>
      <w:pPr>
        <w:pStyle w:val="41"/>
        <w:numPr>
          <w:ilvl w:val="0"/>
          <w:numId w:val="5"/>
        </w:numPr>
        <w:spacing w:before="0" w:line="360" w:lineRule="auto"/>
        <w:ind w:left="777"/>
        <w:jc w:val="left"/>
        <w:rPr>
          <w:color w:val="000000"/>
          <w:szCs w:val="21"/>
          <w:lang w:eastAsia="zh-CN"/>
        </w:rPr>
      </w:pPr>
      <w:r>
        <w:rPr>
          <w:rFonts w:hint="eastAsia"/>
          <w:color w:val="000000"/>
          <w:szCs w:val="21"/>
          <w:lang w:eastAsia="zh-CN"/>
        </w:rPr>
        <w:t>国家标准及欧盟现行版 GMP 相关法规要求和准则</w:t>
      </w:r>
    </w:p>
    <w:p>
      <w:pPr>
        <w:pStyle w:val="41"/>
        <w:numPr>
          <w:ilvl w:val="0"/>
          <w:numId w:val="5"/>
        </w:numPr>
        <w:spacing w:before="0" w:line="360" w:lineRule="auto"/>
        <w:ind w:left="777"/>
        <w:jc w:val="left"/>
        <w:rPr>
          <w:szCs w:val="21"/>
          <w:lang w:eastAsia="zh-CN"/>
        </w:rPr>
      </w:pPr>
      <w:r>
        <w:rPr>
          <w:rFonts w:hint="eastAsia"/>
          <w:color w:val="000000"/>
          <w:szCs w:val="21"/>
          <w:lang w:eastAsia="zh-CN"/>
        </w:rPr>
        <w:t xml:space="preserve">ISO </w:t>
      </w:r>
      <w:r>
        <w:rPr>
          <w:rFonts w:hint="eastAsia"/>
          <w:szCs w:val="21"/>
          <w:lang w:eastAsia="zh-CN"/>
        </w:rPr>
        <w:t>14698-1/2洁净室及相关控制环境的生物污染控制</w:t>
      </w:r>
    </w:p>
    <w:p>
      <w:pPr>
        <w:pStyle w:val="41"/>
        <w:numPr>
          <w:ilvl w:val="0"/>
          <w:numId w:val="5"/>
        </w:numPr>
        <w:spacing w:before="0" w:line="360" w:lineRule="auto"/>
        <w:ind w:left="777"/>
        <w:jc w:val="left"/>
        <w:rPr>
          <w:szCs w:val="21"/>
          <w:lang w:eastAsia="zh-CN"/>
        </w:rPr>
      </w:pPr>
      <w:r>
        <w:rPr>
          <w:rFonts w:hint="eastAsia"/>
          <w:color w:val="000000"/>
          <w:szCs w:val="21"/>
          <w:lang w:eastAsia="zh-CN"/>
        </w:rPr>
        <w:t>GB/T 16293-2010医药工业</w:t>
      </w:r>
      <w:r>
        <w:rPr>
          <w:rFonts w:hint="eastAsia"/>
          <w:szCs w:val="21"/>
          <w:lang w:eastAsia="zh-CN"/>
        </w:rPr>
        <w:t>洁净室(区)浮游菌的测试方法</w:t>
      </w:r>
    </w:p>
    <w:permEnd w:id="5"/>
    <w:p>
      <w:pPr>
        <w:pStyle w:val="41"/>
        <w:numPr>
          <w:ilvl w:val="0"/>
          <w:numId w:val="4"/>
        </w:numPr>
        <w:spacing w:before="0" w:line="360" w:lineRule="auto"/>
        <w:jc w:val="left"/>
        <w:rPr>
          <w:color w:val="000000"/>
          <w:szCs w:val="21"/>
          <w:lang w:eastAsia="zh-CN"/>
        </w:rPr>
      </w:pPr>
      <w:r>
        <w:rPr>
          <w:color w:val="000000"/>
          <w:szCs w:val="21"/>
          <w:lang w:eastAsia="zh-CN"/>
        </w:rPr>
        <w:t>安全及环保法规指南</w:t>
      </w:r>
    </w:p>
    <w:p>
      <w:pPr>
        <w:pStyle w:val="41"/>
        <w:numPr>
          <w:ilvl w:val="0"/>
          <w:numId w:val="6"/>
        </w:numPr>
        <w:spacing w:before="0" w:line="360" w:lineRule="auto"/>
        <w:jc w:val="left"/>
        <w:rPr>
          <w:i/>
          <w:szCs w:val="21"/>
          <w:lang w:eastAsia="zh-CN"/>
        </w:rPr>
      </w:pPr>
      <w:permStart w:id="6" w:edGrp="everyone"/>
      <w:r>
        <w:rPr>
          <w:rFonts w:hint="eastAsia"/>
          <w:szCs w:val="21"/>
          <w:lang w:eastAsia="zh-CN"/>
        </w:rPr>
        <w:t>电气安全应符合GB4793.1和GB4793.4的要求</w:t>
      </w:r>
      <w:permEnd w:id="6"/>
    </w:p>
    <w:p>
      <w:pPr>
        <w:pStyle w:val="31"/>
        <w:numPr>
          <w:ilvl w:val="0"/>
          <w:numId w:val="3"/>
        </w:numPr>
        <w:spacing w:after="158" w:afterLines="50"/>
        <w:ind w:left="426" w:hanging="426" w:hangingChars="202"/>
        <w:outlineLvl w:val="0"/>
        <w:rPr>
          <w:rFonts w:ascii="Times New Roman" w:hAnsi="Times New Roman"/>
          <w:b/>
        </w:rPr>
      </w:pPr>
      <w:bookmarkStart w:id="20" w:name="_Toc522716119"/>
      <w:bookmarkStart w:id="21" w:name="_Toc522107739"/>
      <w:r>
        <w:rPr>
          <w:rFonts w:ascii="Times New Roman" w:hAnsi="Times New Roman"/>
          <w:b/>
        </w:rPr>
        <w:t>系统描述</w:t>
      </w:r>
      <w:bookmarkEnd w:id="20"/>
      <w:bookmarkEnd w:id="21"/>
    </w:p>
    <w:p>
      <w:pPr>
        <w:pStyle w:val="41"/>
        <w:spacing w:before="0" w:line="360" w:lineRule="auto"/>
        <w:ind w:left="357"/>
        <w:jc w:val="left"/>
        <w:rPr>
          <w:lang w:eastAsia="zh-CN"/>
        </w:rPr>
      </w:pPr>
      <w:permStart w:id="7" w:edGrp="everyone"/>
      <w:r>
        <w:rPr>
          <w:rFonts w:hint="eastAsia"/>
          <w:lang w:eastAsia="zh-CN"/>
        </w:rPr>
        <w:t>浮游菌采样器是利用</w:t>
      </w:r>
      <w:r>
        <w:rPr>
          <w:lang w:eastAsia="zh-CN"/>
        </w:rPr>
        <w:t>Andersen空气采样器的原理，抽取空气通过多孔盖，气流中的微生物则撞击附着在标准培养皿中琼脂培养基的表面。完成采样周期之后，将该培养皿放到适宜条件下培养，然后确定菌落总数。</w:t>
      </w:r>
      <w:r>
        <w:rPr>
          <w:rFonts w:hint="eastAsia"/>
          <w:lang w:eastAsia="zh-CN"/>
        </w:rPr>
        <w:t>根据日常环境监测及验证的需求。</w:t>
      </w:r>
    </w:p>
    <w:p>
      <w:pPr>
        <w:pStyle w:val="41"/>
        <w:spacing w:before="0" w:line="360" w:lineRule="auto"/>
        <w:ind w:left="357"/>
        <w:jc w:val="left"/>
        <w:rPr>
          <w:color w:val="000000"/>
          <w:szCs w:val="21"/>
          <w:lang w:eastAsia="zh-CN"/>
        </w:rPr>
      </w:pPr>
      <w:r>
        <w:rPr>
          <w:rFonts w:hint="eastAsia"/>
          <w:lang w:eastAsia="zh-CN"/>
        </w:rPr>
        <w:t>细菌类疫苗室</w:t>
      </w:r>
      <w:r>
        <w:rPr>
          <w:rFonts w:hint="eastAsia"/>
          <w:szCs w:val="21"/>
          <w:lang w:eastAsia="zh-CN"/>
        </w:rPr>
        <w:t>百日咳疫苗原液车间、</w:t>
      </w:r>
      <w:r>
        <w:rPr>
          <w:rFonts w:hint="eastAsia"/>
          <w:lang w:eastAsia="zh-CN"/>
        </w:rPr>
        <w:t>毒素组白喉/</w:t>
      </w:r>
      <w:r>
        <w:rPr>
          <w:lang w:eastAsia="zh-CN"/>
        </w:rPr>
        <w:t>破伤风原液车间</w:t>
      </w:r>
      <w:r>
        <w:rPr>
          <w:rFonts w:hint="eastAsia"/>
          <w:lang w:eastAsia="zh-CN"/>
        </w:rPr>
        <w:t>、小容量注射剂（安瓿）分装车间、</w:t>
      </w:r>
      <w:r>
        <w:rPr>
          <w:rFonts w:hint="eastAsia"/>
          <w:szCs w:val="21"/>
          <w:lang w:eastAsia="zh-CN"/>
        </w:rPr>
        <w:t>钩端螺旋体疫苗原液车间、多糖类疫苗车间</w:t>
      </w:r>
      <w:r>
        <w:rPr>
          <w:lang w:eastAsia="zh-CN"/>
        </w:rPr>
        <w:t>需要购买</w:t>
      </w:r>
      <w:r>
        <w:rPr>
          <w:rFonts w:hint="eastAsia"/>
          <w:color w:val="000000"/>
          <w:szCs w:val="21"/>
          <w:lang w:eastAsia="zh-CN"/>
        </w:rPr>
        <w:t>15台浮游菌采样器，用于过程控制中环境监测的采样。详情如下：</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18"/>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8" w:type="dxa"/>
          </w:tcPr>
          <w:p>
            <w:pPr>
              <w:pStyle w:val="8"/>
              <w:spacing w:line="360" w:lineRule="auto"/>
              <w:ind w:right="476"/>
              <w:rPr>
                <w:b w:val="0"/>
                <w:sz w:val="21"/>
                <w:szCs w:val="21"/>
                <w:lang w:val="en-US" w:eastAsia="zh-CN"/>
              </w:rPr>
            </w:pPr>
            <w:r>
              <w:rPr>
                <w:rFonts w:hint="eastAsia"/>
                <w:b w:val="0"/>
                <w:sz w:val="21"/>
                <w:szCs w:val="21"/>
                <w:lang w:val="en-US" w:eastAsia="zh-CN"/>
              </w:rPr>
              <w:t>车间名称</w:t>
            </w:r>
          </w:p>
        </w:tc>
        <w:tc>
          <w:tcPr>
            <w:tcW w:w="2126" w:type="dxa"/>
          </w:tcPr>
          <w:p>
            <w:pPr>
              <w:pStyle w:val="8"/>
              <w:spacing w:line="360" w:lineRule="auto"/>
              <w:ind w:right="476"/>
              <w:rPr>
                <w:b w:val="0"/>
                <w:sz w:val="21"/>
                <w:szCs w:val="21"/>
                <w:lang w:val="en-US" w:eastAsia="zh-CN"/>
              </w:rPr>
            </w:pPr>
            <w:r>
              <w:rPr>
                <w:rFonts w:hint="eastAsia"/>
                <w:b w:val="0"/>
                <w:sz w:val="21"/>
                <w:szCs w:val="21"/>
                <w:lang w:val="en-US" w:eastAsia="zh-CN"/>
              </w:rPr>
              <w:t>数量</w:t>
            </w:r>
          </w:p>
        </w:tc>
        <w:tc>
          <w:tcPr>
            <w:tcW w:w="2127" w:type="dxa"/>
          </w:tcPr>
          <w:p>
            <w:pPr>
              <w:pStyle w:val="8"/>
              <w:spacing w:line="360" w:lineRule="auto"/>
              <w:ind w:right="476"/>
              <w:rPr>
                <w:b w:val="0"/>
                <w:sz w:val="21"/>
                <w:szCs w:val="21"/>
                <w:lang w:val="en-US" w:eastAsia="zh-CN"/>
              </w:rPr>
            </w:pPr>
            <w:r>
              <w:rPr>
                <w:rFonts w:hint="eastAsia"/>
                <w:b w:val="0"/>
                <w:sz w:val="21"/>
                <w:szCs w:val="21"/>
                <w:lang w:val="en-US"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8" w:type="dxa"/>
            <w:vAlign w:val="center"/>
          </w:tcPr>
          <w:p>
            <w:pPr>
              <w:pStyle w:val="8"/>
              <w:spacing w:line="360" w:lineRule="auto"/>
              <w:ind w:right="476"/>
              <w:rPr>
                <w:b w:val="0"/>
                <w:sz w:val="21"/>
                <w:szCs w:val="21"/>
                <w:lang w:val="en-US" w:eastAsia="zh-CN"/>
              </w:rPr>
            </w:pPr>
            <w:r>
              <w:rPr>
                <w:rFonts w:hint="eastAsia"/>
                <w:b w:val="0"/>
                <w:sz w:val="21"/>
                <w:szCs w:val="21"/>
                <w:lang w:val="en-US" w:eastAsia="zh-CN"/>
              </w:rPr>
              <w:t>百日咳疫苗原液车间</w:t>
            </w:r>
          </w:p>
        </w:tc>
        <w:tc>
          <w:tcPr>
            <w:tcW w:w="2126" w:type="dxa"/>
          </w:tcPr>
          <w:p>
            <w:pPr>
              <w:pStyle w:val="8"/>
              <w:spacing w:line="360" w:lineRule="auto"/>
              <w:ind w:right="476"/>
              <w:rPr>
                <w:b w:val="0"/>
                <w:sz w:val="21"/>
                <w:szCs w:val="21"/>
                <w:lang w:val="en-US" w:eastAsia="zh-CN"/>
              </w:rPr>
            </w:pPr>
            <w:r>
              <w:rPr>
                <w:rFonts w:hint="eastAsia"/>
                <w:b w:val="0"/>
                <w:sz w:val="21"/>
                <w:szCs w:val="21"/>
                <w:lang w:val="en-US" w:eastAsia="zh-CN"/>
              </w:rPr>
              <w:t>4</w:t>
            </w:r>
          </w:p>
        </w:tc>
        <w:tc>
          <w:tcPr>
            <w:tcW w:w="2127" w:type="dxa"/>
            <w:vAlign w:val="center"/>
          </w:tcPr>
          <w:p>
            <w:pPr>
              <w:pStyle w:val="8"/>
              <w:spacing w:line="360" w:lineRule="auto"/>
              <w:ind w:right="476"/>
              <w:rPr>
                <w:b w:val="0"/>
                <w:sz w:val="21"/>
                <w:szCs w:val="21"/>
                <w:lang w:val="en-US" w:eastAsia="zh-CN"/>
              </w:rPr>
            </w:pPr>
            <w:r>
              <w:rPr>
                <w:rFonts w:hint="eastAsia"/>
                <w:b w:val="0"/>
                <w:sz w:val="21"/>
                <w:szCs w:val="21"/>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8" w:type="dxa"/>
            <w:vAlign w:val="center"/>
          </w:tcPr>
          <w:p>
            <w:pPr>
              <w:pStyle w:val="8"/>
              <w:spacing w:line="360" w:lineRule="auto"/>
              <w:ind w:right="476"/>
              <w:rPr>
                <w:b w:val="0"/>
                <w:sz w:val="21"/>
                <w:szCs w:val="21"/>
                <w:lang w:val="en-US" w:eastAsia="zh-CN"/>
              </w:rPr>
            </w:pPr>
            <w:r>
              <w:rPr>
                <w:rFonts w:hint="eastAsia"/>
                <w:b w:val="0"/>
                <w:sz w:val="21"/>
                <w:szCs w:val="21"/>
                <w:lang w:val="en-US" w:eastAsia="zh-CN"/>
              </w:rPr>
              <w:t>白喉、破伤风疫苗原液车间</w:t>
            </w:r>
          </w:p>
        </w:tc>
        <w:tc>
          <w:tcPr>
            <w:tcW w:w="2126" w:type="dxa"/>
          </w:tcPr>
          <w:p>
            <w:pPr>
              <w:pStyle w:val="8"/>
              <w:spacing w:line="360" w:lineRule="auto"/>
              <w:ind w:right="476"/>
              <w:rPr>
                <w:b w:val="0"/>
                <w:sz w:val="21"/>
                <w:szCs w:val="21"/>
                <w:lang w:val="en-US" w:eastAsia="zh-CN"/>
              </w:rPr>
            </w:pPr>
            <w:r>
              <w:rPr>
                <w:rFonts w:hint="eastAsia"/>
                <w:b w:val="0"/>
                <w:sz w:val="21"/>
                <w:szCs w:val="21"/>
                <w:lang w:val="en-US" w:eastAsia="zh-CN"/>
              </w:rPr>
              <w:t>6</w:t>
            </w:r>
          </w:p>
        </w:tc>
        <w:tc>
          <w:tcPr>
            <w:tcW w:w="2127" w:type="dxa"/>
            <w:vAlign w:val="center"/>
          </w:tcPr>
          <w:p>
            <w:pPr>
              <w:pStyle w:val="8"/>
              <w:spacing w:line="360" w:lineRule="auto"/>
              <w:ind w:right="476"/>
              <w:rPr>
                <w:b w:val="0"/>
                <w:sz w:val="21"/>
                <w:szCs w:val="21"/>
                <w:lang w:val="en-US" w:eastAsia="zh-CN"/>
              </w:rPr>
            </w:pPr>
            <w:r>
              <w:rPr>
                <w:rFonts w:hint="eastAsia"/>
                <w:b w:val="0"/>
                <w:sz w:val="21"/>
                <w:szCs w:val="21"/>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8" w:type="dxa"/>
            <w:vAlign w:val="center"/>
          </w:tcPr>
          <w:p>
            <w:pPr>
              <w:pStyle w:val="8"/>
              <w:spacing w:line="360" w:lineRule="auto"/>
              <w:ind w:right="476"/>
              <w:rPr>
                <w:b w:val="0"/>
                <w:sz w:val="21"/>
                <w:szCs w:val="21"/>
                <w:lang w:val="en-US" w:eastAsia="zh-CN"/>
              </w:rPr>
            </w:pPr>
            <w:r>
              <w:rPr>
                <w:rFonts w:hint="eastAsia"/>
                <w:b w:val="0"/>
                <w:sz w:val="21"/>
                <w:szCs w:val="21"/>
                <w:lang w:val="en-US" w:eastAsia="zh-CN"/>
              </w:rPr>
              <w:t>小容量注射剂（安瓿）分装车间</w:t>
            </w:r>
          </w:p>
        </w:tc>
        <w:tc>
          <w:tcPr>
            <w:tcW w:w="2126" w:type="dxa"/>
          </w:tcPr>
          <w:p>
            <w:pPr>
              <w:pStyle w:val="8"/>
              <w:spacing w:line="360" w:lineRule="auto"/>
              <w:ind w:right="476"/>
              <w:rPr>
                <w:b w:val="0"/>
                <w:sz w:val="21"/>
                <w:szCs w:val="21"/>
                <w:lang w:val="en-US" w:eastAsia="zh-CN"/>
              </w:rPr>
            </w:pPr>
            <w:r>
              <w:rPr>
                <w:rFonts w:hint="eastAsia"/>
                <w:b w:val="0"/>
                <w:sz w:val="21"/>
                <w:szCs w:val="21"/>
                <w:lang w:val="en-US" w:eastAsia="zh-CN"/>
              </w:rPr>
              <w:t>1</w:t>
            </w:r>
          </w:p>
        </w:tc>
        <w:tc>
          <w:tcPr>
            <w:tcW w:w="2127" w:type="dxa"/>
            <w:vAlign w:val="center"/>
          </w:tcPr>
          <w:p>
            <w:pPr>
              <w:pStyle w:val="8"/>
              <w:spacing w:line="360" w:lineRule="auto"/>
              <w:ind w:right="476"/>
              <w:rPr>
                <w:b w:val="0"/>
                <w:sz w:val="21"/>
                <w:szCs w:val="21"/>
                <w:lang w:val="en-US" w:eastAsia="zh-CN"/>
              </w:rPr>
            </w:pPr>
            <w:r>
              <w:rPr>
                <w:rFonts w:hint="eastAsia"/>
                <w:b w:val="0"/>
                <w:sz w:val="21"/>
                <w:szCs w:val="21"/>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8" w:type="dxa"/>
            <w:vAlign w:val="center"/>
          </w:tcPr>
          <w:p>
            <w:pPr>
              <w:pStyle w:val="8"/>
              <w:spacing w:line="360" w:lineRule="auto"/>
              <w:ind w:right="476"/>
              <w:rPr>
                <w:b w:val="0"/>
                <w:sz w:val="21"/>
                <w:szCs w:val="21"/>
                <w:lang w:val="en-US" w:eastAsia="zh-CN"/>
              </w:rPr>
            </w:pPr>
            <w:r>
              <w:rPr>
                <w:rFonts w:hint="eastAsia"/>
                <w:b w:val="0"/>
                <w:sz w:val="21"/>
                <w:szCs w:val="21"/>
                <w:lang w:val="en-US" w:eastAsia="zh-CN"/>
              </w:rPr>
              <w:t>钩端螺旋体疫苗原液车间</w:t>
            </w:r>
          </w:p>
        </w:tc>
        <w:tc>
          <w:tcPr>
            <w:tcW w:w="2126" w:type="dxa"/>
          </w:tcPr>
          <w:p>
            <w:pPr>
              <w:pStyle w:val="8"/>
              <w:spacing w:line="360" w:lineRule="auto"/>
              <w:ind w:right="476"/>
              <w:rPr>
                <w:b w:val="0"/>
                <w:sz w:val="21"/>
                <w:szCs w:val="21"/>
                <w:lang w:val="en-US" w:eastAsia="zh-CN"/>
              </w:rPr>
            </w:pPr>
            <w:r>
              <w:rPr>
                <w:rFonts w:hint="eastAsia"/>
                <w:b w:val="0"/>
                <w:sz w:val="21"/>
                <w:szCs w:val="21"/>
                <w:lang w:val="en-US" w:eastAsia="zh-CN"/>
              </w:rPr>
              <w:t>2</w:t>
            </w:r>
          </w:p>
        </w:tc>
        <w:tc>
          <w:tcPr>
            <w:tcW w:w="2127" w:type="dxa"/>
            <w:vAlign w:val="center"/>
          </w:tcPr>
          <w:p>
            <w:pPr>
              <w:pStyle w:val="8"/>
              <w:spacing w:line="360" w:lineRule="auto"/>
              <w:ind w:right="476"/>
              <w:rPr>
                <w:b w:val="0"/>
                <w:sz w:val="21"/>
                <w:szCs w:val="21"/>
                <w:lang w:val="en-US" w:eastAsia="zh-CN"/>
              </w:rPr>
            </w:pPr>
            <w:r>
              <w:rPr>
                <w:rFonts w:hint="eastAsia"/>
                <w:b w:val="0"/>
                <w:sz w:val="21"/>
                <w:szCs w:val="21"/>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8" w:type="dxa"/>
            <w:vAlign w:val="center"/>
          </w:tcPr>
          <w:p>
            <w:pPr>
              <w:pStyle w:val="8"/>
              <w:spacing w:line="360" w:lineRule="auto"/>
              <w:ind w:right="476"/>
              <w:rPr>
                <w:b w:val="0"/>
                <w:sz w:val="21"/>
                <w:szCs w:val="21"/>
                <w:lang w:val="en-US" w:eastAsia="zh-CN"/>
              </w:rPr>
            </w:pPr>
            <w:r>
              <w:rPr>
                <w:rFonts w:hint="eastAsia"/>
                <w:b w:val="0"/>
                <w:sz w:val="21"/>
                <w:szCs w:val="21"/>
                <w:lang w:val="en-US" w:eastAsia="zh-CN"/>
              </w:rPr>
              <w:t>多糖类疫苗车间</w:t>
            </w:r>
          </w:p>
        </w:tc>
        <w:tc>
          <w:tcPr>
            <w:tcW w:w="2126" w:type="dxa"/>
          </w:tcPr>
          <w:p>
            <w:pPr>
              <w:pStyle w:val="8"/>
              <w:spacing w:line="360" w:lineRule="auto"/>
              <w:ind w:right="476"/>
              <w:rPr>
                <w:b w:val="0"/>
                <w:sz w:val="21"/>
                <w:szCs w:val="21"/>
                <w:lang w:val="en-US" w:eastAsia="zh-CN"/>
              </w:rPr>
            </w:pPr>
            <w:r>
              <w:rPr>
                <w:rFonts w:hint="eastAsia"/>
                <w:b w:val="0"/>
                <w:sz w:val="21"/>
                <w:szCs w:val="21"/>
                <w:lang w:val="en-US" w:eastAsia="zh-CN"/>
              </w:rPr>
              <w:t>2</w:t>
            </w:r>
          </w:p>
        </w:tc>
        <w:tc>
          <w:tcPr>
            <w:tcW w:w="2127" w:type="dxa"/>
            <w:vAlign w:val="center"/>
          </w:tcPr>
          <w:p>
            <w:pPr>
              <w:pStyle w:val="8"/>
              <w:spacing w:line="360" w:lineRule="auto"/>
              <w:ind w:right="476"/>
              <w:rPr>
                <w:b w:val="0"/>
                <w:sz w:val="21"/>
                <w:szCs w:val="21"/>
                <w:lang w:val="en-US" w:eastAsia="zh-CN"/>
              </w:rPr>
            </w:pPr>
            <w:r>
              <w:rPr>
                <w:rFonts w:hint="eastAsia"/>
                <w:b w:val="0"/>
                <w:sz w:val="21"/>
                <w:szCs w:val="21"/>
                <w:lang w:val="en-US" w:eastAsia="zh-CN"/>
              </w:rPr>
              <w:t>台</w:t>
            </w:r>
          </w:p>
        </w:tc>
      </w:tr>
      <w:permEnd w:id="7"/>
    </w:tbl>
    <w:p>
      <w:pPr>
        <w:pStyle w:val="41"/>
        <w:spacing w:before="0" w:line="360" w:lineRule="auto"/>
        <w:ind w:left="357"/>
        <w:jc w:val="left"/>
        <w:rPr>
          <w:i/>
          <w:color w:val="4472C4"/>
          <w:szCs w:val="21"/>
          <w:lang w:eastAsia="zh-CN"/>
        </w:rPr>
      </w:pPr>
    </w:p>
    <w:p>
      <w:pPr>
        <w:pStyle w:val="31"/>
        <w:numPr>
          <w:ilvl w:val="0"/>
          <w:numId w:val="3"/>
        </w:numPr>
        <w:spacing w:after="158" w:afterLines="50"/>
        <w:ind w:left="426" w:hanging="426" w:hangingChars="202"/>
        <w:outlineLvl w:val="0"/>
        <w:rPr>
          <w:rFonts w:ascii="Times New Roman" w:hAnsi="Times New Roman"/>
          <w:szCs w:val="21"/>
        </w:rPr>
      </w:pPr>
      <w:bookmarkStart w:id="22" w:name="_Toc522716120"/>
      <w:r>
        <w:rPr>
          <w:rFonts w:ascii="Times New Roman" w:hAnsi="Times New Roman"/>
          <w:b/>
          <w:szCs w:val="21"/>
        </w:rPr>
        <w:t>安装要求</w:t>
      </w:r>
      <w:bookmarkEnd w:id="22"/>
      <w:bookmarkStart w:id="47" w:name="_GoBack"/>
      <w:bookmarkEnd w:id="47"/>
      <w:permStart w:id="8" w:edGrp="everyone"/>
      <w:permEnd w:id="8"/>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bookmarkStart w:id="23" w:name="OLE_LINK1"/>
            <w:bookmarkStart w:id="24" w:name="OLE_LINK2"/>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7"/>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安装位置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ermStart w:id="9" w:edGrp="everyone"/>
          </w:p>
        </w:tc>
        <w:tc>
          <w:tcPr>
            <w:tcW w:w="7128" w:type="dxa"/>
            <w:shd w:val="clear" w:color="auto" w:fill="auto"/>
            <w:vAlign w:val="center"/>
          </w:tcPr>
          <w:p>
            <w:pPr>
              <w:spacing w:line="276" w:lineRule="auto"/>
              <w:jc w:val="both"/>
              <w:rPr>
                <w:i/>
                <w:color w:val="0070C0"/>
                <w:szCs w:val="21"/>
                <w:lang w:eastAsia="zh-CN"/>
              </w:rPr>
            </w:pPr>
            <w:r>
              <w:rPr>
                <w:rFonts w:hint="eastAsia"/>
                <w:szCs w:val="21"/>
                <w:lang w:eastAsia="zh-CN"/>
              </w:rPr>
              <w:t>百日咳疫苗原液车间、</w:t>
            </w:r>
            <w:r>
              <w:rPr>
                <w:rFonts w:hint="eastAsia"/>
                <w:lang w:eastAsia="zh-CN"/>
              </w:rPr>
              <w:t>毒素组白喉/</w:t>
            </w:r>
            <w:r>
              <w:rPr>
                <w:lang w:eastAsia="zh-CN"/>
              </w:rPr>
              <w:t>破伤风原液车间</w:t>
            </w:r>
            <w:r>
              <w:rPr>
                <w:rFonts w:hint="eastAsia"/>
                <w:lang w:eastAsia="zh-CN"/>
              </w:rPr>
              <w:t>、小容量注射剂（安瓿）分装车间、</w:t>
            </w:r>
            <w:r>
              <w:rPr>
                <w:rFonts w:hint="eastAsia"/>
                <w:szCs w:val="21"/>
                <w:lang w:eastAsia="zh-CN"/>
              </w:rPr>
              <w:t>钩端螺旋体疫苗原液车间、多糖类疫苗车间。</w:t>
            </w:r>
          </w:p>
        </w:tc>
        <w:tc>
          <w:tcPr>
            <w:tcW w:w="2125" w:type="dxa"/>
            <w:shd w:val="clear" w:color="auto" w:fill="auto"/>
            <w:vAlign w:val="center"/>
          </w:tcPr>
          <w:p>
            <w:pPr>
              <w:jc w:val="center"/>
              <w:rPr>
                <w:i/>
                <w:szCs w:val="21"/>
                <w:lang w:eastAsia="zh-CN"/>
              </w:rPr>
            </w:pPr>
            <w:r>
              <w:rPr>
                <w:rFonts w:hint="eastAsia"/>
                <w:szCs w:val="21"/>
                <w:lang w:val="en-US" w:eastAsia="zh-CN"/>
              </w:rPr>
              <w:t>关键</w:t>
            </w:r>
          </w:p>
        </w:tc>
      </w:tr>
      <w:permEnd w:id="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7"/>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安装尺寸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ermStart w:id="10" w:edGrp="everyone"/>
          </w:p>
        </w:tc>
        <w:tc>
          <w:tcPr>
            <w:tcW w:w="7128" w:type="dxa"/>
            <w:shd w:val="clear" w:color="auto" w:fill="auto"/>
            <w:vAlign w:val="center"/>
          </w:tcPr>
          <w:p>
            <w:pPr>
              <w:spacing w:line="276" w:lineRule="auto"/>
              <w:jc w:val="both"/>
              <w:rPr>
                <w:i/>
                <w:szCs w:val="21"/>
                <w:lang w:val="en-US" w:eastAsia="zh-CN"/>
              </w:rPr>
            </w:pPr>
            <w:r>
              <w:rPr>
                <w:rFonts w:hint="eastAsia"/>
                <w:szCs w:val="21"/>
                <w:lang w:val="en-US" w:eastAsia="zh-CN"/>
              </w:rPr>
              <w:t>浮游菌采样器适用于90-100mm平皿，设备尺寸外形必须方便携带，便于手动操作。</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permEnd w:id="1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ermStart w:id="11" w:edGrp="everyone"/>
          </w:p>
        </w:tc>
        <w:tc>
          <w:tcPr>
            <w:tcW w:w="7128" w:type="dxa"/>
            <w:shd w:val="clear" w:color="auto" w:fill="auto"/>
            <w:vAlign w:val="center"/>
          </w:tcPr>
          <w:p>
            <w:pPr>
              <w:spacing w:line="276" w:lineRule="auto"/>
              <w:jc w:val="both"/>
              <w:rPr>
                <w:color w:val="0070C0"/>
                <w:szCs w:val="21"/>
                <w:lang w:val="en-US" w:eastAsia="zh-CN"/>
              </w:rPr>
            </w:pPr>
            <w:r>
              <w:rPr>
                <w:rFonts w:hint="eastAsia"/>
                <w:szCs w:val="21"/>
                <w:lang w:val="en-US" w:eastAsia="zh-CN"/>
              </w:rPr>
              <w:t>设备的形式尺寸应符合制造商说明书及技术文件规定的要求。</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color w:val="0070C0"/>
                <w:szCs w:val="21"/>
                <w:lang w:eastAsia="zh-CN"/>
              </w:rPr>
            </w:pPr>
            <w:r>
              <w:rPr>
                <w:rFonts w:hint="eastAsia"/>
                <w:szCs w:val="21"/>
                <w:lang w:val="en-US" w:eastAsia="zh-CN"/>
              </w:rPr>
              <w:t>供应商必须给出设备选型方案及相应附件选型方案，并交给我公司使用部门及工程类部门审核。</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permEnd w:id="1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7"/>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承重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7D7D7" w:themeFill="background1" w:themeFillShade="D8"/>
            <w:vAlign w:val="center"/>
          </w:tcPr>
          <w:p>
            <w:pPr>
              <w:ind w:left="426"/>
              <w:rPr>
                <w:szCs w:val="21"/>
                <w:shd w:val="clear" w:color="FFFFFF" w:fill="D9D9D9"/>
              </w:rPr>
            </w:pPr>
            <w:permStart w:id="12" w:edGrp="everyone"/>
          </w:p>
        </w:tc>
        <w:tc>
          <w:tcPr>
            <w:tcW w:w="9253" w:type="dxa"/>
            <w:gridSpan w:val="2"/>
            <w:shd w:val="clear" w:color="auto" w:fill="auto"/>
            <w:vAlign w:val="center"/>
          </w:tcPr>
          <w:p>
            <w:pPr>
              <w:spacing w:line="276" w:lineRule="auto"/>
              <w:jc w:val="both"/>
              <w:rPr>
                <w:i/>
                <w:color w:val="0070C0"/>
                <w:szCs w:val="21"/>
                <w:lang w:eastAsia="zh-CN"/>
              </w:rPr>
            </w:pPr>
            <w:r>
              <w:rPr>
                <w:rFonts w:hint="eastAsia"/>
                <w:sz w:val="24"/>
                <w:szCs w:val="24"/>
                <w:lang w:eastAsia="zh-CN"/>
              </w:rPr>
              <w:t>N</w:t>
            </w:r>
            <w:r>
              <w:rPr>
                <w:sz w:val="24"/>
                <w:szCs w:val="24"/>
                <w:lang w:eastAsia="zh-CN"/>
              </w:rPr>
              <w:t>/A</w:t>
            </w:r>
          </w:p>
        </w:tc>
      </w:tr>
      <w:permEnd w:id="1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7"/>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可用的公用系统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7D7D7" w:themeFill="background1" w:themeFillShade="D8"/>
            <w:vAlign w:val="center"/>
          </w:tcPr>
          <w:p>
            <w:pPr>
              <w:rPr>
                <w:szCs w:val="21"/>
                <w:lang w:val="en-US" w:eastAsia="zh-CN"/>
              </w:rPr>
            </w:pPr>
            <w:permStart w:id="13" w:edGrp="everyone"/>
          </w:p>
        </w:tc>
        <w:tc>
          <w:tcPr>
            <w:tcW w:w="9253" w:type="dxa"/>
            <w:gridSpan w:val="2"/>
            <w:shd w:val="clear" w:color="auto" w:fill="auto"/>
            <w:vAlign w:val="center"/>
          </w:tcPr>
          <w:p>
            <w:pPr>
              <w:spacing w:line="276" w:lineRule="auto"/>
              <w:jc w:val="both"/>
              <w:rPr>
                <w:i/>
                <w:szCs w:val="21"/>
                <w:lang w:eastAsia="zh-CN"/>
              </w:rPr>
            </w:pPr>
            <w:r>
              <w:rPr>
                <w:rFonts w:hint="eastAsia"/>
                <w:sz w:val="24"/>
                <w:szCs w:val="24"/>
                <w:lang w:eastAsia="zh-CN"/>
              </w:rPr>
              <w:t>N</w:t>
            </w:r>
            <w:r>
              <w:rPr>
                <w:sz w:val="24"/>
                <w:szCs w:val="24"/>
                <w:lang w:eastAsia="zh-CN"/>
              </w:rPr>
              <w:t>/A</w:t>
            </w:r>
          </w:p>
        </w:tc>
      </w:tr>
      <w:permEnd w:id="1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7"/>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洁净级别和房间环境条件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ermStart w:id="14" w:edGrp="everyone"/>
          </w:p>
        </w:tc>
        <w:tc>
          <w:tcPr>
            <w:tcW w:w="7128" w:type="dxa"/>
            <w:shd w:val="clear" w:color="auto" w:fill="auto"/>
            <w:vAlign w:val="center"/>
          </w:tcPr>
          <w:p>
            <w:pPr>
              <w:spacing w:line="276" w:lineRule="auto"/>
              <w:jc w:val="both"/>
              <w:rPr>
                <w:szCs w:val="21"/>
                <w:lang w:eastAsia="zh-CN"/>
              </w:rPr>
            </w:pPr>
            <w:r>
              <w:rPr>
                <w:szCs w:val="21"/>
                <w:lang w:eastAsia="zh-CN"/>
              </w:rPr>
              <w:t>工作环境</w:t>
            </w:r>
            <w:r>
              <w:rPr>
                <w:color w:val="000000"/>
                <w:lang w:eastAsia="zh-CN"/>
              </w:rPr>
              <w:t>温度：能适应</w:t>
            </w:r>
            <w:r>
              <w:rPr>
                <w:rFonts w:hint="eastAsia"/>
                <w:color w:val="000000"/>
                <w:lang w:val="en-US" w:eastAsia="zh-CN"/>
              </w:rPr>
              <w:t>2</w:t>
            </w:r>
            <w:r>
              <w:rPr>
                <w:rFonts w:hint="eastAsia" w:ascii="宋体" w:hAnsi="宋体" w:cs="宋体"/>
                <w:color w:val="000000"/>
                <w:lang w:eastAsia="zh-CN"/>
              </w:rPr>
              <w:t>℃</w:t>
            </w:r>
            <w:r>
              <w:rPr>
                <w:color w:val="000000"/>
                <w:lang w:eastAsia="zh-CN"/>
              </w:rPr>
              <w:t>～</w:t>
            </w:r>
            <w:r>
              <w:rPr>
                <w:rFonts w:hint="eastAsia"/>
                <w:szCs w:val="21"/>
                <w:lang w:val="en-US" w:eastAsia="zh-CN"/>
              </w:rPr>
              <w:t>26</w:t>
            </w:r>
            <w:r>
              <w:rPr>
                <w:rFonts w:hint="eastAsia" w:ascii="宋体" w:hAnsi="宋体" w:cs="宋体"/>
                <w:color w:val="000000"/>
                <w:lang w:eastAsia="zh-CN"/>
              </w:rPr>
              <w:t>℃</w:t>
            </w:r>
            <w:r>
              <w:rPr>
                <w:color w:val="000000"/>
                <w:lang w:eastAsia="zh-CN"/>
              </w:rPr>
              <w:t xml:space="preserve">环境 </w:t>
            </w:r>
            <w:r>
              <w:rPr>
                <w:rFonts w:hint="eastAsia"/>
                <w:color w:val="000000"/>
                <w:lang w:eastAsia="zh-CN"/>
              </w:rPr>
              <w:t>。</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permEnd w:id="1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ermStart w:id="15" w:edGrp="everyone"/>
          </w:p>
        </w:tc>
        <w:tc>
          <w:tcPr>
            <w:tcW w:w="7128" w:type="dxa"/>
            <w:shd w:val="clear" w:color="auto" w:fill="auto"/>
            <w:vAlign w:val="center"/>
          </w:tcPr>
          <w:p>
            <w:pPr>
              <w:spacing w:line="276" w:lineRule="auto"/>
              <w:jc w:val="both"/>
              <w:rPr>
                <w:szCs w:val="21"/>
                <w:lang w:eastAsia="zh-CN"/>
              </w:rPr>
            </w:pPr>
            <w:r>
              <w:rPr>
                <w:color w:val="000000"/>
                <w:lang w:eastAsia="zh-CN"/>
              </w:rPr>
              <w:t>工作环境湿度：至少包括</w:t>
            </w:r>
            <w:r>
              <w:rPr>
                <w:szCs w:val="21"/>
                <w:lang w:eastAsia="zh-CN"/>
              </w:rPr>
              <w:t>45</w:t>
            </w:r>
            <w:r>
              <w:rPr>
                <w:color w:val="000000"/>
                <w:lang w:eastAsia="zh-CN"/>
              </w:rPr>
              <w:t>%～</w:t>
            </w:r>
            <w:r>
              <w:rPr>
                <w:szCs w:val="21"/>
                <w:lang w:eastAsia="zh-CN"/>
              </w:rPr>
              <w:t>65</w:t>
            </w:r>
            <w:r>
              <w:rPr>
                <w:color w:val="000000"/>
                <w:lang w:eastAsia="zh-CN"/>
              </w:rPr>
              <w:t>%</w:t>
            </w:r>
            <w:r>
              <w:rPr>
                <w:rFonts w:hint="eastAsia"/>
                <w:color w:val="000000"/>
                <w:lang w:eastAsia="zh-CN"/>
              </w:rPr>
              <w:t>。</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permEnd w:id="1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ermStart w:id="16" w:edGrp="everyone"/>
          </w:p>
        </w:tc>
        <w:tc>
          <w:tcPr>
            <w:tcW w:w="7128" w:type="dxa"/>
            <w:shd w:val="clear" w:color="auto" w:fill="auto"/>
            <w:vAlign w:val="center"/>
          </w:tcPr>
          <w:p>
            <w:pPr>
              <w:spacing w:line="276" w:lineRule="auto"/>
              <w:jc w:val="both"/>
              <w:rPr>
                <w:szCs w:val="21"/>
                <w:lang w:eastAsia="zh-CN"/>
              </w:rPr>
            </w:pPr>
            <w:r>
              <w:rPr>
                <w:color w:val="000000"/>
                <w:lang w:eastAsia="zh-CN"/>
              </w:rPr>
              <w:t>工作环境洁净级别：</w:t>
            </w:r>
            <w:r>
              <w:rPr>
                <w:rFonts w:hint="eastAsia"/>
                <w:szCs w:val="21"/>
                <w:lang w:eastAsia="zh-CN"/>
              </w:rPr>
              <w:t>A级/C级/D级，</w:t>
            </w:r>
            <w:r>
              <w:rPr>
                <w:rFonts w:hint="eastAsia"/>
                <w:szCs w:val="21"/>
                <w:lang w:val="en-US" w:eastAsia="zh-CN"/>
              </w:rPr>
              <w:t>控制区</w:t>
            </w:r>
            <w:r>
              <w:rPr>
                <w:rFonts w:hint="eastAsia"/>
                <w:szCs w:val="21"/>
                <w:lang w:eastAsia="zh-CN"/>
              </w:rPr>
              <w:t>。</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permEnd w:id="1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7"/>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lang w:eastAsia="zh-CN"/>
              </w:rPr>
              <w:t>可用的能源配置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ermStart w:id="17" w:edGrp="everyone"/>
          </w:p>
        </w:tc>
        <w:tc>
          <w:tcPr>
            <w:tcW w:w="7128" w:type="dxa"/>
            <w:shd w:val="clear" w:color="auto" w:fill="auto"/>
            <w:vAlign w:val="center"/>
          </w:tcPr>
          <w:p>
            <w:pPr>
              <w:spacing w:line="276" w:lineRule="auto"/>
              <w:jc w:val="both"/>
              <w:rPr>
                <w:color w:val="FF0000"/>
                <w:szCs w:val="21"/>
                <w:lang w:eastAsia="zh-CN"/>
              </w:rPr>
            </w:pPr>
            <w:r>
              <w:rPr>
                <w:color w:val="000000"/>
                <w:lang w:eastAsia="zh-CN"/>
              </w:rPr>
              <w:t>交流电电源：</w:t>
            </w:r>
            <w:r>
              <w:rPr>
                <w:szCs w:val="21"/>
                <w:lang w:eastAsia="zh-CN"/>
              </w:rPr>
              <w:t>220±10%V，</w:t>
            </w:r>
            <w:r>
              <w:rPr>
                <w:rFonts w:hint="eastAsia"/>
                <w:szCs w:val="21"/>
                <w:lang w:val="en-US" w:eastAsia="zh-CN"/>
              </w:rPr>
              <w:t>50</w:t>
            </w:r>
            <w:r>
              <w:rPr>
                <w:szCs w:val="21"/>
                <w:lang w:eastAsia="zh-CN"/>
              </w:rPr>
              <w:t>±1</w:t>
            </w:r>
            <w:r>
              <w:rPr>
                <w:rFonts w:hint="eastAsia"/>
                <w:szCs w:val="21"/>
                <w:lang w:val="en-US" w:eastAsia="zh-CN"/>
              </w:rPr>
              <w:t>HZ，可充电。</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color w:val="000000"/>
                <w:lang w:eastAsia="zh-CN"/>
              </w:rPr>
            </w:pPr>
            <w:r>
              <w:rPr>
                <w:rFonts w:hint="eastAsia"/>
                <w:lang w:eastAsia="zh-CN"/>
              </w:rPr>
              <w:t>所配电池需厂家原产原装，</w:t>
            </w:r>
            <w:r>
              <w:rPr>
                <w:rFonts w:hint="eastAsia"/>
                <w:szCs w:val="21"/>
                <w:lang w:eastAsia="zh-CN"/>
              </w:rPr>
              <w:t>自带大容量充电电池，需配一个备用充电电池，在充满电的情况下至少能使用</w:t>
            </w:r>
            <w:r>
              <w:rPr>
                <w:rFonts w:hint="eastAsia"/>
                <w:szCs w:val="21"/>
                <w:lang w:val="en-US" w:eastAsia="zh-CN"/>
              </w:rPr>
              <w:t>6-8小时</w:t>
            </w:r>
            <w:r>
              <w:rPr>
                <w:lang w:eastAsia="zh-CN"/>
              </w:rPr>
              <w:t>，可实时显示电池电量状况</w:t>
            </w:r>
            <w:r>
              <w:rPr>
                <w:rFonts w:hint="eastAsia"/>
                <w:szCs w:val="21"/>
                <w:lang w:eastAsia="zh-CN"/>
              </w:rPr>
              <w:t>。</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permEnd w:id="1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7"/>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lang w:eastAsia="zh-CN"/>
              </w:rPr>
              <w:t>外观材质要求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ermStart w:id="18" w:edGrp="everyone"/>
          </w:p>
        </w:tc>
        <w:tc>
          <w:tcPr>
            <w:tcW w:w="7128" w:type="dxa"/>
            <w:shd w:val="clear" w:color="auto" w:fill="auto"/>
            <w:vAlign w:val="center"/>
          </w:tcPr>
          <w:p>
            <w:pPr>
              <w:pStyle w:val="47"/>
              <w:spacing w:line="360" w:lineRule="auto"/>
              <w:jc w:val="both"/>
              <w:rPr>
                <w:lang w:eastAsia="zh-CN"/>
              </w:rPr>
            </w:pPr>
            <w:r>
              <w:rPr>
                <w:rFonts w:hint="eastAsia"/>
                <w:sz w:val="21"/>
                <w:szCs w:val="21"/>
                <w:lang w:eastAsia="zh-CN"/>
              </w:rPr>
              <w:t>浮游菌采样器器材质应符合药品生产行业要求。</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28" w:type="dxa"/>
            <w:shd w:val="clear" w:color="auto" w:fill="auto"/>
            <w:vAlign w:val="center"/>
          </w:tcPr>
          <w:p>
            <w:pPr>
              <w:pStyle w:val="47"/>
              <w:spacing w:line="360" w:lineRule="auto"/>
              <w:rPr>
                <w:lang w:eastAsia="zh-CN"/>
              </w:rPr>
            </w:pPr>
            <w:r>
              <w:rPr>
                <w:rFonts w:hint="eastAsia"/>
                <w:sz w:val="21"/>
                <w:szCs w:val="21"/>
                <w:lang w:eastAsia="zh-CN"/>
              </w:rPr>
              <w:t>浮游菌采样器外观应端正、整齐，不得有明显的偏歪、毛刺和锈蚀等缺陷，内部表面不得有凹陷、毛刺和锈蚀等缺陷。</w:t>
            </w:r>
            <w:r>
              <w:rPr>
                <w:rFonts w:hint="eastAsia"/>
                <w:sz w:val="21"/>
                <w:szCs w:val="21"/>
                <w:lang w:val="en-US" w:eastAsia="zh-CN"/>
              </w:rPr>
              <w:t>机身材质如果采样不锈钢材质，则至少为304不锈钢，且能耐受各种标准消毒剂。</w:t>
            </w:r>
            <w:r>
              <w:rPr>
                <w:sz w:val="21"/>
                <w:lang w:eastAsia="zh-CN"/>
              </w:rPr>
              <w:t>设备能耐受7-10 ml/</w:t>
            </w:r>
            <w:r>
              <w:rPr>
                <w:rFonts w:hint="eastAsia"/>
                <w:sz w:val="21"/>
                <w:lang w:eastAsia="zh-CN"/>
              </w:rPr>
              <w:t>m</w:t>
            </w:r>
            <w:r>
              <w:rPr>
                <w:sz w:val="21"/>
                <w:vertAlign w:val="superscript"/>
                <w:lang w:eastAsia="zh-CN"/>
              </w:rPr>
              <w:t>3</w:t>
            </w:r>
            <w:r>
              <w:rPr>
                <w:sz w:val="21"/>
                <w:lang w:eastAsia="zh-CN"/>
              </w:rPr>
              <w:t>过氧化氢熏蒸消毒</w:t>
            </w:r>
            <w:r>
              <w:rPr>
                <w:rFonts w:hint="eastAsia"/>
                <w:sz w:val="21"/>
                <w:lang w:eastAsia="zh-CN"/>
              </w:rPr>
              <w:t>。</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28" w:type="dxa"/>
            <w:shd w:val="clear" w:color="auto" w:fill="auto"/>
            <w:vAlign w:val="center"/>
          </w:tcPr>
          <w:p>
            <w:pPr>
              <w:pStyle w:val="47"/>
              <w:spacing w:line="360" w:lineRule="auto"/>
              <w:rPr>
                <w:sz w:val="21"/>
                <w:szCs w:val="21"/>
                <w:lang w:eastAsia="zh-CN"/>
              </w:rPr>
            </w:pPr>
            <w:r>
              <w:rPr>
                <w:rFonts w:hint="eastAsia"/>
                <w:sz w:val="21"/>
                <w:szCs w:val="21"/>
                <w:lang w:eastAsia="zh-CN"/>
              </w:rPr>
              <w:t>采样头为316L不锈钢材质，并适用于常见制药行业消毒方式，易清洁耐腐蚀。浮游菌采样器表面应光滑，平整，易于清洁消毒。</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28" w:type="dxa"/>
            <w:shd w:val="clear" w:color="auto" w:fill="auto"/>
            <w:vAlign w:val="center"/>
          </w:tcPr>
          <w:p>
            <w:pPr>
              <w:pStyle w:val="47"/>
              <w:spacing w:line="360" w:lineRule="auto"/>
              <w:rPr>
                <w:sz w:val="21"/>
                <w:szCs w:val="21"/>
                <w:lang w:eastAsia="zh-CN"/>
              </w:rPr>
            </w:pPr>
            <w:r>
              <w:rPr>
                <w:rFonts w:hint="eastAsia"/>
                <w:sz w:val="21"/>
                <w:szCs w:val="21"/>
                <w:lang w:eastAsia="zh-CN"/>
              </w:rPr>
              <w:t>采样头可选配多孔吸入式或狭缝式。</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28" w:type="dxa"/>
            <w:shd w:val="clear" w:color="auto" w:fill="auto"/>
            <w:vAlign w:val="center"/>
          </w:tcPr>
          <w:p>
            <w:pPr>
              <w:pStyle w:val="47"/>
              <w:spacing w:line="360" w:lineRule="auto"/>
              <w:rPr>
                <w:sz w:val="21"/>
                <w:szCs w:val="21"/>
                <w:lang w:eastAsia="zh-CN"/>
              </w:rPr>
            </w:pPr>
            <w:r>
              <w:rPr>
                <w:rFonts w:hint="eastAsia"/>
                <w:sz w:val="21"/>
                <w:szCs w:val="21"/>
                <w:lang w:eastAsia="zh-CN"/>
              </w:rPr>
              <w:t>显示屏需为大屏幕，高亮度LCD显示中文菜单，便于操作。</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28" w:type="dxa"/>
            <w:shd w:val="clear" w:color="auto" w:fill="auto"/>
            <w:vAlign w:val="center"/>
          </w:tcPr>
          <w:p>
            <w:pPr>
              <w:spacing w:line="276" w:lineRule="auto"/>
              <w:rPr>
                <w:lang w:eastAsia="zh-CN"/>
              </w:rPr>
            </w:pPr>
            <w:r>
              <w:rPr>
                <w:rFonts w:hint="eastAsia"/>
                <w:szCs w:val="21"/>
                <w:lang w:eastAsia="zh-CN"/>
              </w:rPr>
              <w:t>标记：至少应有以下永久贴牢和清楚易认的标记：</w:t>
            </w:r>
          </w:p>
          <w:p>
            <w:pPr>
              <w:spacing w:line="276" w:lineRule="auto"/>
              <w:rPr>
                <w:lang w:eastAsia="zh-CN"/>
              </w:rPr>
            </w:pPr>
            <w:r>
              <w:rPr>
                <w:rFonts w:hint="eastAsia"/>
                <w:szCs w:val="21"/>
                <w:lang w:eastAsia="zh-CN"/>
              </w:rPr>
              <w:t>（1）制造/供应单位；</w:t>
            </w:r>
          </w:p>
          <w:p>
            <w:pPr>
              <w:spacing w:line="276" w:lineRule="auto"/>
              <w:rPr>
                <w:lang w:eastAsia="zh-CN"/>
              </w:rPr>
            </w:pPr>
            <w:r>
              <w:rPr>
                <w:rFonts w:hint="eastAsia"/>
                <w:szCs w:val="21"/>
                <w:lang w:eastAsia="zh-CN"/>
              </w:rPr>
              <w:t>（2）产品注册号；</w:t>
            </w:r>
          </w:p>
          <w:p>
            <w:pPr>
              <w:spacing w:line="276" w:lineRule="auto"/>
              <w:rPr>
                <w:lang w:eastAsia="zh-CN"/>
              </w:rPr>
            </w:pPr>
            <w:r>
              <w:rPr>
                <w:rFonts w:hint="eastAsia"/>
                <w:szCs w:val="21"/>
                <w:lang w:eastAsia="zh-CN"/>
              </w:rPr>
              <w:t>（3）型号标记；</w:t>
            </w:r>
          </w:p>
          <w:p>
            <w:pPr>
              <w:spacing w:line="276" w:lineRule="auto"/>
              <w:rPr>
                <w:lang w:eastAsia="zh-CN"/>
              </w:rPr>
            </w:pPr>
            <w:r>
              <w:rPr>
                <w:rFonts w:hint="eastAsia"/>
                <w:szCs w:val="21"/>
                <w:lang w:eastAsia="zh-CN"/>
              </w:rPr>
              <w:t>（4）生产日期或编号；</w:t>
            </w:r>
          </w:p>
          <w:p>
            <w:pPr>
              <w:spacing w:line="276" w:lineRule="auto"/>
              <w:rPr>
                <w:lang w:eastAsia="zh-CN"/>
              </w:rPr>
            </w:pPr>
            <w:r>
              <w:rPr>
                <w:rFonts w:hint="eastAsia"/>
                <w:szCs w:val="21"/>
                <w:lang w:eastAsia="zh-CN"/>
              </w:rPr>
              <w:t>（5）必要的功能标识及说明；</w:t>
            </w:r>
          </w:p>
          <w:p>
            <w:pPr>
              <w:spacing w:line="276" w:lineRule="auto"/>
              <w:rPr>
                <w:szCs w:val="21"/>
                <w:lang w:eastAsia="zh-CN"/>
              </w:rPr>
            </w:pPr>
            <w:r>
              <w:rPr>
                <w:rFonts w:hint="eastAsia"/>
                <w:szCs w:val="21"/>
                <w:lang w:eastAsia="zh-CN"/>
              </w:rPr>
              <w:t>（6）安全标识。</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bookmarkEnd w:id="23"/>
      <w:bookmarkEnd w:id="24"/>
      <w:permEnd w:id="18"/>
    </w:tbl>
    <w:p>
      <w:pPr>
        <w:pStyle w:val="31"/>
        <w:spacing w:after="158" w:afterLines="50"/>
        <w:ind w:left="425" w:firstLine="0" w:firstLineChars="0"/>
        <w:rPr>
          <w:rFonts w:ascii="Times New Roman" w:hAnsi="Times New Roman"/>
          <w:szCs w:val="21"/>
        </w:rPr>
      </w:pPr>
    </w:p>
    <w:p>
      <w:pPr>
        <w:pStyle w:val="31"/>
        <w:numPr>
          <w:ilvl w:val="0"/>
          <w:numId w:val="3"/>
        </w:numPr>
        <w:spacing w:after="158" w:afterLines="50"/>
        <w:ind w:left="426" w:hanging="426" w:hangingChars="202"/>
        <w:outlineLvl w:val="0"/>
        <w:rPr>
          <w:rFonts w:ascii="Times New Roman" w:hAnsi="Times New Roman"/>
          <w:b/>
        </w:rPr>
      </w:pPr>
      <w:bookmarkStart w:id="25" w:name="_Toc522716121"/>
      <w:bookmarkStart w:id="26" w:name="_Toc522107740"/>
      <w:r>
        <w:rPr>
          <w:rFonts w:ascii="Times New Roman" w:hAnsi="Times New Roman"/>
          <w:b/>
        </w:rPr>
        <w:t>运行要求</w:t>
      </w:r>
      <w:bookmarkEnd w:id="25"/>
      <w:bookmarkEnd w:id="26"/>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permStart w:id="19" w:edGrp="everyone"/>
            <w:permEnd w:id="19"/>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9"/>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lang w:eastAsia="zh-CN"/>
              </w:rPr>
              <w:t>原辅料、包装材料、产品的规格标准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ermStart w:id="20" w:edGrp="everyone"/>
          </w:p>
        </w:tc>
        <w:tc>
          <w:tcPr>
            <w:tcW w:w="7128" w:type="dxa"/>
            <w:shd w:val="clear" w:color="auto" w:fill="auto"/>
            <w:vAlign w:val="center"/>
          </w:tcPr>
          <w:p>
            <w:pPr>
              <w:spacing w:line="276" w:lineRule="auto"/>
              <w:jc w:val="both"/>
              <w:rPr>
                <w:szCs w:val="21"/>
                <w:lang w:val="en-US" w:eastAsia="zh-CN"/>
              </w:rPr>
            </w:pPr>
            <w:r>
              <w:rPr>
                <w:rFonts w:hint="eastAsia"/>
                <w:szCs w:val="21"/>
                <w:lang w:val="en-US" w:eastAsia="zh-CN"/>
              </w:rPr>
              <w:t>包装需满足运输和装卸要求，防潮湿、防磕碰、防振动。</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val="en-US" w:eastAsia="zh-CN"/>
              </w:rPr>
            </w:pPr>
            <w:r>
              <w:rPr>
                <w:rFonts w:hint="eastAsia"/>
                <w:szCs w:val="21"/>
                <w:lang w:val="en-US" w:eastAsia="zh-CN"/>
              </w:rPr>
              <w:t>配备专用便携式铝制手提保护箱，便于清洁。</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permEnd w:id="2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9"/>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设备效率、产能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7D7D7" w:themeFill="background1" w:themeFillShade="D8"/>
            <w:vAlign w:val="center"/>
          </w:tcPr>
          <w:p>
            <w:pPr>
              <w:ind w:left="993"/>
              <w:rPr>
                <w:szCs w:val="21"/>
              </w:rPr>
            </w:pPr>
            <w:permStart w:id="21" w:edGrp="everyone"/>
          </w:p>
        </w:tc>
        <w:tc>
          <w:tcPr>
            <w:tcW w:w="9253" w:type="dxa"/>
            <w:gridSpan w:val="2"/>
            <w:shd w:val="clear" w:color="auto" w:fill="auto"/>
            <w:vAlign w:val="center"/>
          </w:tcPr>
          <w:p>
            <w:pPr>
              <w:spacing w:line="276" w:lineRule="auto"/>
              <w:jc w:val="both"/>
              <w:rPr>
                <w:szCs w:val="21"/>
                <w:lang w:eastAsia="zh-CN"/>
              </w:rPr>
            </w:pPr>
            <w:r>
              <w:rPr>
                <w:rFonts w:hint="eastAsia"/>
                <w:szCs w:val="21"/>
                <w:lang w:eastAsia="zh-CN"/>
              </w:rPr>
              <w:t>N</w:t>
            </w:r>
            <w:r>
              <w:rPr>
                <w:szCs w:val="21"/>
                <w:lang w:eastAsia="zh-CN"/>
              </w:rPr>
              <w:t>/A</w:t>
            </w:r>
          </w:p>
        </w:tc>
      </w:tr>
      <w:permEnd w:id="2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9"/>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工艺参数范围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ermStart w:id="22" w:edGrp="everyone"/>
          </w:p>
        </w:tc>
        <w:tc>
          <w:tcPr>
            <w:tcW w:w="7128" w:type="dxa"/>
            <w:shd w:val="clear" w:color="auto" w:fill="auto"/>
            <w:vAlign w:val="center"/>
          </w:tcPr>
          <w:p>
            <w:pPr>
              <w:spacing w:line="276" w:lineRule="auto"/>
              <w:jc w:val="both"/>
              <w:rPr>
                <w:i/>
                <w:szCs w:val="21"/>
                <w:lang w:eastAsia="zh-CN"/>
              </w:rPr>
            </w:pPr>
            <w:r>
              <w:rPr>
                <w:rFonts w:hint="eastAsia"/>
                <w:szCs w:val="21"/>
                <w:lang w:val="en-US" w:eastAsia="zh-CN"/>
              </w:rPr>
              <w:t>基本运行参数：采样体积参数可自行设置，设置范围在1~9999L，调节步距为10L，要求满足日常监测和验证要求，采样流量不小于100L/min，采样流量稳定，精度优于± 2.5%。</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permEnd w:id="2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ermStart w:id="23" w:edGrp="everyone"/>
          </w:p>
        </w:tc>
        <w:tc>
          <w:tcPr>
            <w:tcW w:w="7128" w:type="dxa"/>
            <w:shd w:val="clear" w:color="auto" w:fill="auto"/>
            <w:vAlign w:val="center"/>
          </w:tcPr>
          <w:p>
            <w:pPr>
              <w:spacing w:line="276" w:lineRule="auto"/>
              <w:rPr>
                <w:lang w:eastAsia="zh-CN"/>
              </w:rPr>
            </w:pPr>
            <w:r>
              <w:rPr>
                <w:rFonts w:hint="eastAsia"/>
                <w:szCs w:val="21"/>
                <w:lang w:val="en-US" w:eastAsia="zh-CN"/>
              </w:rPr>
              <w:t>正常工作条件：</w:t>
            </w:r>
          </w:p>
          <w:p>
            <w:pPr>
              <w:spacing w:line="276" w:lineRule="auto"/>
              <w:rPr>
                <w:lang w:eastAsia="zh-CN"/>
              </w:rPr>
            </w:pPr>
            <w:r>
              <w:rPr>
                <w:rFonts w:hint="eastAsia"/>
                <w:szCs w:val="21"/>
                <w:lang w:val="en-US" w:eastAsia="zh-CN"/>
              </w:rPr>
              <w:t>（1）环境温度：2</w:t>
            </w:r>
            <w:r>
              <w:rPr>
                <w:rFonts w:hint="eastAsia" w:ascii="宋体" w:hAnsi="宋体" w:cs="宋体"/>
                <w:szCs w:val="21"/>
                <w:lang w:val="en-US" w:eastAsia="zh-CN"/>
              </w:rPr>
              <w:t>℃</w:t>
            </w:r>
            <w:r>
              <w:rPr>
                <w:rFonts w:hint="eastAsia"/>
                <w:szCs w:val="21"/>
                <w:lang w:val="en-US" w:eastAsia="zh-CN"/>
              </w:rPr>
              <w:t>～26</w:t>
            </w:r>
            <w:r>
              <w:rPr>
                <w:rFonts w:hint="eastAsia" w:ascii="宋体" w:hAnsi="宋体" w:cs="宋体"/>
                <w:szCs w:val="21"/>
                <w:lang w:val="en-US" w:eastAsia="zh-CN"/>
              </w:rPr>
              <w:t>℃</w:t>
            </w:r>
            <w:r>
              <w:rPr>
                <w:rFonts w:hint="eastAsia"/>
                <w:szCs w:val="21"/>
                <w:lang w:val="en-US" w:eastAsia="zh-CN"/>
              </w:rPr>
              <w:t>；</w:t>
            </w:r>
          </w:p>
          <w:p>
            <w:pPr>
              <w:spacing w:line="276" w:lineRule="auto"/>
              <w:rPr>
                <w:lang w:eastAsia="zh-CN"/>
              </w:rPr>
            </w:pPr>
            <w:r>
              <w:rPr>
                <w:rFonts w:hint="eastAsia"/>
                <w:szCs w:val="21"/>
                <w:lang w:val="en-US" w:eastAsia="zh-CN"/>
              </w:rPr>
              <w:t>（2）相对湿度：至少</w:t>
            </w:r>
            <w:r>
              <w:rPr>
                <w:szCs w:val="21"/>
                <w:lang w:eastAsia="zh-CN"/>
              </w:rPr>
              <w:t>包括45%～65%</w:t>
            </w:r>
            <w:r>
              <w:rPr>
                <w:rFonts w:hint="eastAsia"/>
                <w:szCs w:val="21"/>
                <w:lang w:val="en-US" w:eastAsia="zh-CN"/>
              </w:rPr>
              <w:t>；</w:t>
            </w:r>
          </w:p>
          <w:p>
            <w:pPr>
              <w:spacing w:line="276" w:lineRule="auto"/>
              <w:rPr>
                <w:lang w:eastAsia="zh-CN"/>
              </w:rPr>
            </w:pPr>
            <w:r>
              <w:rPr>
                <w:rFonts w:hint="eastAsia"/>
                <w:szCs w:val="21"/>
                <w:lang w:val="en-US" w:eastAsia="zh-CN"/>
              </w:rPr>
              <w:t>（3）大气压力：70kPa～106 kPa；</w:t>
            </w:r>
          </w:p>
          <w:p>
            <w:pPr>
              <w:spacing w:line="276" w:lineRule="auto"/>
              <w:jc w:val="both"/>
              <w:rPr>
                <w:szCs w:val="21"/>
                <w:lang w:val="en-US" w:eastAsia="zh-CN"/>
              </w:rPr>
            </w:pPr>
            <w:r>
              <w:rPr>
                <w:rFonts w:hint="eastAsia"/>
                <w:szCs w:val="21"/>
                <w:lang w:val="en-US" w:eastAsia="zh-CN"/>
              </w:rPr>
              <w:t>（4）使用电源：交流</w:t>
            </w:r>
            <w:r>
              <w:rPr>
                <w:szCs w:val="21"/>
                <w:lang w:eastAsia="zh-CN"/>
              </w:rPr>
              <w:t>220±10%V，</w:t>
            </w:r>
            <w:r>
              <w:rPr>
                <w:rFonts w:hint="eastAsia"/>
                <w:szCs w:val="21"/>
                <w:lang w:val="en-US" w:eastAsia="zh-CN"/>
              </w:rPr>
              <w:t>50</w:t>
            </w:r>
            <w:r>
              <w:rPr>
                <w:szCs w:val="21"/>
                <w:lang w:eastAsia="zh-CN"/>
              </w:rPr>
              <w:t>±1</w:t>
            </w:r>
            <w:r>
              <w:rPr>
                <w:rFonts w:hint="eastAsia"/>
                <w:szCs w:val="21"/>
                <w:lang w:val="en-US" w:eastAsia="zh-CN"/>
              </w:rPr>
              <w:t>HZ或内置可充电直流电池。</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28" w:type="dxa"/>
            <w:shd w:val="clear" w:color="auto" w:fill="auto"/>
            <w:vAlign w:val="center"/>
          </w:tcPr>
          <w:p>
            <w:pPr>
              <w:spacing w:line="276" w:lineRule="auto"/>
              <w:rPr>
                <w:szCs w:val="21"/>
                <w:lang w:val="en-US" w:eastAsia="zh-CN"/>
              </w:rPr>
            </w:pPr>
            <w:r>
              <w:rPr>
                <w:rFonts w:hint="eastAsia"/>
                <w:lang w:eastAsia="zh-CN"/>
              </w:rPr>
              <w:t>设备符合</w:t>
            </w:r>
            <w:r>
              <w:rPr>
                <w:lang w:eastAsia="zh-CN"/>
              </w:rPr>
              <w:t>ISO 14698指导性要求，验证物理效率和生物效率。</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permEnd w:id="2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9"/>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其他运行要求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ermStart w:id="24" w:edGrp="everyone"/>
          </w:p>
        </w:tc>
        <w:tc>
          <w:tcPr>
            <w:tcW w:w="7128" w:type="dxa"/>
            <w:shd w:val="clear" w:color="auto" w:fill="auto"/>
            <w:vAlign w:val="center"/>
          </w:tcPr>
          <w:p>
            <w:pPr>
              <w:spacing w:line="276" w:lineRule="auto"/>
              <w:jc w:val="both"/>
              <w:rPr>
                <w:szCs w:val="21"/>
                <w:lang w:eastAsia="zh-CN"/>
              </w:rPr>
            </w:pPr>
            <w:r>
              <w:rPr>
                <w:rFonts w:hint="eastAsia"/>
                <w:szCs w:val="21"/>
                <w:lang w:eastAsia="zh-CN"/>
              </w:rPr>
              <w:t>采样模式</w:t>
            </w:r>
            <w:r>
              <w:rPr>
                <w:rFonts w:hint="eastAsia"/>
                <w:szCs w:val="21"/>
                <w:lang w:val="en-US" w:eastAsia="zh-CN"/>
              </w:rPr>
              <w:t>500L，600L，1000L或其他档位设计</w:t>
            </w:r>
            <w:r>
              <w:rPr>
                <w:rFonts w:hint="eastAsia"/>
                <w:szCs w:val="21"/>
                <w:lang w:eastAsia="zh-CN"/>
              </w:rPr>
              <w:t>，可自定义采样体积。</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rFonts w:hint="eastAsia"/>
                <w:lang w:eastAsia="zh-CN"/>
              </w:rPr>
              <w:t>气体流速过低时提示并配备声响报警系统。</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rFonts w:hint="eastAsia"/>
                <w:szCs w:val="21"/>
                <w:lang w:eastAsia="zh-CN"/>
              </w:rPr>
              <w:t>采样流量不小于100L/min，采样流量稳定，采样流量全自动精准控制，采样流量误差小于2.5%</w:t>
            </w:r>
            <w:r>
              <w:rPr>
                <w:rFonts w:hint="eastAsia" w:ascii="宋体" w:hAnsi="宋体" w:cs="宋体"/>
                <w:color w:val="000000"/>
                <w:sz w:val="24"/>
                <w:lang w:eastAsia="zh-CN"/>
              </w:rPr>
              <w:t>。</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val="en-US" w:eastAsia="zh-CN"/>
              </w:rPr>
            </w:pPr>
            <w:r>
              <w:rPr>
                <w:rFonts w:hint="eastAsia"/>
                <w:lang w:val="en-US" w:eastAsia="zh-CN"/>
              </w:rPr>
              <w:t>采样量可调，</w:t>
            </w:r>
            <w:r>
              <w:rPr>
                <w:rFonts w:hint="eastAsia"/>
                <w:szCs w:val="21"/>
                <w:lang w:val="en-US" w:eastAsia="zh-CN"/>
              </w:rPr>
              <w:t>采样量范围1~9999L。</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val="en-US" w:eastAsia="zh-CN"/>
              </w:rPr>
            </w:pPr>
            <w:r>
              <w:rPr>
                <w:rFonts w:hint="eastAsia"/>
                <w:szCs w:val="21"/>
                <w:lang w:val="en-US" w:eastAsia="zh-CN"/>
              </w:rPr>
              <w:t>采样延迟：1-99秒。</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rFonts w:hint="eastAsia"/>
                <w:szCs w:val="21"/>
                <w:lang w:val="en-US" w:eastAsia="zh-CN"/>
              </w:rPr>
              <w:t>采集方式：手动或遥控。</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rFonts w:hint="eastAsia"/>
                <w:szCs w:val="21"/>
                <w:lang w:val="en-US" w:eastAsia="zh-CN"/>
              </w:rPr>
              <w:t>适配90-100mm直径的标准平皿。</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rFonts w:hint="eastAsia"/>
                <w:szCs w:val="21"/>
                <w:lang w:val="en-US" w:eastAsia="zh-CN"/>
              </w:rPr>
              <w:t>采样头为无数微孔，要求能使微生物均匀分布在琼脂表面，减少尘菌重叠，降低计数误差。</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rFonts w:hint="eastAsia"/>
                <w:szCs w:val="21"/>
                <w:lang w:val="en-US" w:eastAsia="zh-CN"/>
              </w:rPr>
              <w:t>外形尺寸大小适宜，重量应小于工作台面承受重量。</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val="en-US" w:eastAsia="zh-CN"/>
              </w:rPr>
            </w:pPr>
            <w:r>
              <w:rPr>
                <w:rFonts w:hint="eastAsia"/>
                <w:szCs w:val="21"/>
                <w:lang w:val="en-US" w:eastAsia="zh-CN"/>
              </w:rPr>
              <w:t>显示窗口：高亮度LCD显示屏、显示精度至少为小数点后1位。</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val="en-US" w:eastAsia="zh-CN"/>
              </w:rPr>
            </w:pPr>
            <w:r>
              <w:rPr>
                <w:rFonts w:hint="eastAsia"/>
                <w:lang w:eastAsia="zh-CN"/>
              </w:rPr>
              <w:t>配有万年历时钟, 时钟可校准与调节。</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val="en-US" w:eastAsia="zh-CN"/>
              </w:rPr>
            </w:pPr>
            <w:r>
              <w:rPr>
                <w:rFonts w:hint="eastAsia"/>
                <w:szCs w:val="21"/>
                <w:lang w:val="en-US" w:eastAsia="zh-CN"/>
              </w:rPr>
              <w:t>噪音产生：要求小于60分贝。</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val="en-US" w:eastAsia="zh-CN"/>
              </w:rPr>
            </w:pPr>
            <w:r>
              <w:rPr>
                <w:rFonts w:hint="eastAsia"/>
                <w:szCs w:val="21"/>
                <w:lang w:val="en-US" w:eastAsia="zh-CN"/>
              </w:rPr>
              <w:t>校正范围：20-200L/min</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permEnd w:id="24"/>
    </w:tbl>
    <w:p>
      <w:pPr>
        <w:pStyle w:val="31"/>
        <w:numPr>
          <w:ilvl w:val="0"/>
          <w:numId w:val="3"/>
        </w:numPr>
        <w:spacing w:after="158" w:afterLines="50"/>
        <w:ind w:left="426" w:hanging="426" w:hangingChars="202"/>
        <w:outlineLvl w:val="0"/>
        <w:rPr>
          <w:rFonts w:ascii="Times New Roman" w:hAnsi="Times New Roman"/>
          <w:b/>
        </w:rPr>
      </w:pPr>
      <w:bookmarkStart w:id="27" w:name="_Toc522716122"/>
      <w:bookmarkStart w:id="28" w:name="_Toc522107742"/>
      <w:bookmarkStart w:id="29" w:name="_Toc483227237"/>
      <w:bookmarkStart w:id="30" w:name="_Toc483400317"/>
      <w:bookmarkStart w:id="31" w:name="_Toc482370359"/>
      <w:bookmarkStart w:id="32" w:name="_Toc482717202"/>
      <w:bookmarkStart w:id="33" w:name="_Toc482359946"/>
      <w:bookmarkStart w:id="34" w:name="_Toc482369815"/>
      <w:bookmarkStart w:id="35" w:name="_Toc482370151"/>
      <w:bookmarkStart w:id="36" w:name="_Toc482625289"/>
      <w:bookmarkStart w:id="37" w:name="_Toc482370071"/>
      <w:bookmarkStart w:id="38" w:name="_Toc482370767"/>
      <w:bookmarkStart w:id="39" w:name="_Toc482360291"/>
      <w:bookmarkStart w:id="40" w:name="_Toc481702480"/>
      <w:r>
        <w:rPr>
          <w:rFonts w:ascii="Times New Roman" w:hAnsi="Times New Roman"/>
          <w:b/>
        </w:rPr>
        <w:t>电气、自动控制要求</w:t>
      </w:r>
      <w:bookmarkEnd w:id="27"/>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permStart w:id="25" w:edGrp="everyone"/>
            <w:permEnd w:id="25"/>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2"/>
                <w:numId w:val="10"/>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自动控制要求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ermStart w:id="26" w:edGrp="everyone"/>
          </w:p>
        </w:tc>
        <w:tc>
          <w:tcPr>
            <w:tcW w:w="7128" w:type="dxa"/>
            <w:shd w:val="clear" w:color="auto" w:fill="auto"/>
            <w:vAlign w:val="center"/>
          </w:tcPr>
          <w:p>
            <w:pPr>
              <w:spacing w:line="276" w:lineRule="auto"/>
              <w:jc w:val="both"/>
              <w:rPr>
                <w:i/>
                <w:szCs w:val="21"/>
                <w:lang w:eastAsia="zh-CN"/>
              </w:rPr>
            </w:pPr>
            <w:r>
              <w:rPr>
                <w:rFonts w:hint="eastAsia"/>
                <w:szCs w:val="21"/>
                <w:lang w:val="en-US" w:eastAsia="zh-CN"/>
              </w:rPr>
              <w:t>要求该设备为高亮度LCD显示屏，显示清晰，可以将采样日期，采样时间，采样量，采样体积和电量都能显示；电池运转时间不少于8小时，且电量不足时，提前报警。</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val="en-US" w:eastAsia="zh-CN"/>
              </w:rPr>
            </w:pPr>
            <w:r>
              <w:rPr>
                <w:rFonts w:hint="eastAsia"/>
                <w:szCs w:val="21"/>
                <w:lang w:val="en-US" w:eastAsia="zh-CN"/>
              </w:rPr>
              <w:t>要求该设备功能操作及程序设置为按键操作，且在功能操作程序设置后，能储存设置模式；采集方式为遥控或人工两种操作。</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val="en-US" w:eastAsia="zh-CN"/>
              </w:rPr>
            </w:pPr>
            <w:r>
              <w:rPr>
                <w:rFonts w:hint="eastAsia"/>
                <w:szCs w:val="21"/>
                <w:lang w:val="en-US" w:eastAsia="zh-CN"/>
              </w:rPr>
              <w:t>要求采样口有无数微孔，可减少采样过程中尘菌重叠，降低计数错误，而且要求该设备采样头为316不锈钢，易清洁，耐腐蚀。使用过程中，不会产生产生粉尘，能在洁净区使用。</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val="en-US" w:eastAsia="zh-CN"/>
              </w:rPr>
            </w:pPr>
            <w:r>
              <w:rPr>
                <w:rFonts w:hint="eastAsia"/>
                <w:szCs w:val="21"/>
                <w:lang w:val="en-US" w:eastAsia="zh-CN"/>
              </w:rPr>
              <w:t>内置风速流量计自动调节流速，以保证每分钟采样量为100L ± 5%。</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val="en-US" w:eastAsia="zh-CN"/>
              </w:rPr>
            </w:pPr>
            <w:r>
              <w:rPr>
                <w:rFonts w:hint="eastAsia"/>
                <w:szCs w:val="21"/>
                <w:lang w:val="en-US" w:eastAsia="zh-CN"/>
              </w:rPr>
              <w:t>要求采样便捷，更换培养皿简单，适用于标准通用培养皿直径为90mm。</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permEnd w:id="2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ermStart w:id="27" w:edGrp="everyone"/>
          </w:p>
        </w:tc>
        <w:tc>
          <w:tcPr>
            <w:tcW w:w="7128" w:type="dxa"/>
            <w:shd w:val="clear" w:color="auto" w:fill="auto"/>
            <w:vAlign w:val="center"/>
          </w:tcPr>
          <w:p>
            <w:pPr>
              <w:spacing w:line="276" w:lineRule="auto"/>
              <w:jc w:val="both"/>
              <w:rPr>
                <w:szCs w:val="21"/>
                <w:lang w:eastAsia="zh-CN"/>
              </w:rPr>
            </w:pPr>
            <w:r>
              <w:rPr>
                <w:rFonts w:hint="eastAsia"/>
                <w:szCs w:val="21"/>
                <w:lang w:val="en-US" w:eastAsia="zh-CN"/>
              </w:rPr>
              <w:t>配有万年历时钟, 时钟可校准与调节。</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val="en-US" w:eastAsia="zh-CN"/>
              </w:rPr>
            </w:pPr>
            <w:r>
              <w:rPr>
                <w:rFonts w:hint="eastAsia"/>
                <w:szCs w:val="21"/>
                <w:lang w:val="en-US" w:eastAsia="zh-CN"/>
              </w:rPr>
              <w:t>气体流速过低时提示并配备声响报警系统。</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val="en-US" w:eastAsia="zh-CN"/>
              </w:rPr>
            </w:pPr>
            <w:r>
              <w:rPr>
                <w:rFonts w:hint="eastAsia"/>
                <w:lang w:eastAsia="zh-CN"/>
              </w:rPr>
              <w:t>可延迟操作。</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permEnd w:id="2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2"/>
                <w:numId w:val="10"/>
              </w:numPr>
              <w:ind w:firstLineChars="0"/>
              <w:rPr>
                <w:rFonts w:ascii="Times New Roman" w:hAnsi="Times New Roman"/>
                <w:szCs w:val="21"/>
              </w:rPr>
            </w:pPr>
          </w:p>
        </w:tc>
        <w:tc>
          <w:tcPr>
            <w:tcW w:w="9253" w:type="dxa"/>
            <w:gridSpan w:val="2"/>
            <w:shd w:val="clear" w:color="auto" w:fill="D9D9D9"/>
            <w:vAlign w:val="center"/>
          </w:tcPr>
          <w:p>
            <w:pPr>
              <w:jc w:val="both"/>
              <w:rPr>
                <w:szCs w:val="21"/>
              </w:rPr>
            </w:pPr>
            <w:r>
              <w:rPr>
                <w:szCs w:val="21"/>
                <w:lang w:eastAsia="zh-CN"/>
              </w:rPr>
              <w:t>计算机化系统要求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ermStart w:id="28" w:edGrp="everyone"/>
          </w:p>
        </w:tc>
        <w:tc>
          <w:tcPr>
            <w:tcW w:w="7128" w:type="dxa"/>
            <w:shd w:val="clear" w:color="auto" w:fill="auto"/>
            <w:vAlign w:val="center"/>
          </w:tcPr>
          <w:p>
            <w:pPr>
              <w:spacing w:line="276" w:lineRule="auto"/>
              <w:jc w:val="both"/>
              <w:rPr>
                <w:szCs w:val="21"/>
                <w:lang w:eastAsia="zh-CN"/>
              </w:rPr>
            </w:pPr>
            <w:r>
              <w:rPr>
                <w:rFonts w:hint="eastAsia"/>
                <w:szCs w:val="21"/>
                <w:lang w:val="en-US" w:eastAsia="zh-CN"/>
              </w:rPr>
              <w:t>该设备计算机化系统需经过计算机化系统评估、风险评估、DQ、IQ、OQ、PQ。</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28" w:type="dxa"/>
            <w:shd w:val="clear" w:color="auto" w:fill="auto"/>
            <w:vAlign w:val="center"/>
          </w:tcPr>
          <w:p>
            <w:pPr>
              <w:pStyle w:val="47"/>
              <w:spacing w:line="460" w:lineRule="exact"/>
              <w:rPr>
                <w:sz w:val="21"/>
                <w:szCs w:val="21"/>
                <w:lang w:val="en-US" w:eastAsia="zh-CN"/>
              </w:rPr>
            </w:pPr>
            <w:r>
              <w:rPr>
                <w:rFonts w:hint="eastAsia"/>
                <w:sz w:val="21"/>
                <w:szCs w:val="21"/>
                <w:lang w:val="en-US" w:eastAsia="zh-CN"/>
              </w:rPr>
              <w:t>该设备计算机化系统验证需与设备验证同步进行，其设备DQ</w:t>
            </w:r>
            <w:r>
              <w:rPr>
                <w:rFonts w:hint="eastAsia"/>
                <w:szCs w:val="21"/>
                <w:lang w:val="en-US" w:eastAsia="zh-CN"/>
              </w:rPr>
              <w:t>、</w:t>
            </w:r>
            <w:r>
              <w:rPr>
                <w:rFonts w:hint="eastAsia"/>
                <w:sz w:val="21"/>
                <w:szCs w:val="21"/>
                <w:lang w:val="en-US" w:eastAsia="zh-CN"/>
              </w:rPr>
              <w:t>IQ、OQ、PQ文件中需包含对其计算机化系统的验证。</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rFonts w:hint="eastAsia"/>
                <w:szCs w:val="21"/>
                <w:lang w:val="en-US" w:eastAsia="zh-CN"/>
              </w:rPr>
              <w:t>具有审计追功能，能够储存5年以内的数据</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val="en-US" w:eastAsia="zh-CN"/>
              </w:rPr>
            </w:pPr>
            <w:r>
              <w:rPr>
                <w:rFonts w:hint="eastAsia"/>
                <w:szCs w:val="21"/>
                <w:lang w:val="en-US" w:eastAsia="zh-CN"/>
              </w:rPr>
              <w:t>可查询储存的历史数据。历史数据可用U盘导出。导出数据为不可修改模式。</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rFonts w:hint="eastAsia"/>
                <w:szCs w:val="21"/>
                <w:lang w:val="en-US" w:eastAsia="zh-CN"/>
              </w:rPr>
              <w:t>具有三级用户权限管理。账户名称可设置12位或以上字符。</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val="en-US" w:eastAsia="zh-CN"/>
              </w:rPr>
            </w:pPr>
            <w:r>
              <w:rPr>
                <w:rFonts w:hint="eastAsia"/>
                <w:szCs w:val="21"/>
                <w:lang w:val="en-US" w:eastAsia="zh-CN"/>
              </w:rPr>
              <w:t>厂商应提供数据备份与恢复的策略，并在验证过程中验证</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val="en-US" w:eastAsia="zh-CN"/>
              </w:rPr>
            </w:pPr>
            <w:r>
              <w:rPr>
                <w:rFonts w:hint="eastAsia"/>
                <w:szCs w:val="21"/>
                <w:lang w:val="en-US" w:eastAsia="zh-CN"/>
              </w:rPr>
              <w:t>审计追踪应可记录所有与软件相关的操作，可按时间、操作人、时间等不同类型进行回顾查找。</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permEnd w:id="28"/>
    </w:tbl>
    <w:p>
      <w:pPr>
        <w:spacing w:after="158" w:afterLines="50"/>
        <w:rPr>
          <w:b/>
          <w:lang w:eastAsia="zh-CN"/>
        </w:rPr>
      </w:pPr>
    </w:p>
    <w:p>
      <w:pPr>
        <w:pStyle w:val="31"/>
        <w:numPr>
          <w:ilvl w:val="0"/>
          <w:numId w:val="3"/>
        </w:numPr>
        <w:spacing w:after="158" w:afterLines="50"/>
        <w:ind w:left="426" w:hanging="426" w:hangingChars="202"/>
        <w:outlineLvl w:val="0"/>
        <w:rPr>
          <w:rFonts w:ascii="Times New Roman" w:hAnsi="Times New Roman"/>
          <w:b/>
        </w:rPr>
      </w:pPr>
      <w:bookmarkStart w:id="41" w:name="_Toc522716123"/>
      <w:r>
        <w:rPr>
          <w:rFonts w:ascii="Times New Roman" w:hAnsi="Times New Roman"/>
          <w:b/>
        </w:rPr>
        <w:t>安全要求</w:t>
      </w:r>
      <w:bookmarkEnd w:id="28"/>
      <w:bookmarkEnd w:id="41"/>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permStart w:id="29" w:edGrp="everyone"/>
            <w:permEnd w:id="29"/>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密封连锁及压力保护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7D7D7" w:themeFill="background1" w:themeFillShade="D8"/>
            <w:vAlign w:val="center"/>
          </w:tcPr>
          <w:p>
            <w:pPr>
              <w:ind w:left="426"/>
              <w:rPr>
                <w:szCs w:val="21"/>
              </w:rPr>
            </w:pPr>
            <w:permStart w:id="30" w:edGrp="everyone"/>
          </w:p>
        </w:tc>
        <w:tc>
          <w:tcPr>
            <w:tcW w:w="9253" w:type="dxa"/>
            <w:gridSpan w:val="2"/>
            <w:shd w:val="clear" w:color="auto" w:fill="auto"/>
            <w:vAlign w:val="center"/>
          </w:tcPr>
          <w:p>
            <w:pPr>
              <w:spacing w:line="276" w:lineRule="auto"/>
              <w:jc w:val="both"/>
              <w:rPr>
                <w:szCs w:val="21"/>
                <w:lang w:eastAsia="zh-CN"/>
              </w:rPr>
            </w:pPr>
            <w:r>
              <w:rPr>
                <w:rFonts w:hint="eastAsia"/>
                <w:szCs w:val="21"/>
                <w:lang w:eastAsia="zh-CN"/>
              </w:rPr>
              <w:t>N</w:t>
            </w:r>
            <w:r>
              <w:rPr>
                <w:szCs w:val="21"/>
                <w:lang w:eastAsia="zh-CN"/>
              </w:rPr>
              <w:t>/A</w:t>
            </w:r>
          </w:p>
        </w:tc>
      </w:tr>
      <w:permEnd w:id="3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1"/>
              </w:numPr>
              <w:ind w:firstLineChars="0"/>
              <w:rPr>
                <w:rFonts w:ascii="Times New Roman" w:hAnsi="Times New Roman"/>
                <w:szCs w:val="21"/>
              </w:rPr>
            </w:pPr>
          </w:p>
        </w:tc>
        <w:tc>
          <w:tcPr>
            <w:tcW w:w="7128" w:type="dxa"/>
            <w:shd w:val="clear" w:color="auto" w:fill="D9D9D9"/>
            <w:vAlign w:val="center"/>
          </w:tcPr>
          <w:p>
            <w:pPr>
              <w:jc w:val="both"/>
              <w:rPr>
                <w:szCs w:val="21"/>
                <w:lang w:eastAsia="zh-CN"/>
              </w:rPr>
            </w:pPr>
            <w:r>
              <w:rPr>
                <w:szCs w:val="21"/>
                <w:lang w:eastAsia="zh-CN"/>
              </w:rPr>
              <w:t>电气保护</w:t>
            </w:r>
          </w:p>
        </w:tc>
        <w:tc>
          <w:tcPr>
            <w:tcW w:w="2125" w:type="dxa"/>
            <w:shd w:val="clear" w:color="auto" w:fill="D9D9D9"/>
            <w:vAlign w:val="center"/>
          </w:tcPr>
          <w:p>
            <w:pPr>
              <w:jc w:val="both"/>
              <w:rPr>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ermStart w:id="31" w:edGrp="everyone"/>
          </w:p>
        </w:tc>
        <w:tc>
          <w:tcPr>
            <w:tcW w:w="7128" w:type="dxa"/>
            <w:shd w:val="clear" w:color="auto" w:fill="auto"/>
            <w:vAlign w:val="center"/>
          </w:tcPr>
          <w:p>
            <w:pPr>
              <w:jc w:val="both"/>
              <w:rPr>
                <w:szCs w:val="21"/>
                <w:lang w:eastAsia="zh-CN"/>
              </w:rPr>
            </w:pPr>
            <w:r>
              <w:rPr>
                <w:rFonts w:hint="eastAsia"/>
                <w:szCs w:val="21"/>
                <w:lang w:val="en-US" w:eastAsia="zh-CN"/>
              </w:rPr>
              <w:t>电气安全应符合GB4793.1和GB4793.4的要求。</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permEnd w:id="3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ermStart w:id="32" w:edGrp="everyone"/>
          </w:p>
        </w:tc>
        <w:tc>
          <w:tcPr>
            <w:tcW w:w="7128" w:type="dxa"/>
            <w:shd w:val="clear" w:color="auto" w:fill="auto"/>
            <w:vAlign w:val="center"/>
          </w:tcPr>
          <w:p>
            <w:pPr>
              <w:jc w:val="both"/>
              <w:rPr>
                <w:szCs w:val="21"/>
                <w:lang w:eastAsia="zh-CN"/>
              </w:rPr>
            </w:pPr>
            <w:r>
              <w:rPr>
                <w:rFonts w:hint="eastAsia"/>
                <w:szCs w:val="21"/>
                <w:lang w:val="en-US" w:eastAsia="zh-CN"/>
              </w:rPr>
              <w:t>电磁兼容性应符合GB/T18268</w:t>
            </w:r>
            <w:r>
              <w:rPr>
                <w:rFonts w:hint="eastAsia" w:ascii="宋体" w:hAnsi="宋体" w:cs="宋体"/>
                <w:szCs w:val="21"/>
                <w:lang w:val="en-US" w:eastAsia="zh-CN"/>
              </w:rPr>
              <w:t>—</w:t>
            </w:r>
            <w:r>
              <w:rPr>
                <w:rFonts w:hint="eastAsia"/>
                <w:szCs w:val="21"/>
                <w:lang w:val="en-US" w:eastAsia="zh-CN"/>
              </w:rPr>
              <w:t>2000的要求。</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permEnd w:id="32"/>
    </w:tbl>
    <w:p>
      <w:pPr>
        <w:rPr>
          <w:szCs w:val="21"/>
          <w:lang w:eastAsia="zh-CN"/>
        </w:rPr>
      </w:pPr>
    </w:p>
    <w:p>
      <w:pPr>
        <w:pStyle w:val="31"/>
        <w:numPr>
          <w:ilvl w:val="0"/>
          <w:numId w:val="3"/>
        </w:numPr>
        <w:spacing w:after="158" w:afterLines="50"/>
        <w:ind w:left="426" w:hanging="426" w:hangingChars="202"/>
        <w:outlineLvl w:val="0"/>
        <w:rPr>
          <w:rFonts w:ascii="Times New Roman" w:hAnsi="Times New Roman"/>
          <w:b/>
        </w:rPr>
      </w:pPr>
      <w:bookmarkStart w:id="42" w:name="_Toc522107743"/>
      <w:bookmarkStart w:id="43" w:name="_Toc522716124"/>
      <w:r>
        <w:rPr>
          <w:rFonts w:ascii="Times New Roman" w:hAnsi="Times New Roman"/>
          <w:b/>
        </w:rPr>
        <w:t>文件要求</w:t>
      </w:r>
      <w:bookmarkEnd w:id="42"/>
      <w:bookmarkEnd w:id="43"/>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jc w:val="center"/>
              <w:rPr>
                <w:b/>
                <w:szCs w:val="21"/>
              </w:rPr>
            </w:pPr>
            <w:permStart w:id="33" w:edGrp="everyone"/>
            <w:permEnd w:id="33"/>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jc w:val="center"/>
              <w:rPr>
                <w:szCs w:val="21"/>
                <w:lang w:eastAsia="zh-CN"/>
              </w:rPr>
            </w:pPr>
            <w:r>
              <w:rPr>
                <w:rFonts w:hint="eastAsia"/>
                <w:szCs w:val="21"/>
                <w:lang w:eastAsia="zh-CN"/>
              </w:rPr>
              <w:t xml:space="preserve">     10.1</w:t>
            </w:r>
          </w:p>
        </w:tc>
        <w:tc>
          <w:tcPr>
            <w:tcW w:w="7128" w:type="dxa"/>
            <w:shd w:val="clear" w:color="auto" w:fill="D9D9D9"/>
            <w:vAlign w:val="center"/>
          </w:tcPr>
          <w:p>
            <w:pPr>
              <w:rPr>
                <w:szCs w:val="21"/>
                <w:lang w:eastAsia="zh-CN"/>
              </w:rPr>
            </w:pPr>
            <w:r>
              <w:rPr>
                <w:szCs w:val="21"/>
                <w:lang w:eastAsia="zh-CN"/>
              </w:rPr>
              <w:t>文件要求</w:t>
            </w:r>
          </w:p>
        </w:tc>
        <w:tc>
          <w:tcPr>
            <w:tcW w:w="2125" w:type="dxa"/>
            <w:shd w:val="clear" w:color="auto" w:fill="D9D9D9"/>
            <w:vAlign w:val="center"/>
          </w:tcPr>
          <w:p>
            <w:pPr>
              <w:jc w:val="center"/>
              <w:rPr>
                <w:b/>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ermStart w:id="34" w:edGrp="everyone"/>
          </w:p>
        </w:tc>
        <w:tc>
          <w:tcPr>
            <w:tcW w:w="7128" w:type="dxa"/>
            <w:shd w:val="clear" w:color="auto" w:fill="auto"/>
            <w:vAlign w:val="center"/>
          </w:tcPr>
          <w:p>
            <w:pPr>
              <w:jc w:val="both"/>
              <w:rPr>
                <w:szCs w:val="21"/>
                <w:lang w:eastAsia="zh-CN"/>
              </w:rPr>
            </w:pPr>
            <w:r>
              <w:rPr>
                <w:szCs w:val="21"/>
                <w:lang w:val="en-US" w:eastAsia="zh-CN"/>
              </w:rPr>
              <w:t>投标文件、合同及订单。</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permEnd w:id="3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ermStart w:id="35" w:edGrp="everyone"/>
          </w:p>
        </w:tc>
        <w:tc>
          <w:tcPr>
            <w:tcW w:w="7128" w:type="dxa"/>
            <w:shd w:val="clear" w:color="auto" w:fill="auto"/>
            <w:vAlign w:val="center"/>
          </w:tcPr>
          <w:p>
            <w:pPr>
              <w:jc w:val="both"/>
              <w:rPr>
                <w:szCs w:val="21"/>
                <w:lang w:eastAsia="zh-CN"/>
              </w:rPr>
            </w:pPr>
            <w:r>
              <w:rPr>
                <w:szCs w:val="21"/>
                <w:lang w:val="en-US" w:eastAsia="zh-CN"/>
              </w:rPr>
              <w:t>卖方发运清单及相关检验报告。</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28" w:type="dxa"/>
            <w:shd w:val="clear" w:color="auto" w:fill="auto"/>
            <w:vAlign w:val="center"/>
          </w:tcPr>
          <w:p>
            <w:pPr>
              <w:jc w:val="both"/>
              <w:rPr>
                <w:szCs w:val="21"/>
                <w:lang w:val="en-US" w:eastAsia="zh-CN"/>
              </w:rPr>
            </w:pPr>
            <w:r>
              <w:rPr>
                <w:rFonts w:hint="eastAsia"/>
                <w:szCs w:val="21"/>
                <w:lang w:val="en-US" w:eastAsia="zh-CN"/>
              </w:rPr>
              <w:t>详细</w:t>
            </w:r>
            <w:r>
              <w:rPr>
                <w:szCs w:val="21"/>
                <w:lang w:val="en-US" w:eastAsia="zh-CN"/>
              </w:rPr>
              <w:t>功能设计</w:t>
            </w:r>
            <w:r>
              <w:rPr>
                <w:rFonts w:hint="eastAsia"/>
                <w:szCs w:val="21"/>
                <w:lang w:val="en-US" w:eastAsia="zh-CN"/>
              </w:rPr>
              <w:t>说明</w:t>
            </w:r>
            <w:r>
              <w:rPr>
                <w:rFonts w:hint="eastAsia"/>
                <w:sz w:val="24"/>
                <w:lang w:eastAsia="zh-CN"/>
              </w:rPr>
              <w:t>、</w:t>
            </w:r>
            <w:r>
              <w:rPr>
                <w:rFonts w:hint="eastAsia"/>
                <w:szCs w:val="21"/>
                <w:lang w:val="en-US" w:eastAsia="zh-CN"/>
              </w:rPr>
              <w:t>配置说明与清单。</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28" w:type="dxa"/>
            <w:shd w:val="clear" w:color="auto" w:fill="auto"/>
            <w:vAlign w:val="center"/>
          </w:tcPr>
          <w:p>
            <w:pPr>
              <w:jc w:val="both"/>
              <w:rPr>
                <w:szCs w:val="21"/>
                <w:lang w:val="en-US" w:eastAsia="zh-CN"/>
              </w:rPr>
            </w:pPr>
            <w:r>
              <w:rPr>
                <w:szCs w:val="21"/>
                <w:lang w:val="en-US" w:eastAsia="zh-CN"/>
              </w:rPr>
              <w:t>图纸：实物图；尺寸图；控制原理图、各种</w:t>
            </w:r>
            <w:r>
              <w:rPr>
                <w:rFonts w:hint="eastAsia"/>
                <w:szCs w:val="21"/>
                <w:lang w:val="en-US" w:eastAsia="zh-CN"/>
              </w:rPr>
              <w:t>确认、</w:t>
            </w:r>
            <w:r>
              <w:rPr>
                <w:szCs w:val="21"/>
                <w:lang w:val="en-US" w:eastAsia="zh-CN"/>
              </w:rPr>
              <w:t>维护维修等活动所需的电子版及打印版设备图纸、注释参考等、图纸清单。设备图纸需满足国家相关制图法规要求。</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28" w:type="dxa"/>
            <w:shd w:val="clear" w:color="auto" w:fill="auto"/>
            <w:vAlign w:val="center"/>
          </w:tcPr>
          <w:p>
            <w:pPr>
              <w:jc w:val="both"/>
              <w:rPr>
                <w:szCs w:val="21"/>
                <w:lang w:val="en-US" w:eastAsia="zh-CN"/>
              </w:rPr>
            </w:pPr>
            <w:r>
              <w:rPr>
                <w:szCs w:val="21"/>
                <w:lang w:val="en-US" w:eastAsia="zh-CN"/>
              </w:rPr>
              <w:t>零配件、部件、元件</w:t>
            </w:r>
            <w:r>
              <w:rPr>
                <w:rFonts w:hint="eastAsia"/>
                <w:szCs w:val="21"/>
                <w:lang w:val="en-US" w:eastAsia="zh-CN"/>
              </w:rPr>
              <w:t>，备件</w:t>
            </w:r>
            <w:r>
              <w:rPr>
                <w:szCs w:val="21"/>
                <w:lang w:val="en-US" w:eastAsia="zh-CN"/>
              </w:rPr>
              <w:t>清单：包括编号、对应厂家名称、生产地、规格及必要说明。</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28" w:type="dxa"/>
            <w:shd w:val="clear" w:color="auto" w:fill="auto"/>
            <w:vAlign w:val="center"/>
          </w:tcPr>
          <w:p>
            <w:pPr>
              <w:jc w:val="both"/>
              <w:rPr>
                <w:szCs w:val="21"/>
                <w:lang w:val="en-US" w:eastAsia="zh-CN"/>
              </w:rPr>
            </w:pPr>
            <w:r>
              <w:rPr>
                <w:szCs w:val="21"/>
                <w:lang w:val="en-US" w:eastAsia="zh-CN"/>
              </w:rPr>
              <w:t>设备制造文件：材质报告及合格证、制造商检测数据报告、</w:t>
            </w:r>
            <w:r>
              <w:rPr>
                <w:rFonts w:hint="eastAsia"/>
                <w:szCs w:val="21"/>
                <w:lang w:val="en-US" w:eastAsia="zh-CN"/>
              </w:rPr>
              <w:t>设备</w:t>
            </w:r>
            <w:r>
              <w:rPr>
                <w:szCs w:val="21"/>
                <w:lang w:val="en-US" w:eastAsia="zh-CN"/>
              </w:rPr>
              <w:t>及各组件合格证（对本URS要求合格的相应证明）、各种标示、风险评估文件</w:t>
            </w:r>
            <w:r>
              <w:rPr>
                <w:rFonts w:hint="eastAsia"/>
                <w:szCs w:val="21"/>
                <w:lang w:val="en-US" w:eastAsia="zh-CN"/>
              </w:rPr>
              <w:t>。</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28" w:type="dxa"/>
            <w:shd w:val="clear" w:color="auto" w:fill="auto"/>
            <w:vAlign w:val="center"/>
          </w:tcPr>
          <w:p>
            <w:pPr>
              <w:jc w:val="both"/>
              <w:rPr>
                <w:szCs w:val="21"/>
                <w:lang w:val="en-US" w:eastAsia="zh-CN"/>
              </w:rPr>
            </w:pPr>
            <w:r>
              <w:rPr>
                <w:rFonts w:hint="eastAsia"/>
                <w:szCs w:val="21"/>
                <w:lang w:val="en-US" w:eastAsia="zh-CN"/>
              </w:rPr>
              <w:t>材质证书（写明材料有效期）。</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28" w:type="dxa"/>
            <w:shd w:val="clear" w:color="auto" w:fill="auto"/>
            <w:vAlign w:val="center"/>
          </w:tcPr>
          <w:p>
            <w:pPr>
              <w:jc w:val="both"/>
              <w:rPr>
                <w:szCs w:val="21"/>
                <w:lang w:val="en-US" w:eastAsia="zh-CN"/>
              </w:rPr>
            </w:pPr>
            <w:r>
              <w:rPr>
                <w:szCs w:val="21"/>
                <w:lang w:val="en-US" w:eastAsia="zh-CN"/>
              </w:rPr>
              <w:t>仪器仪表清单，及相关仪表校验报告及计量证书。</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28" w:type="dxa"/>
            <w:shd w:val="clear" w:color="auto" w:fill="auto"/>
            <w:vAlign w:val="center"/>
          </w:tcPr>
          <w:p>
            <w:pPr>
              <w:jc w:val="both"/>
              <w:rPr>
                <w:szCs w:val="21"/>
                <w:lang w:val="en-US" w:eastAsia="zh-CN"/>
              </w:rPr>
            </w:pPr>
            <w:r>
              <w:rPr>
                <w:szCs w:val="21"/>
                <w:lang w:val="en-US" w:eastAsia="zh-CN"/>
              </w:rPr>
              <w:t>设备交付计划表。</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28" w:type="dxa"/>
            <w:shd w:val="clear" w:color="auto" w:fill="auto"/>
            <w:vAlign w:val="center"/>
          </w:tcPr>
          <w:p>
            <w:pPr>
              <w:jc w:val="both"/>
              <w:rPr>
                <w:szCs w:val="21"/>
                <w:lang w:val="en-US" w:eastAsia="zh-CN"/>
              </w:rPr>
            </w:pPr>
            <w:r>
              <w:rPr>
                <w:rFonts w:hint="eastAsia"/>
                <w:szCs w:val="21"/>
                <w:lang w:val="en-US" w:eastAsia="zh-CN"/>
              </w:rPr>
              <w:t>现场验收报告。</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28" w:type="dxa"/>
            <w:shd w:val="clear" w:color="auto" w:fill="auto"/>
            <w:vAlign w:val="center"/>
          </w:tcPr>
          <w:p>
            <w:pPr>
              <w:jc w:val="both"/>
              <w:rPr>
                <w:szCs w:val="21"/>
                <w:lang w:val="en-US" w:eastAsia="zh-CN"/>
              </w:rPr>
            </w:pPr>
            <w:r>
              <w:rPr>
                <w:szCs w:val="21"/>
                <w:lang w:val="en-US" w:eastAsia="zh-CN"/>
              </w:rPr>
              <w:t>安全报告。</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28" w:type="dxa"/>
            <w:shd w:val="clear" w:color="auto" w:fill="auto"/>
            <w:vAlign w:val="center"/>
          </w:tcPr>
          <w:p>
            <w:pPr>
              <w:pStyle w:val="47"/>
              <w:spacing w:line="460" w:lineRule="exact"/>
            </w:pPr>
            <w:r>
              <w:rPr>
                <w:rFonts w:hint="eastAsia"/>
                <w:sz w:val="21"/>
                <w:szCs w:val="21"/>
                <w:lang w:val="en-US" w:eastAsia="zh-CN"/>
              </w:rPr>
              <w:t>验证文件：</w:t>
            </w:r>
          </w:p>
          <w:p>
            <w:pPr>
              <w:spacing w:line="460" w:lineRule="exact"/>
            </w:pPr>
            <w:r>
              <w:rPr>
                <w:rFonts w:hint="eastAsia"/>
                <w:szCs w:val="21"/>
                <w:lang w:val="en-US" w:eastAsia="zh-CN"/>
              </w:rPr>
              <w:t>（1）验证计划</w:t>
            </w:r>
          </w:p>
          <w:p>
            <w:pPr>
              <w:spacing w:line="460" w:lineRule="exact"/>
              <w:rPr>
                <w:lang w:eastAsia="zh-CN"/>
              </w:rPr>
            </w:pPr>
            <w:r>
              <w:rPr>
                <w:rFonts w:hint="eastAsia"/>
                <w:szCs w:val="21"/>
                <w:lang w:val="en-US" w:eastAsia="zh-CN"/>
              </w:rPr>
              <w:t>（</w:t>
            </w:r>
            <w:r>
              <w:rPr>
                <w:szCs w:val="21"/>
                <w:lang w:val="en-US" w:eastAsia="zh-CN"/>
              </w:rPr>
              <w:t>2</w:t>
            </w:r>
            <w:r>
              <w:rPr>
                <w:rFonts w:hint="eastAsia"/>
                <w:szCs w:val="21"/>
                <w:lang w:val="en-US" w:eastAsia="zh-CN"/>
              </w:rPr>
              <w:t>）满足</w:t>
            </w:r>
            <w:r>
              <w:rPr>
                <w:szCs w:val="21"/>
                <w:lang w:val="en-US" w:eastAsia="zh-CN"/>
              </w:rPr>
              <w:t>GMP</w:t>
            </w:r>
            <w:r>
              <w:rPr>
                <w:rFonts w:hint="eastAsia"/>
                <w:szCs w:val="21"/>
                <w:lang w:val="en-US" w:eastAsia="zh-CN"/>
              </w:rPr>
              <w:t>等相关法规的评估文件</w:t>
            </w:r>
          </w:p>
          <w:p>
            <w:pPr>
              <w:spacing w:line="460" w:lineRule="exact"/>
              <w:rPr>
                <w:rStyle w:val="24"/>
                <w:lang w:val="en-US" w:eastAsia="zh-CN"/>
              </w:rPr>
            </w:pPr>
            <w:r>
              <w:rPr>
                <w:rFonts w:hint="eastAsia"/>
                <w:szCs w:val="21"/>
                <w:lang w:val="en-US" w:eastAsia="zh-CN"/>
              </w:rPr>
              <w:t>（</w:t>
            </w:r>
            <w:r>
              <w:rPr>
                <w:szCs w:val="21"/>
                <w:lang w:val="en-US" w:eastAsia="zh-CN"/>
              </w:rPr>
              <w:t>3</w:t>
            </w:r>
            <w:r>
              <w:rPr>
                <w:rFonts w:hint="eastAsia"/>
                <w:szCs w:val="21"/>
                <w:lang w:val="en-US" w:eastAsia="zh-CN"/>
              </w:rPr>
              <w:t>）选型确认及文件</w:t>
            </w:r>
          </w:p>
          <w:p>
            <w:pPr>
              <w:spacing w:line="460" w:lineRule="exact"/>
              <w:rPr>
                <w:rStyle w:val="24"/>
                <w:lang w:val="en-US" w:eastAsia="zh-CN"/>
              </w:rPr>
            </w:pPr>
            <w:r>
              <w:rPr>
                <w:rStyle w:val="24"/>
                <w:rFonts w:hint="eastAsia"/>
                <w:lang w:val="en-US" w:eastAsia="zh-CN"/>
              </w:rPr>
              <w:t>（4）设计确认及文件（DQ)；</w:t>
            </w:r>
          </w:p>
          <w:p>
            <w:pPr>
              <w:spacing w:line="460" w:lineRule="exact"/>
              <w:rPr>
                <w:lang w:eastAsia="zh-CN"/>
              </w:rPr>
            </w:pPr>
            <w:r>
              <w:rPr>
                <w:rFonts w:hint="eastAsia"/>
                <w:szCs w:val="21"/>
                <w:lang w:val="en-US" w:eastAsia="zh-CN"/>
              </w:rPr>
              <w:t>（5）安装确认及文件（</w:t>
            </w:r>
            <w:r>
              <w:rPr>
                <w:szCs w:val="21"/>
                <w:lang w:val="en-US" w:eastAsia="zh-CN"/>
              </w:rPr>
              <w:t>IQ</w:t>
            </w:r>
            <w:r>
              <w:rPr>
                <w:rFonts w:hint="eastAsia"/>
                <w:szCs w:val="21"/>
                <w:lang w:val="en-US" w:eastAsia="zh-CN"/>
              </w:rPr>
              <w:t>）；</w:t>
            </w:r>
          </w:p>
          <w:p>
            <w:pPr>
              <w:spacing w:line="460" w:lineRule="exact"/>
              <w:rPr>
                <w:szCs w:val="21"/>
                <w:lang w:val="en-US" w:eastAsia="zh-CN"/>
              </w:rPr>
            </w:pPr>
            <w:r>
              <w:rPr>
                <w:rFonts w:hint="eastAsia"/>
                <w:szCs w:val="21"/>
                <w:lang w:val="en-US" w:eastAsia="zh-CN"/>
              </w:rPr>
              <w:t>（6）运行确认及文件（</w:t>
            </w:r>
            <w:r>
              <w:rPr>
                <w:szCs w:val="21"/>
                <w:lang w:val="en-US" w:eastAsia="zh-CN"/>
              </w:rPr>
              <w:t>OQ</w:t>
            </w:r>
            <w:r>
              <w:rPr>
                <w:rFonts w:hint="eastAsia"/>
                <w:szCs w:val="21"/>
                <w:lang w:val="en-US" w:eastAsia="zh-CN"/>
              </w:rPr>
              <w:t>）；</w:t>
            </w:r>
          </w:p>
          <w:p>
            <w:pPr>
              <w:spacing w:line="460" w:lineRule="exact"/>
              <w:rPr>
                <w:szCs w:val="21"/>
                <w:lang w:val="en-US" w:eastAsia="zh-CN"/>
              </w:rPr>
            </w:pPr>
            <w:r>
              <w:rPr>
                <w:rFonts w:hint="eastAsia"/>
                <w:szCs w:val="21"/>
                <w:lang w:val="en-US" w:eastAsia="zh-CN"/>
              </w:rPr>
              <w:t>（7）性能确认及文件（PQ）：</w:t>
            </w:r>
          </w:p>
          <w:p>
            <w:pPr>
              <w:pStyle w:val="47"/>
              <w:spacing w:line="460" w:lineRule="exact"/>
              <w:rPr>
                <w:szCs w:val="21"/>
                <w:lang w:val="en-US" w:eastAsia="zh-CN"/>
              </w:rPr>
            </w:pPr>
            <w:r>
              <w:rPr>
                <w:rFonts w:hint="eastAsia"/>
                <w:sz w:val="21"/>
                <w:szCs w:val="21"/>
                <w:lang w:val="en-US" w:eastAsia="zh-CN"/>
              </w:rPr>
              <w:t>（8）设备生产商负责制定设备验证计划、评估文件、DQ/I</w:t>
            </w:r>
            <w:r>
              <w:rPr>
                <w:sz w:val="21"/>
                <w:szCs w:val="21"/>
                <w:lang w:val="en-US" w:eastAsia="zh-CN"/>
              </w:rPr>
              <w:t>Q/</w:t>
            </w:r>
            <w:r>
              <w:rPr>
                <w:rFonts w:hint="eastAsia"/>
                <w:sz w:val="21"/>
                <w:szCs w:val="21"/>
                <w:lang w:val="en-US" w:eastAsia="zh-CN"/>
              </w:rPr>
              <w:t>O</w:t>
            </w:r>
            <w:r>
              <w:rPr>
                <w:sz w:val="21"/>
                <w:szCs w:val="21"/>
                <w:lang w:val="en-US" w:eastAsia="zh-CN"/>
              </w:rPr>
              <w:t>Q/</w:t>
            </w:r>
            <w:r>
              <w:rPr>
                <w:rFonts w:hint="eastAsia"/>
                <w:sz w:val="21"/>
                <w:szCs w:val="21"/>
                <w:lang w:val="en-US" w:eastAsia="zh-CN"/>
              </w:rPr>
              <w:t>P</w:t>
            </w:r>
            <w:r>
              <w:rPr>
                <w:sz w:val="21"/>
                <w:szCs w:val="21"/>
                <w:lang w:val="en-US" w:eastAsia="zh-CN"/>
              </w:rPr>
              <w:t>Q</w:t>
            </w:r>
            <w:r>
              <w:rPr>
                <w:rFonts w:hint="eastAsia"/>
                <w:sz w:val="21"/>
                <w:szCs w:val="21"/>
                <w:lang w:val="en-US" w:eastAsia="zh-CN"/>
              </w:rPr>
              <w:t>验证文件、验证总结报告，并负责验证工作的实施，该验证文件作为设备必备文件。</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28" w:type="dxa"/>
            <w:shd w:val="clear" w:color="auto" w:fill="auto"/>
            <w:vAlign w:val="center"/>
          </w:tcPr>
          <w:p>
            <w:pPr>
              <w:jc w:val="both"/>
              <w:rPr>
                <w:szCs w:val="21"/>
                <w:lang w:val="en-US" w:eastAsia="zh-CN"/>
              </w:rPr>
            </w:pPr>
            <w:r>
              <w:rPr>
                <w:rFonts w:hint="eastAsia"/>
                <w:szCs w:val="21"/>
                <w:lang w:val="en-US" w:eastAsia="zh-CN"/>
              </w:rPr>
              <w:t>设备操作手册（</w:t>
            </w:r>
            <w:r>
              <w:rPr>
                <w:szCs w:val="21"/>
                <w:lang w:val="en-US" w:eastAsia="zh-CN"/>
              </w:rPr>
              <w:t>SOP</w:t>
            </w:r>
            <w:r>
              <w:rPr>
                <w:rFonts w:hint="eastAsia"/>
                <w:szCs w:val="21"/>
                <w:lang w:val="en-US" w:eastAsia="zh-CN"/>
              </w:rPr>
              <w:t>）：语言为中文，应说明校准周期，并能提供校准服务。</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28" w:type="dxa"/>
            <w:shd w:val="clear" w:color="auto" w:fill="auto"/>
            <w:vAlign w:val="center"/>
          </w:tcPr>
          <w:p>
            <w:pPr>
              <w:jc w:val="both"/>
              <w:rPr>
                <w:szCs w:val="21"/>
                <w:lang w:val="en-US" w:eastAsia="zh-CN"/>
              </w:rPr>
            </w:pPr>
            <w:r>
              <w:rPr>
                <w:rFonts w:hint="eastAsia" w:ascii="宋体" w:hAnsi="宋体" w:cs="宋体"/>
                <w:szCs w:val="22"/>
                <w:lang w:val="en-US" w:eastAsia="zh-CN"/>
              </w:rPr>
              <w:t>设备仪表清单和相关第三方校验报告及计量证书（提供所有在该设备上安装的仪表、传感器的校验证书，且证书有效期自设备到货之日起不少于</w:t>
            </w:r>
            <w:r>
              <w:rPr>
                <w:rFonts w:eastAsia="Times New Roman" w:cs="宋体"/>
                <w:szCs w:val="22"/>
                <w:lang w:val="en-US" w:eastAsia="zh-CN"/>
              </w:rPr>
              <w:t>8</w:t>
            </w:r>
            <w:r>
              <w:rPr>
                <w:rFonts w:hint="eastAsia" w:ascii="宋体" w:hAnsi="宋体" w:cs="宋体"/>
                <w:szCs w:val="22"/>
                <w:lang w:val="en-US" w:eastAsia="zh-CN"/>
              </w:rPr>
              <w:t>个月）。</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28" w:type="dxa"/>
            <w:shd w:val="clear" w:color="auto" w:fill="auto"/>
            <w:vAlign w:val="center"/>
          </w:tcPr>
          <w:p>
            <w:pPr>
              <w:jc w:val="both"/>
              <w:rPr>
                <w:szCs w:val="21"/>
                <w:lang w:val="en-US" w:eastAsia="zh-CN"/>
              </w:rPr>
            </w:pPr>
            <w:r>
              <w:rPr>
                <w:szCs w:val="21"/>
                <w:lang w:val="en-US" w:eastAsia="zh-CN"/>
              </w:rPr>
              <w:t>调试文件：调试计划，检查计划，检测清单，各测试结果，调试总结报告等。</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28" w:type="dxa"/>
            <w:shd w:val="clear" w:color="auto" w:fill="auto"/>
            <w:vAlign w:val="center"/>
          </w:tcPr>
          <w:p>
            <w:pPr>
              <w:jc w:val="both"/>
              <w:rPr>
                <w:szCs w:val="21"/>
                <w:lang w:val="en-US" w:eastAsia="zh-CN"/>
              </w:rPr>
            </w:pPr>
            <w:r>
              <w:rPr>
                <w:szCs w:val="21"/>
                <w:lang w:val="en-US" w:eastAsia="zh-CN"/>
              </w:rPr>
              <w:t>使用操作说明书及维护保养说明（即运行及维护手册）3份。</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28" w:type="dxa"/>
            <w:shd w:val="clear" w:color="auto" w:fill="auto"/>
            <w:vAlign w:val="center"/>
          </w:tcPr>
          <w:p>
            <w:pPr>
              <w:jc w:val="both"/>
              <w:rPr>
                <w:szCs w:val="21"/>
                <w:lang w:val="en-US" w:eastAsia="zh-CN"/>
              </w:rPr>
            </w:pPr>
            <w:r>
              <w:rPr>
                <w:szCs w:val="21"/>
                <w:lang w:val="en-US" w:eastAsia="zh-CN"/>
              </w:rPr>
              <w:t>提供设备及其零部件使用寿命清单及大修周期说明。</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28" w:type="dxa"/>
            <w:shd w:val="clear" w:color="auto" w:fill="auto"/>
            <w:vAlign w:val="center"/>
          </w:tcPr>
          <w:p>
            <w:pPr>
              <w:pStyle w:val="47"/>
              <w:spacing w:line="460" w:lineRule="exact"/>
              <w:rPr>
                <w:lang w:eastAsia="zh-CN"/>
              </w:rPr>
            </w:pPr>
            <w:r>
              <w:rPr>
                <w:rFonts w:hint="eastAsia"/>
                <w:sz w:val="21"/>
                <w:szCs w:val="21"/>
                <w:lang w:val="en-US" w:eastAsia="zh-CN"/>
              </w:rPr>
              <w:t>文件具体要求：</w:t>
            </w:r>
          </w:p>
          <w:p>
            <w:pPr>
              <w:pStyle w:val="47"/>
              <w:spacing w:line="460" w:lineRule="exact"/>
              <w:rPr>
                <w:lang w:eastAsia="zh-CN"/>
              </w:rPr>
            </w:pPr>
            <w:r>
              <w:rPr>
                <w:rFonts w:hint="eastAsia"/>
                <w:sz w:val="21"/>
                <w:szCs w:val="21"/>
                <w:lang w:val="en-US" w:eastAsia="zh-CN"/>
              </w:rPr>
              <w:t>（</w:t>
            </w:r>
            <w:r>
              <w:rPr>
                <w:sz w:val="21"/>
                <w:szCs w:val="21"/>
                <w:lang w:val="en-US" w:eastAsia="zh-CN"/>
              </w:rPr>
              <w:t>1</w:t>
            </w:r>
            <w:r>
              <w:rPr>
                <w:rFonts w:hint="eastAsia"/>
                <w:sz w:val="21"/>
                <w:szCs w:val="21"/>
                <w:lang w:val="en-US" w:eastAsia="zh-CN"/>
              </w:rPr>
              <w:t>）系统相关方案中，应明确本系统的配置、规格，并且通过分析阐述每一个系统环节的必要性；</w:t>
            </w:r>
          </w:p>
          <w:p>
            <w:pPr>
              <w:pStyle w:val="47"/>
              <w:spacing w:line="460" w:lineRule="exact"/>
              <w:rPr>
                <w:lang w:eastAsia="zh-CN"/>
              </w:rPr>
            </w:pPr>
            <w:r>
              <w:rPr>
                <w:rFonts w:hint="eastAsia"/>
                <w:sz w:val="21"/>
                <w:szCs w:val="21"/>
                <w:lang w:val="en-US" w:eastAsia="zh-CN"/>
              </w:rPr>
              <w:t>（2）标书中明确系统所有组件的品牌、材质、型号，并且注明每一个组件的保修期。</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permEnd w:id="35"/>
    </w:tbl>
    <w:p>
      <w:pPr>
        <w:rPr>
          <w:szCs w:val="21"/>
          <w:lang w:eastAsia="zh-CN"/>
        </w:rPr>
      </w:pPr>
    </w:p>
    <w:p>
      <w:pPr>
        <w:pStyle w:val="31"/>
        <w:numPr>
          <w:ilvl w:val="0"/>
          <w:numId w:val="3"/>
        </w:numPr>
        <w:spacing w:after="158" w:afterLines="50"/>
        <w:ind w:left="426" w:hanging="426" w:hangingChars="202"/>
        <w:outlineLvl w:val="0"/>
        <w:rPr>
          <w:rFonts w:ascii="Times New Roman" w:hAnsi="Times New Roman"/>
          <w:b/>
        </w:rPr>
      </w:pPr>
      <w:bookmarkStart w:id="44" w:name="_Toc522716125"/>
      <w:r>
        <w:rPr>
          <w:rFonts w:ascii="Times New Roman" w:hAnsi="Times New Roman"/>
          <w:b/>
          <w:szCs w:val="21"/>
        </w:rPr>
        <w:t>服务要求</w:t>
      </w:r>
      <w:bookmarkEnd w:id="44"/>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permStart w:id="36" w:edGrp="everyone"/>
            <w:permEnd w:id="36"/>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ind w:left="426"/>
              <w:rPr>
                <w:szCs w:val="21"/>
                <w:lang w:eastAsia="zh-CN"/>
              </w:rPr>
            </w:pPr>
            <w:r>
              <w:rPr>
                <w:rFonts w:hint="eastAsia"/>
                <w:szCs w:val="21"/>
                <w:lang w:eastAsia="zh-CN"/>
              </w:rPr>
              <w:t>11.1</w:t>
            </w:r>
          </w:p>
        </w:tc>
        <w:tc>
          <w:tcPr>
            <w:tcW w:w="9253" w:type="dxa"/>
            <w:gridSpan w:val="2"/>
            <w:shd w:val="clear" w:color="auto" w:fill="D9D9D9"/>
            <w:vAlign w:val="center"/>
          </w:tcPr>
          <w:p>
            <w:pPr>
              <w:jc w:val="both"/>
              <w:rPr>
                <w:szCs w:val="21"/>
                <w:lang w:eastAsia="zh-CN"/>
              </w:rPr>
            </w:pPr>
            <w:r>
              <w:rPr>
                <w:szCs w:val="21"/>
                <w:lang w:eastAsia="zh-CN"/>
              </w:rPr>
              <w:t xml:space="preserve"> 培训要求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ermStart w:id="37" w:edGrp="everyone"/>
          </w:p>
        </w:tc>
        <w:tc>
          <w:tcPr>
            <w:tcW w:w="7128" w:type="dxa"/>
            <w:shd w:val="clear" w:color="auto" w:fill="auto"/>
            <w:vAlign w:val="center"/>
          </w:tcPr>
          <w:p>
            <w:pPr>
              <w:spacing w:line="276" w:lineRule="auto"/>
              <w:jc w:val="both"/>
              <w:rPr>
                <w:color w:val="0070C0"/>
                <w:szCs w:val="21"/>
                <w:lang w:eastAsia="zh-CN"/>
              </w:rPr>
            </w:pPr>
            <w:r>
              <w:rPr>
                <w:szCs w:val="21"/>
                <w:lang w:val="en-US" w:eastAsia="zh-CN"/>
              </w:rPr>
              <w:t>设备供应商应免费对设备使用方人员进行全面培训，包括对生产操作人员及设备维护、维修人员，并填写培训记录。</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permEnd w:id="3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ermStart w:id="38" w:edGrp="everyone"/>
          </w:p>
        </w:tc>
        <w:tc>
          <w:tcPr>
            <w:tcW w:w="7128" w:type="dxa"/>
            <w:shd w:val="clear" w:color="auto" w:fill="auto"/>
            <w:vAlign w:val="center"/>
          </w:tcPr>
          <w:p>
            <w:pPr>
              <w:spacing w:line="276" w:lineRule="auto"/>
              <w:jc w:val="both"/>
              <w:rPr>
                <w:color w:val="0070C0"/>
                <w:szCs w:val="21"/>
                <w:lang w:eastAsia="zh-CN"/>
              </w:rPr>
            </w:pPr>
            <w:r>
              <w:rPr>
                <w:szCs w:val="21"/>
                <w:lang w:val="en-US" w:eastAsia="zh-CN"/>
              </w:rPr>
              <w:t>生产操作人员培训包括设备结构原理、性能、操作、清洗消毒、故障排除等基本知识。合格标准为用户参加培训人员能够独立正确操作设备，会排除常见故障。</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permEnd w:id="3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ermStart w:id="39" w:edGrp="everyone"/>
          </w:p>
        </w:tc>
        <w:tc>
          <w:tcPr>
            <w:tcW w:w="7128" w:type="dxa"/>
            <w:shd w:val="clear" w:color="auto" w:fill="auto"/>
            <w:vAlign w:val="center"/>
          </w:tcPr>
          <w:p>
            <w:pPr>
              <w:spacing w:line="276" w:lineRule="auto"/>
              <w:jc w:val="both"/>
              <w:rPr>
                <w:color w:val="0070C0"/>
                <w:lang w:eastAsia="zh-CN"/>
              </w:rPr>
            </w:pPr>
            <w:r>
              <w:rPr>
                <w:szCs w:val="21"/>
                <w:lang w:val="en-US" w:eastAsia="zh-CN"/>
              </w:rPr>
              <w:t>设备维护、维修人员培训应包括设备结构原理、基本操作、维修、日常保养内容、故障排除等基本知识。合格标准为维修人员能对机械、电器部分进行基本维修，能够了解设备日常保养内容，能对造成常见故障的易损部件有明确认识。</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permEnd w:id="3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ind w:left="426"/>
              <w:rPr>
                <w:szCs w:val="21"/>
              </w:rPr>
            </w:pPr>
            <w:r>
              <w:rPr>
                <w:rFonts w:hint="eastAsia"/>
                <w:szCs w:val="21"/>
                <w:lang w:eastAsia="zh-CN"/>
              </w:rPr>
              <w:t>11.2</w:t>
            </w:r>
          </w:p>
        </w:tc>
        <w:tc>
          <w:tcPr>
            <w:tcW w:w="9253" w:type="dxa"/>
            <w:gridSpan w:val="2"/>
            <w:shd w:val="clear" w:color="auto" w:fill="D9D9D9"/>
            <w:vAlign w:val="center"/>
          </w:tcPr>
          <w:p>
            <w:pPr>
              <w:jc w:val="both"/>
              <w:rPr>
                <w:szCs w:val="21"/>
                <w:lang w:eastAsia="zh-CN"/>
              </w:rPr>
            </w:pPr>
            <w:r>
              <w:rPr>
                <w:szCs w:val="21"/>
                <w:lang w:eastAsia="zh-CN"/>
              </w:rPr>
              <w:t>运输要求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ermStart w:id="40" w:edGrp="everyone"/>
          </w:p>
        </w:tc>
        <w:tc>
          <w:tcPr>
            <w:tcW w:w="7128" w:type="dxa"/>
            <w:shd w:val="clear" w:color="auto" w:fill="auto"/>
            <w:vAlign w:val="center"/>
          </w:tcPr>
          <w:p>
            <w:pPr>
              <w:spacing w:line="276" w:lineRule="auto"/>
              <w:jc w:val="both"/>
              <w:rPr>
                <w:szCs w:val="21"/>
                <w:lang w:eastAsia="zh-CN"/>
              </w:rPr>
            </w:pPr>
            <w:r>
              <w:rPr>
                <w:szCs w:val="21"/>
                <w:lang w:val="en-US" w:eastAsia="zh-CN"/>
              </w:rPr>
              <w:t>设备运输在运输途中需做好防护措施，不得有任何损伤。</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permEnd w:id="4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ind w:left="426"/>
              <w:rPr>
                <w:szCs w:val="21"/>
              </w:rPr>
            </w:pPr>
            <w:r>
              <w:rPr>
                <w:rFonts w:hint="eastAsia"/>
                <w:szCs w:val="21"/>
                <w:lang w:eastAsia="zh-CN"/>
              </w:rPr>
              <w:t>11.3</w:t>
            </w:r>
          </w:p>
        </w:tc>
        <w:tc>
          <w:tcPr>
            <w:tcW w:w="9253" w:type="dxa"/>
            <w:gridSpan w:val="2"/>
            <w:shd w:val="clear" w:color="auto" w:fill="D9D9D9"/>
            <w:vAlign w:val="center"/>
          </w:tcPr>
          <w:p>
            <w:pPr>
              <w:jc w:val="both"/>
              <w:rPr>
                <w:szCs w:val="21"/>
                <w:lang w:eastAsia="zh-CN"/>
              </w:rPr>
            </w:pPr>
            <w:r>
              <w:rPr>
                <w:szCs w:val="21"/>
                <w:lang w:eastAsia="zh-CN"/>
              </w:rPr>
              <w:t>验证要求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ermStart w:id="41" w:edGrp="everyone"/>
          </w:p>
        </w:tc>
        <w:tc>
          <w:tcPr>
            <w:tcW w:w="7128" w:type="dxa"/>
            <w:shd w:val="clear" w:color="auto" w:fill="auto"/>
            <w:vAlign w:val="center"/>
          </w:tcPr>
          <w:p>
            <w:pPr>
              <w:spacing w:line="276" w:lineRule="auto"/>
              <w:jc w:val="both"/>
              <w:rPr>
                <w:i/>
                <w:szCs w:val="21"/>
                <w:lang w:eastAsia="zh-CN"/>
              </w:rPr>
            </w:pPr>
            <w:r>
              <w:rPr>
                <w:rFonts w:hint="eastAsia"/>
                <w:szCs w:val="21"/>
                <w:lang w:val="en-US" w:eastAsia="zh-CN"/>
              </w:rPr>
              <w:t>验证包括计划、计算机化系统评估、风险评估、DQ、</w:t>
            </w:r>
            <w:r>
              <w:rPr>
                <w:szCs w:val="21"/>
                <w:lang w:val="en-US" w:eastAsia="zh-CN"/>
              </w:rPr>
              <w:t>IQ</w:t>
            </w:r>
            <w:r>
              <w:rPr>
                <w:rFonts w:hint="eastAsia"/>
                <w:szCs w:val="21"/>
                <w:lang w:val="en-US" w:eastAsia="zh-CN"/>
              </w:rPr>
              <w:t>、</w:t>
            </w:r>
            <w:r>
              <w:rPr>
                <w:szCs w:val="21"/>
                <w:lang w:val="en-US" w:eastAsia="zh-CN"/>
              </w:rPr>
              <w:t>OQ</w:t>
            </w:r>
            <w:r>
              <w:rPr>
                <w:rFonts w:hint="eastAsia"/>
                <w:szCs w:val="21"/>
                <w:lang w:val="en-US" w:eastAsia="zh-CN"/>
              </w:rPr>
              <w:t>、PQ文件与服务，供应商必须派出具备该类系统验证经验，且熟悉验证相关文件编写及验证工作实施的验证工程师开展验证工作。供应商完成PQ。</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i/>
                <w:color w:val="0070C0"/>
                <w:szCs w:val="21"/>
                <w:lang w:eastAsia="zh-CN"/>
              </w:rPr>
            </w:pPr>
            <w:r>
              <w:rPr>
                <w:rFonts w:hint="eastAsia"/>
                <w:szCs w:val="21"/>
                <w:lang w:val="en-US" w:eastAsia="zh-CN"/>
              </w:rPr>
              <w:t>各验证工作开始前验证方案需经过本公司相关部门审核，并经质量保证部批准。</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i/>
                <w:color w:val="0070C0"/>
                <w:szCs w:val="21"/>
                <w:lang w:eastAsia="zh-CN"/>
              </w:rPr>
            </w:pPr>
            <w:r>
              <w:rPr>
                <w:rFonts w:hint="eastAsia"/>
                <w:szCs w:val="21"/>
                <w:lang w:val="en-US" w:eastAsia="zh-CN"/>
              </w:rPr>
              <w:t>验证工作应按时保质完成，供应商需提供验证工作计划表。</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i/>
                <w:color w:val="0070C0"/>
                <w:szCs w:val="21"/>
                <w:lang w:eastAsia="zh-CN"/>
              </w:rPr>
            </w:pPr>
            <w:r>
              <w:rPr>
                <w:rFonts w:hint="eastAsia"/>
                <w:szCs w:val="21"/>
                <w:lang w:val="en-US" w:eastAsia="zh-CN"/>
              </w:rPr>
              <w:t>验证项目应包含法规要求的测试项目，以及本公司提出的测试项目。</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i/>
                <w:color w:val="0070C0"/>
                <w:szCs w:val="21"/>
                <w:lang w:eastAsia="zh-CN"/>
              </w:rPr>
            </w:pPr>
            <w:r>
              <w:rPr>
                <w:rFonts w:hint="eastAsia"/>
                <w:szCs w:val="21"/>
                <w:lang w:val="en-US" w:eastAsia="zh-CN"/>
              </w:rPr>
              <w:t>验证工作完成后，验证记录经本公司相关部门审核，并经质量保证部批准。</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lang w:eastAsia="zh-CN"/>
              </w:rPr>
            </w:pPr>
            <w:r>
              <w:rPr>
                <w:rFonts w:hint="eastAsia"/>
                <w:szCs w:val="21"/>
                <w:lang w:val="en-US" w:eastAsia="zh-CN"/>
              </w:rPr>
              <w:t>验收前，验证工作已成功完成，验证最终报告已经本公司相关部门审核，并经质量保证部批准。</w:t>
            </w:r>
          </w:p>
          <w:p>
            <w:pPr>
              <w:spacing w:line="276" w:lineRule="auto"/>
              <w:jc w:val="both"/>
              <w:rPr>
                <w:i/>
                <w:color w:val="0070C0"/>
                <w:szCs w:val="21"/>
                <w:lang w:eastAsia="zh-CN"/>
              </w:rPr>
            </w:pP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permEnd w:id="4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ind w:left="426"/>
              <w:rPr>
                <w:szCs w:val="21"/>
              </w:rPr>
            </w:pPr>
            <w:r>
              <w:rPr>
                <w:rFonts w:hint="eastAsia"/>
                <w:szCs w:val="21"/>
                <w:lang w:eastAsia="zh-CN"/>
              </w:rPr>
              <w:t>11.4</w:t>
            </w:r>
          </w:p>
        </w:tc>
        <w:tc>
          <w:tcPr>
            <w:tcW w:w="9253" w:type="dxa"/>
            <w:gridSpan w:val="2"/>
            <w:shd w:val="clear" w:color="auto" w:fill="D9D9D9"/>
            <w:vAlign w:val="center"/>
          </w:tcPr>
          <w:p>
            <w:pPr>
              <w:jc w:val="both"/>
              <w:rPr>
                <w:szCs w:val="21"/>
                <w:lang w:eastAsia="zh-CN"/>
              </w:rPr>
            </w:pPr>
            <w:r>
              <w:rPr>
                <w:color w:val="000000"/>
                <w:szCs w:val="21"/>
              </w:rPr>
              <w:t>售后服务及备件要求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ermStart w:id="42" w:edGrp="everyone"/>
          </w:p>
        </w:tc>
        <w:tc>
          <w:tcPr>
            <w:tcW w:w="7128" w:type="dxa"/>
            <w:shd w:val="clear" w:color="auto" w:fill="auto"/>
            <w:vAlign w:val="center"/>
          </w:tcPr>
          <w:p>
            <w:pPr>
              <w:spacing w:line="276" w:lineRule="auto"/>
              <w:jc w:val="both"/>
              <w:rPr>
                <w:szCs w:val="21"/>
                <w:lang w:eastAsia="zh-CN"/>
              </w:rPr>
            </w:pPr>
            <w:r>
              <w:rPr>
                <w:szCs w:val="21"/>
                <w:lang w:val="en-US" w:eastAsia="zh-CN"/>
              </w:rPr>
              <w:t>设备保质期从确认验收的阶段就开始计算。</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val="en-US" w:eastAsia="zh-CN"/>
              </w:rPr>
            </w:pPr>
            <w:r>
              <w:rPr>
                <w:szCs w:val="21"/>
                <w:lang w:val="en-US" w:eastAsia="zh-CN"/>
              </w:rPr>
              <w:t>设备质保期为</w:t>
            </w:r>
            <w:r>
              <w:rPr>
                <w:rFonts w:hint="eastAsia"/>
                <w:szCs w:val="21"/>
                <w:lang w:val="en-US" w:eastAsia="zh-CN"/>
              </w:rPr>
              <w:t>一</w:t>
            </w:r>
            <w:r>
              <w:rPr>
                <w:szCs w:val="21"/>
                <w:lang w:val="en-US" w:eastAsia="zh-CN"/>
              </w:rPr>
              <w:t>年，</w:t>
            </w:r>
            <w:r>
              <w:rPr>
                <w:rFonts w:hint="eastAsia"/>
                <w:szCs w:val="21"/>
                <w:lang w:val="en-US" w:eastAsia="zh-CN"/>
              </w:rPr>
              <w:t>一</w:t>
            </w:r>
            <w:r>
              <w:rPr>
                <w:szCs w:val="21"/>
                <w:lang w:val="en-US" w:eastAsia="zh-CN"/>
              </w:rPr>
              <w:t>年内免费保修，</w:t>
            </w:r>
            <w:r>
              <w:rPr>
                <w:rFonts w:hint="eastAsia"/>
                <w:szCs w:val="21"/>
                <w:lang w:val="en-US" w:eastAsia="zh-CN"/>
              </w:rPr>
              <w:t>一</w:t>
            </w:r>
            <w:r>
              <w:rPr>
                <w:szCs w:val="21"/>
                <w:lang w:val="en-US" w:eastAsia="zh-CN"/>
              </w:rPr>
              <w:t>年后应提供良好的售后服务。</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val="en-US" w:eastAsia="zh-CN"/>
              </w:rPr>
            </w:pPr>
            <w:r>
              <w:rPr>
                <w:rFonts w:hint="eastAsia"/>
                <w:szCs w:val="21"/>
                <w:lang w:val="en-US" w:eastAsia="zh-CN"/>
              </w:rPr>
              <w:t>一年内，由于充电器或电源导致无法使用时应免费更换电源。</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val="en-US" w:eastAsia="zh-CN"/>
              </w:rPr>
            </w:pPr>
            <w:r>
              <w:rPr>
                <w:szCs w:val="21"/>
                <w:lang w:val="en-US" w:eastAsia="zh-CN"/>
              </w:rPr>
              <w:t>售后服务必须响应及时，要求设备出现须厂家维修的故障后，应在24小时工作日内明确答复，当电话沟通无法解决时，须48小时工作日内派人至现场解决。</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val="en-US" w:eastAsia="zh-CN"/>
              </w:rPr>
            </w:pPr>
            <w:r>
              <w:rPr>
                <w:rFonts w:hint="eastAsia"/>
                <w:szCs w:val="21"/>
                <w:lang w:val="en-US" w:eastAsia="zh-CN"/>
              </w:rPr>
              <w:t>一</w:t>
            </w:r>
            <w:r>
              <w:rPr>
                <w:szCs w:val="21"/>
                <w:lang w:val="en-US" w:eastAsia="zh-CN"/>
              </w:rPr>
              <w:t>年免费保修期后，厂家应终生提供及时的维修、维护，厂家应定期回访，解决设备运行当中可能出现的疑问，排除潜在故障，使设备保持良好工作状态。</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permEnd w:id="4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ermStart w:id="43" w:edGrp="everyone"/>
          </w:p>
        </w:tc>
        <w:tc>
          <w:tcPr>
            <w:tcW w:w="7128" w:type="dxa"/>
            <w:shd w:val="clear" w:color="auto" w:fill="auto"/>
            <w:vAlign w:val="center"/>
          </w:tcPr>
          <w:p>
            <w:pPr>
              <w:spacing w:line="276" w:lineRule="auto"/>
              <w:jc w:val="both"/>
              <w:rPr>
                <w:szCs w:val="21"/>
                <w:lang w:eastAsia="zh-CN"/>
              </w:rPr>
            </w:pPr>
            <w:r>
              <w:rPr>
                <w:szCs w:val="21"/>
                <w:lang w:val="en-US" w:eastAsia="zh-CN"/>
              </w:rPr>
              <w:t>厂家应提供合格的备件，用于设备相应部件的维修、更换。</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permEnd w:id="4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ind w:left="426"/>
              <w:rPr>
                <w:szCs w:val="21"/>
              </w:rPr>
            </w:pPr>
            <w:r>
              <w:rPr>
                <w:rFonts w:hint="eastAsia"/>
                <w:szCs w:val="21"/>
                <w:lang w:eastAsia="zh-CN"/>
              </w:rPr>
              <w:t>11.5</w:t>
            </w:r>
          </w:p>
        </w:tc>
        <w:tc>
          <w:tcPr>
            <w:tcW w:w="9253" w:type="dxa"/>
            <w:gridSpan w:val="2"/>
            <w:shd w:val="clear" w:color="auto" w:fill="D9D9D9"/>
            <w:vAlign w:val="center"/>
          </w:tcPr>
          <w:p>
            <w:pPr>
              <w:jc w:val="both"/>
              <w:rPr>
                <w:szCs w:val="21"/>
                <w:lang w:eastAsia="zh-CN"/>
              </w:rPr>
            </w:pPr>
            <w:r>
              <w:rPr>
                <w:color w:val="000000"/>
                <w:szCs w:val="21"/>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ermStart w:id="44" w:edGrp="everyone"/>
          </w:p>
        </w:tc>
        <w:tc>
          <w:tcPr>
            <w:tcW w:w="7128" w:type="dxa"/>
            <w:shd w:val="clear" w:color="auto" w:fill="auto"/>
            <w:vAlign w:val="center"/>
          </w:tcPr>
          <w:p>
            <w:pPr>
              <w:spacing w:line="276" w:lineRule="auto"/>
              <w:jc w:val="both"/>
              <w:rPr>
                <w:szCs w:val="21"/>
                <w:lang w:eastAsia="zh-CN"/>
              </w:rPr>
            </w:pPr>
            <w:r>
              <w:rPr>
                <w:szCs w:val="21"/>
                <w:lang w:val="en-US" w:eastAsia="zh-CN"/>
              </w:rPr>
              <w:t>货物到达买方使用现场后，由买卖双方共同验收，卖方工程师免费为买房提供调试。</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szCs w:val="21"/>
                <w:lang w:val="en-US" w:eastAsia="zh-CN"/>
              </w:rPr>
              <w:t>供应商进厂安装需遵守安全和安装规定。</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permEnd w:id="4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8"/>
              </w:numPr>
              <w:ind w:left="470" w:hanging="120" w:firstLineChars="0"/>
              <w:rPr>
                <w:rFonts w:ascii="Times New Roman" w:hAnsi="Times New Roman"/>
                <w:szCs w:val="21"/>
              </w:rPr>
            </w:pPr>
            <w:permStart w:id="45" w:edGrp="everyone"/>
          </w:p>
        </w:tc>
        <w:tc>
          <w:tcPr>
            <w:tcW w:w="7128" w:type="dxa"/>
            <w:shd w:val="clear" w:color="auto" w:fill="auto"/>
            <w:vAlign w:val="center"/>
          </w:tcPr>
          <w:p>
            <w:pPr>
              <w:spacing w:line="276" w:lineRule="auto"/>
              <w:jc w:val="both"/>
              <w:rPr>
                <w:szCs w:val="21"/>
                <w:lang w:eastAsia="zh-CN"/>
              </w:rPr>
            </w:pPr>
            <w:r>
              <w:rPr>
                <w:szCs w:val="21"/>
                <w:lang w:val="en-US" w:eastAsia="zh-CN"/>
              </w:rPr>
              <w:t>确认验收合格后，买卖双方签订验收报告。</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permEnd w:id="45"/>
    </w:tbl>
    <w:p/>
    <w:p>
      <w:pPr>
        <w:pStyle w:val="31"/>
        <w:numPr>
          <w:ilvl w:val="0"/>
          <w:numId w:val="3"/>
        </w:numPr>
        <w:spacing w:after="158" w:afterLines="50"/>
        <w:ind w:left="426" w:hanging="426" w:hangingChars="202"/>
        <w:outlineLvl w:val="0"/>
        <w:rPr>
          <w:rFonts w:ascii="Times New Roman" w:hAnsi="Times New Roman"/>
          <w:b/>
        </w:rPr>
      </w:pPr>
      <w:bookmarkStart w:id="45" w:name="_Toc522716126"/>
      <w:bookmarkStart w:id="46" w:name="_Toc522107746"/>
      <w:r>
        <w:rPr>
          <w:rFonts w:ascii="Times New Roman" w:hAnsi="Times New Roman"/>
          <w:b/>
        </w:rPr>
        <w:t>附件</w:t>
      </w:r>
      <w:bookmarkEnd w:id="45"/>
      <w:bookmarkEnd w:id="46"/>
    </w:p>
    <w:bookmarkEnd w:id="29"/>
    <w:bookmarkEnd w:id="30"/>
    <w:bookmarkEnd w:id="31"/>
    <w:bookmarkEnd w:id="32"/>
    <w:bookmarkEnd w:id="33"/>
    <w:bookmarkEnd w:id="34"/>
    <w:bookmarkEnd w:id="35"/>
    <w:bookmarkEnd w:id="36"/>
    <w:bookmarkEnd w:id="37"/>
    <w:bookmarkEnd w:id="38"/>
    <w:bookmarkEnd w:id="39"/>
    <w:bookmarkEnd w:id="40"/>
    <w:p>
      <w:pPr>
        <w:pStyle w:val="48"/>
        <w:spacing w:after="158"/>
      </w:pPr>
      <w:permStart w:id="46" w:edGrp="everyone"/>
      <w:r>
        <w:rPr>
          <w:rFonts w:ascii="Times New Roman" w:hAnsi="Times New Roman" w:cs="Times New Roman"/>
          <w:b/>
          <w:bCs/>
        </w:rPr>
        <w:t>配制清单：</w:t>
      </w:r>
    </w:p>
    <w:tbl>
      <w:tblPr>
        <w:tblStyle w:val="19"/>
        <w:tblW w:w="0" w:type="auto"/>
        <w:tblInd w:w="-5" w:type="dxa"/>
        <w:tblLayout w:type="fixed"/>
        <w:tblCellMar>
          <w:top w:w="0" w:type="dxa"/>
          <w:left w:w="108" w:type="dxa"/>
          <w:bottom w:w="0" w:type="dxa"/>
          <w:right w:w="108" w:type="dxa"/>
        </w:tblCellMar>
      </w:tblPr>
      <w:tblGrid>
        <w:gridCol w:w="2940"/>
        <w:gridCol w:w="2940"/>
        <w:gridCol w:w="2950"/>
      </w:tblGrid>
      <w:tr>
        <w:tblPrEx>
          <w:tblCellMar>
            <w:top w:w="0" w:type="dxa"/>
            <w:left w:w="108" w:type="dxa"/>
            <w:bottom w:w="0" w:type="dxa"/>
            <w:right w:w="108" w:type="dxa"/>
          </w:tblCellMar>
        </w:tblPrEx>
        <w:trPr>
          <w:trHeight w:val="478" w:hRule="atLeast"/>
        </w:trPr>
        <w:tc>
          <w:tcPr>
            <w:tcW w:w="2940" w:type="dxa"/>
            <w:tcBorders>
              <w:top w:val="single" w:color="000000" w:sz="4" w:space="0"/>
              <w:left w:val="single" w:color="000000" w:sz="4" w:space="0"/>
              <w:bottom w:val="single" w:color="000000" w:sz="4" w:space="0"/>
              <w:right w:val="single" w:color="000000" w:sz="4" w:space="0"/>
            </w:tcBorders>
          </w:tcPr>
          <w:p>
            <w:pPr>
              <w:pStyle w:val="47"/>
              <w:spacing w:line="460" w:lineRule="exact"/>
              <w:jc w:val="center"/>
            </w:pPr>
            <w:r>
              <w:rPr>
                <w:rFonts w:hint="eastAsia" w:ascii="宋体" w:hAnsi="宋体" w:cs="宋体"/>
                <w:color w:val="000000"/>
                <w:sz w:val="24"/>
                <w:lang w:val="en-US" w:eastAsia="zh-CN"/>
              </w:rPr>
              <w:t>配制</w:t>
            </w:r>
          </w:p>
        </w:tc>
        <w:tc>
          <w:tcPr>
            <w:tcW w:w="2940" w:type="dxa"/>
            <w:tcBorders>
              <w:top w:val="single" w:color="000000" w:sz="4" w:space="0"/>
              <w:left w:val="single" w:color="000000" w:sz="4" w:space="0"/>
              <w:bottom w:val="single" w:color="000000" w:sz="4" w:space="0"/>
              <w:right w:val="single" w:color="000000" w:sz="4" w:space="0"/>
            </w:tcBorders>
          </w:tcPr>
          <w:p>
            <w:pPr>
              <w:pStyle w:val="47"/>
              <w:spacing w:line="460" w:lineRule="exact"/>
              <w:jc w:val="center"/>
            </w:pPr>
            <w:r>
              <w:rPr>
                <w:rFonts w:hint="eastAsia" w:ascii="宋体" w:hAnsi="宋体" w:cs="宋体"/>
                <w:color w:val="000000"/>
                <w:sz w:val="24"/>
                <w:lang w:val="en-US" w:eastAsia="zh-CN"/>
              </w:rPr>
              <w:t>个数</w:t>
            </w:r>
          </w:p>
        </w:tc>
        <w:tc>
          <w:tcPr>
            <w:tcW w:w="2950" w:type="dxa"/>
            <w:tcBorders>
              <w:top w:val="single" w:color="000000" w:sz="4" w:space="0"/>
              <w:left w:val="single" w:color="000000" w:sz="4" w:space="0"/>
              <w:bottom w:val="single" w:color="000000" w:sz="4" w:space="0"/>
              <w:right w:val="single" w:color="000000" w:sz="4" w:space="0"/>
            </w:tcBorders>
          </w:tcPr>
          <w:p>
            <w:pPr>
              <w:pStyle w:val="47"/>
              <w:spacing w:line="460" w:lineRule="exact"/>
              <w:jc w:val="center"/>
            </w:pPr>
            <w:r>
              <w:rPr>
                <w:rFonts w:hint="eastAsia" w:ascii="宋体" w:hAnsi="宋体" w:cs="宋体"/>
                <w:color w:val="000000"/>
                <w:sz w:val="24"/>
                <w:lang w:val="en-US" w:eastAsia="zh-CN"/>
              </w:rPr>
              <w:t>备注</w:t>
            </w:r>
          </w:p>
        </w:tc>
      </w:tr>
      <w:tr>
        <w:tblPrEx>
          <w:tblCellMar>
            <w:top w:w="0" w:type="dxa"/>
            <w:left w:w="108" w:type="dxa"/>
            <w:bottom w:w="0" w:type="dxa"/>
            <w:right w:w="108" w:type="dxa"/>
          </w:tblCellMar>
        </w:tblPrEx>
        <w:trPr>
          <w:trHeight w:val="478" w:hRule="atLeast"/>
        </w:trPr>
        <w:tc>
          <w:tcPr>
            <w:tcW w:w="2940" w:type="dxa"/>
            <w:tcBorders>
              <w:top w:val="single" w:color="000000" w:sz="4" w:space="0"/>
              <w:left w:val="single" w:color="000000" w:sz="4" w:space="0"/>
              <w:bottom w:val="single" w:color="000000" w:sz="4" w:space="0"/>
              <w:right w:val="single" w:color="000000" w:sz="4" w:space="0"/>
            </w:tcBorders>
          </w:tcPr>
          <w:p>
            <w:pPr>
              <w:pStyle w:val="47"/>
              <w:spacing w:line="460" w:lineRule="exact"/>
              <w:jc w:val="center"/>
            </w:pPr>
            <w:r>
              <w:rPr>
                <w:rFonts w:hint="eastAsia" w:ascii="宋体" w:hAnsi="宋体" w:cs="宋体"/>
                <w:color w:val="000000"/>
                <w:sz w:val="24"/>
                <w:lang w:val="en-US" w:eastAsia="zh-CN"/>
              </w:rPr>
              <w:t>主机</w:t>
            </w:r>
          </w:p>
        </w:tc>
        <w:tc>
          <w:tcPr>
            <w:tcW w:w="2940" w:type="dxa"/>
            <w:tcBorders>
              <w:top w:val="single" w:color="000000" w:sz="4" w:space="0"/>
              <w:left w:val="single" w:color="000000" w:sz="4" w:space="0"/>
              <w:bottom w:val="single" w:color="000000" w:sz="4" w:space="0"/>
              <w:right w:val="single" w:color="000000" w:sz="4" w:space="0"/>
            </w:tcBorders>
          </w:tcPr>
          <w:p>
            <w:pPr>
              <w:pStyle w:val="47"/>
              <w:spacing w:line="460" w:lineRule="exact"/>
              <w:jc w:val="center"/>
            </w:pPr>
            <w:r>
              <w:rPr>
                <w:rFonts w:hint="eastAsia" w:ascii="宋体" w:hAnsi="宋体" w:cs="宋体"/>
                <w:color w:val="000000"/>
                <w:sz w:val="24"/>
                <w:lang w:val="en-US" w:eastAsia="zh-CN"/>
              </w:rPr>
              <w:t>1</w:t>
            </w:r>
          </w:p>
        </w:tc>
        <w:tc>
          <w:tcPr>
            <w:tcW w:w="2950" w:type="dxa"/>
            <w:tcBorders>
              <w:top w:val="single" w:color="000000" w:sz="4" w:space="0"/>
              <w:left w:val="single" w:color="000000" w:sz="4" w:space="0"/>
              <w:bottom w:val="single" w:color="000000" w:sz="4" w:space="0"/>
              <w:right w:val="single" w:color="000000" w:sz="4" w:space="0"/>
            </w:tcBorders>
          </w:tcPr>
          <w:p>
            <w:pPr>
              <w:pStyle w:val="47"/>
              <w:spacing w:line="460" w:lineRule="exact"/>
              <w:jc w:val="center"/>
            </w:pPr>
            <w:r>
              <w:rPr>
                <w:rFonts w:hint="eastAsia" w:ascii="宋体" w:hAnsi="宋体" w:cs="宋体"/>
                <w:color w:val="000000"/>
                <w:sz w:val="24"/>
                <w:lang w:val="en-US" w:eastAsia="zh-CN"/>
              </w:rPr>
              <w:t>/</w:t>
            </w:r>
          </w:p>
        </w:tc>
      </w:tr>
      <w:tr>
        <w:tblPrEx>
          <w:tblCellMar>
            <w:top w:w="0" w:type="dxa"/>
            <w:left w:w="108" w:type="dxa"/>
            <w:bottom w:w="0" w:type="dxa"/>
            <w:right w:w="108" w:type="dxa"/>
          </w:tblCellMar>
        </w:tblPrEx>
        <w:trPr>
          <w:trHeight w:val="478" w:hRule="atLeast"/>
        </w:trPr>
        <w:tc>
          <w:tcPr>
            <w:tcW w:w="2940" w:type="dxa"/>
            <w:tcBorders>
              <w:top w:val="single" w:color="000000" w:sz="4" w:space="0"/>
              <w:left w:val="single" w:color="000000" w:sz="4" w:space="0"/>
              <w:bottom w:val="single" w:color="000000" w:sz="4" w:space="0"/>
              <w:right w:val="single" w:color="000000" w:sz="4" w:space="0"/>
            </w:tcBorders>
          </w:tcPr>
          <w:p>
            <w:pPr>
              <w:pStyle w:val="47"/>
              <w:spacing w:line="460" w:lineRule="exact"/>
              <w:jc w:val="center"/>
            </w:pPr>
            <w:r>
              <w:rPr>
                <w:rFonts w:hint="eastAsia" w:ascii="宋体" w:hAnsi="宋体" w:cs="宋体"/>
                <w:color w:val="000000"/>
                <w:sz w:val="24"/>
                <w:lang w:val="en-US" w:eastAsia="zh-CN"/>
              </w:rPr>
              <w:t>电源适配器</w:t>
            </w:r>
          </w:p>
        </w:tc>
        <w:tc>
          <w:tcPr>
            <w:tcW w:w="2940" w:type="dxa"/>
            <w:tcBorders>
              <w:top w:val="single" w:color="000000" w:sz="4" w:space="0"/>
              <w:left w:val="single" w:color="000000" w:sz="4" w:space="0"/>
              <w:bottom w:val="single" w:color="000000" w:sz="4" w:space="0"/>
              <w:right w:val="single" w:color="000000" w:sz="4" w:space="0"/>
            </w:tcBorders>
          </w:tcPr>
          <w:p>
            <w:pPr>
              <w:pStyle w:val="47"/>
              <w:spacing w:line="460" w:lineRule="exact"/>
              <w:jc w:val="center"/>
            </w:pPr>
            <w:r>
              <w:rPr>
                <w:rFonts w:hint="eastAsia" w:ascii="宋体" w:hAnsi="宋体" w:cs="宋体"/>
                <w:color w:val="000000"/>
                <w:sz w:val="24"/>
                <w:lang w:val="en-US" w:eastAsia="zh-CN"/>
              </w:rPr>
              <w:t>2</w:t>
            </w:r>
          </w:p>
        </w:tc>
        <w:tc>
          <w:tcPr>
            <w:tcW w:w="2950" w:type="dxa"/>
            <w:tcBorders>
              <w:top w:val="single" w:color="000000" w:sz="4" w:space="0"/>
              <w:left w:val="single" w:color="000000" w:sz="4" w:space="0"/>
              <w:bottom w:val="single" w:color="000000" w:sz="4" w:space="0"/>
              <w:right w:val="single" w:color="000000" w:sz="4" w:space="0"/>
            </w:tcBorders>
          </w:tcPr>
          <w:p>
            <w:pPr>
              <w:pStyle w:val="47"/>
              <w:spacing w:line="460" w:lineRule="exact"/>
              <w:jc w:val="center"/>
            </w:pPr>
            <w:r>
              <w:rPr>
                <w:rFonts w:hint="eastAsia" w:ascii="宋体" w:hAnsi="宋体" w:cs="宋体"/>
                <w:color w:val="000000"/>
                <w:sz w:val="24"/>
                <w:lang w:val="en-US" w:eastAsia="zh-CN"/>
              </w:rPr>
              <w:t>1主1备</w:t>
            </w:r>
          </w:p>
        </w:tc>
      </w:tr>
      <w:tr>
        <w:tblPrEx>
          <w:tblCellMar>
            <w:top w:w="0" w:type="dxa"/>
            <w:left w:w="108" w:type="dxa"/>
            <w:bottom w:w="0" w:type="dxa"/>
            <w:right w:w="108" w:type="dxa"/>
          </w:tblCellMar>
        </w:tblPrEx>
        <w:trPr>
          <w:trHeight w:val="478" w:hRule="atLeast"/>
        </w:trPr>
        <w:tc>
          <w:tcPr>
            <w:tcW w:w="2940" w:type="dxa"/>
            <w:tcBorders>
              <w:top w:val="single" w:color="000000" w:sz="4" w:space="0"/>
              <w:left w:val="single" w:color="000000" w:sz="4" w:space="0"/>
              <w:bottom w:val="single" w:color="000000" w:sz="4" w:space="0"/>
              <w:right w:val="single" w:color="000000" w:sz="4" w:space="0"/>
            </w:tcBorders>
          </w:tcPr>
          <w:p>
            <w:pPr>
              <w:pStyle w:val="47"/>
              <w:spacing w:line="460" w:lineRule="exact"/>
              <w:jc w:val="center"/>
              <w:rPr>
                <w:rFonts w:ascii="宋体" w:hAnsi="宋体" w:cs="宋体"/>
                <w:color w:val="000000"/>
                <w:sz w:val="24"/>
                <w:lang w:val="en-US" w:eastAsia="zh-CN"/>
              </w:rPr>
            </w:pPr>
            <w:r>
              <w:rPr>
                <w:rFonts w:hint="eastAsia" w:ascii="宋体" w:hAnsi="宋体" w:cs="宋体"/>
                <w:color w:val="000000"/>
                <w:sz w:val="24"/>
                <w:lang w:val="en-US" w:eastAsia="zh-CN"/>
              </w:rPr>
              <w:t>可充电电池</w:t>
            </w:r>
          </w:p>
        </w:tc>
        <w:tc>
          <w:tcPr>
            <w:tcW w:w="2940" w:type="dxa"/>
            <w:tcBorders>
              <w:top w:val="single" w:color="000000" w:sz="4" w:space="0"/>
              <w:left w:val="single" w:color="000000" w:sz="4" w:space="0"/>
              <w:bottom w:val="single" w:color="000000" w:sz="4" w:space="0"/>
              <w:right w:val="single" w:color="000000" w:sz="4" w:space="0"/>
            </w:tcBorders>
          </w:tcPr>
          <w:p>
            <w:pPr>
              <w:pStyle w:val="47"/>
              <w:spacing w:line="460" w:lineRule="exact"/>
              <w:jc w:val="center"/>
              <w:rPr>
                <w:rFonts w:ascii="宋体" w:hAnsi="宋体" w:cs="宋体"/>
                <w:color w:val="000000"/>
                <w:sz w:val="24"/>
                <w:lang w:val="en-US" w:eastAsia="zh-CN"/>
              </w:rPr>
            </w:pPr>
            <w:r>
              <w:rPr>
                <w:rFonts w:hint="eastAsia" w:ascii="宋体" w:hAnsi="宋体" w:cs="宋体"/>
                <w:color w:val="000000"/>
                <w:sz w:val="24"/>
                <w:lang w:val="en-US" w:eastAsia="zh-CN"/>
              </w:rPr>
              <w:t>2</w:t>
            </w:r>
          </w:p>
        </w:tc>
        <w:tc>
          <w:tcPr>
            <w:tcW w:w="2950" w:type="dxa"/>
            <w:tcBorders>
              <w:top w:val="single" w:color="000000" w:sz="4" w:space="0"/>
              <w:left w:val="single" w:color="000000" w:sz="4" w:space="0"/>
              <w:bottom w:val="single" w:color="000000" w:sz="4" w:space="0"/>
              <w:right w:val="single" w:color="000000" w:sz="4" w:space="0"/>
            </w:tcBorders>
          </w:tcPr>
          <w:p>
            <w:pPr>
              <w:pStyle w:val="47"/>
              <w:spacing w:line="460" w:lineRule="exact"/>
              <w:jc w:val="center"/>
              <w:rPr>
                <w:rFonts w:ascii="宋体" w:hAnsi="宋体" w:cs="宋体"/>
                <w:color w:val="000000"/>
                <w:sz w:val="24"/>
                <w:lang w:val="en-US" w:eastAsia="zh-CN"/>
              </w:rPr>
            </w:pPr>
            <w:r>
              <w:rPr>
                <w:rFonts w:hint="eastAsia" w:ascii="宋体" w:hAnsi="宋体" w:cs="宋体"/>
                <w:color w:val="000000"/>
                <w:sz w:val="24"/>
                <w:lang w:val="en-US" w:eastAsia="zh-CN"/>
              </w:rPr>
              <w:t>1主1备</w:t>
            </w:r>
          </w:p>
        </w:tc>
      </w:tr>
      <w:tr>
        <w:tblPrEx>
          <w:tblCellMar>
            <w:top w:w="0" w:type="dxa"/>
            <w:left w:w="108" w:type="dxa"/>
            <w:bottom w:w="0" w:type="dxa"/>
            <w:right w:w="108" w:type="dxa"/>
          </w:tblCellMar>
        </w:tblPrEx>
        <w:trPr>
          <w:trHeight w:val="478" w:hRule="atLeast"/>
        </w:trPr>
        <w:tc>
          <w:tcPr>
            <w:tcW w:w="2940" w:type="dxa"/>
            <w:tcBorders>
              <w:top w:val="single" w:color="000000" w:sz="4" w:space="0"/>
              <w:left w:val="single" w:color="000000" w:sz="4" w:space="0"/>
              <w:bottom w:val="single" w:color="000000" w:sz="4" w:space="0"/>
              <w:right w:val="single" w:color="000000" w:sz="4" w:space="0"/>
            </w:tcBorders>
          </w:tcPr>
          <w:p>
            <w:pPr>
              <w:pStyle w:val="47"/>
              <w:spacing w:line="460" w:lineRule="exact"/>
              <w:jc w:val="center"/>
            </w:pPr>
            <w:r>
              <w:rPr>
                <w:rFonts w:hint="eastAsia" w:ascii="宋体" w:hAnsi="宋体" w:cs="宋体"/>
                <w:color w:val="000000"/>
                <w:sz w:val="24"/>
                <w:lang w:val="en-US" w:eastAsia="zh-CN"/>
              </w:rPr>
              <w:t>仪器箱</w:t>
            </w:r>
          </w:p>
        </w:tc>
        <w:tc>
          <w:tcPr>
            <w:tcW w:w="2940" w:type="dxa"/>
            <w:tcBorders>
              <w:top w:val="single" w:color="000000" w:sz="4" w:space="0"/>
              <w:left w:val="single" w:color="000000" w:sz="4" w:space="0"/>
              <w:bottom w:val="single" w:color="000000" w:sz="4" w:space="0"/>
              <w:right w:val="single" w:color="000000" w:sz="4" w:space="0"/>
            </w:tcBorders>
          </w:tcPr>
          <w:p>
            <w:pPr>
              <w:pStyle w:val="47"/>
              <w:spacing w:line="460" w:lineRule="exact"/>
              <w:jc w:val="center"/>
            </w:pPr>
            <w:r>
              <w:rPr>
                <w:rFonts w:hint="eastAsia" w:ascii="宋体" w:hAnsi="宋体" w:cs="宋体"/>
                <w:color w:val="000000"/>
                <w:sz w:val="24"/>
                <w:lang w:val="en-US" w:eastAsia="zh-CN"/>
              </w:rPr>
              <w:t>1</w:t>
            </w:r>
          </w:p>
        </w:tc>
        <w:tc>
          <w:tcPr>
            <w:tcW w:w="2950" w:type="dxa"/>
            <w:tcBorders>
              <w:top w:val="single" w:color="000000" w:sz="4" w:space="0"/>
              <w:left w:val="single" w:color="000000" w:sz="4" w:space="0"/>
              <w:bottom w:val="single" w:color="000000" w:sz="4" w:space="0"/>
              <w:right w:val="single" w:color="000000" w:sz="4" w:space="0"/>
            </w:tcBorders>
          </w:tcPr>
          <w:p>
            <w:pPr>
              <w:pStyle w:val="47"/>
              <w:spacing w:line="460" w:lineRule="exact"/>
              <w:jc w:val="center"/>
            </w:pPr>
            <w:r>
              <w:rPr>
                <w:rFonts w:hint="eastAsia" w:ascii="宋体" w:hAnsi="宋体" w:cs="宋体"/>
                <w:color w:val="000000"/>
                <w:sz w:val="24"/>
                <w:lang w:val="en-US" w:eastAsia="zh-CN"/>
              </w:rPr>
              <w:t>/</w:t>
            </w:r>
          </w:p>
        </w:tc>
      </w:tr>
      <w:tr>
        <w:tblPrEx>
          <w:tblCellMar>
            <w:top w:w="0" w:type="dxa"/>
            <w:left w:w="108" w:type="dxa"/>
            <w:bottom w:w="0" w:type="dxa"/>
            <w:right w:w="108" w:type="dxa"/>
          </w:tblCellMar>
        </w:tblPrEx>
        <w:trPr>
          <w:trHeight w:val="478" w:hRule="atLeast"/>
        </w:trPr>
        <w:tc>
          <w:tcPr>
            <w:tcW w:w="2940" w:type="dxa"/>
            <w:tcBorders>
              <w:top w:val="single" w:color="000000" w:sz="4" w:space="0"/>
              <w:left w:val="single" w:color="000000" w:sz="4" w:space="0"/>
              <w:bottom w:val="single" w:color="000000" w:sz="4" w:space="0"/>
              <w:right w:val="single" w:color="000000" w:sz="4" w:space="0"/>
            </w:tcBorders>
          </w:tcPr>
          <w:p>
            <w:pPr>
              <w:pStyle w:val="47"/>
              <w:spacing w:line="460" w:lineRule="exact"/>
              <w:jc w:val="center"/>
            </w:pPr>
            <w:r>
              <w:rPr>
                <w:rFonts w:hint="eastAsia" w:ascii="宋体" w:hAnsi="宋体" w:cs="宋体"/>
                <w:color w:val="000000"/>
                <w:sz w:val="24"/>
                <w:lang w:val="en-US" w:eastAsia="zh-CN"/>
              </w:rPr>
              <w:t>说明书</w:t>
            </w:r>
          </w:p>
        </w:tc>
        <w:tc>
          <w:tcPr>
            <w:tcW w:w="2940" w:type="dxa"/>
            <w:tcBorders>
              <w:top w:val="single" w:color="000000" w:sz="4" w:space="0"/>
              <w:left w:val="single" w:color="000000" w:sz="4" w:space="0"/>
              <w:bottom w:val="single" w:color="000000" w:sz="4" w:space="0"/>
              <w:right w:val="single" w:color="000000" w:sz="4" w:space="0"/>
            </w:tcBorders>
          </w:tcPr>
          <w:p>
            <w:pPr>
              <w:pStyle w:val="47"/>
              <w:spacing w:line="460" w:lineRule="exact"/>
              <w:jc w:val="center"/>
            </w:pPr>
            <w:r>
              <w:rPr>
                <w:rFonts w:hint="eastAsia" w:ascii="宋体" w:hAnsi="宋体" w:cs="宋体"/>
                <w:color w:val="000000"/>
                <w:sz w:val="24"/>
                <w:lang w:val="en-US" w:eastAsia="zh-CN"/>
              </w:rPr>
              <w:t>1</w:t>
            </w:r>
          </w:p>
        </w:tc>
        <w:tc>
          <w:tcPr>
            <w:tcW w:w="2950" w:type="dxa"/>
            <w:tcBorders>
              <w:top w:val="single" w:color="000000" w:sz="4" w:space="0"/>
              <w:left w:val="single" w:color="000000" w:sz="4" w:space="0"/>
              <w:bottom w:val="single" w:color="000000" w:sz="4" w:space="0"/>
              <w:right w:val="single" w:color="000000" w:sz="4" w:space="0"/>
            </w:tcBorders>
          </w:tcPr>
          <w:p>
            <w:pPr>
              <w:pStyle w:val="47"/>
              <w:spacing w:line="460" w:lineRule="exact"/>
              <w:jc w:val="center"/>
            </w:pPr>
            <w:r>
              <w:rPr>
                <w:rFonts w:hint="eastAsia" w:ascii="宋体" w:hAnsi="宋体" w:cs="宋体"/>
                <w:color w:val="000000"/>
                <w:sz w:val="24"/>
                <w:lang w:val="en-US" w:eastAsia="zh-CN"/>
              </w:rPr>
              <w:t>/</w:t>
            </w:r>
          </w:p>
        </w:tc>
      </w:tr>
      <w:tr>
        <w:tblPrEx>
          <w:tblCellMar>
            <w:top w:w="0" w:type="dxa"/>
            <w:left w:w="108" w:type="dxa"/>
            <w:bottom w:w="0" w:type="dxa"/>
            <w:right w:w="108" w:type="dxa"/>
          </w:tblCellMar>
        </w:tblPrEx>
        <w:trPr>
          <w:trHeight w:val="488" w:hRule="atLeast"/>
        </w:trPr>
        <w:tc>
          <w:tcPr>
            <w:tcW w:w="2940" w:type="dxa"/>
            <w:tcBorders>
              <w:top w:val="single" w:color="000000" w:sz="4" w:space="0"/>
              <w:left w:val="single" w:color="000000" w:sz="4" w:space="0"/>
              <w:bottom w:val="single" w:color="000000" w:sz="4" w:space="0"/>
              <w:right w:val="single" w:color="000000" w:sz="4" w:space="0"/>
            </w:tcBorders>
          </w:tcPr>
          <w:p>
            <w:pPr>
              <w:pStyle w:val="47"/>
              <w:spacing w:line="460" w:lineRule="exact"/>
              <w:jc w:val="center"/>
            </w:pPr>
            <w:r>
              <w:rPr>
                <w:rFonts w:hint="eastAsia" w:ascii="宋体" w:hAnsi="宋体" w:cs="宋体"/>
                <w:color w:val="000000"/>
                <w:sz w:val="24"/>
                <w:lang w:val="en-US" w:eastAsia="zh-CN"/>
              </w:rPr>
              <w:t>合格证</w:t>
            </w:r>
          </w:p>
        </w:tc>
        <w:tc>
          <w:tcPr>
            <w:tcW w:w="2940" w:type="dxa"/>
            <w:tcBorders>
              <w:top w:val="single" w:color="000000" w:sz="4" w:space="0"/>
              <w:left w:val="single" w:color="000000" w:sz="4" w:space="0"/>
              <w:bottom w:val="single" w:color="000000" w:sz="4" w:space="0"/>
              <w:right w:val="single" w:color="000000" w:sz="4" w:space="0"/>
            </w:tcBorders>
          </w:tcPr>
          <w:p>
            <w:pPr>
              <w:pStyle w:val="47"/>
              <w:spacing w:line="460" w:lineRule="exact"/>
              <w:jc w:val="center"/>
            </w:pPr>
            <w:r>
              <w:rPr>
                <w:rFonts w:hint="eastAsia" w:ascii="宋体" w:hAnsi="宋体" w:cs="宋体"/>
                <w:color w:val="000000"/>
                <w:sz w:val="24"/>
                <w:lang w:val="en-US" w:eastAsia="zh-CN"/>
              </w:rPr>
              <w:t>1</w:t>
            </w:r>
          </w:p>
        </w:tc>
        <w:tc>
          <w:tcPr>
            <w:tcW w:w="2950" w:type="dxa"/>
            <w:tcBorders>
              <w:top w:val="single" w:color="000000" w:sz="4" w:space="0"/>
              <w:left w:val="single" w:color="000000" w:sz="4" w:space="0"/>
              <w:bottom w:val="single" w:color="000000" w:sz="4" w:space="0"/>
              <w:right w:val="single" w:color="000000" w:sz="4" w:space="0"/>
            </w:tcBorders>
          </w:tcPr>
          <w:p>
            <w:pPr>
              <w:pStyle w:val="47"/>
              <w:spacing w:line="460" w:lineRule="exact"/>
              <w:jc w:val="center"/>
            </w:pPr>
            <w:r>
              <w:rPr>
                <w:rFonts w:hint="eastAsia" w:ascii="宋体" w:hAnsi="宋体" w:cs="宋体"/>
                <w:color w:val="000000"/>
                <w:sz w:val="24"/>
                <w:lang w:val="en-US" w:eastAsia="zh-CN"/>
              </w:rPr>
              <w:t>/</w:t>
            </w:r>
          </w:p>
        </w:tc>
      </w:tr>
      <w:tr>
        <w:tblPrEx>
          <w:tblCellMar>
            <w:top w:w="0" w:type="dxa"/>
            <w:left w:w="108" w:type="dxa"/>
            <w:bottom w:w="0" w:type="dxa"/>
            <w:right w:w="108" w:type="dxa"/>
          </w:tblCellMar>
        </w:tblPrEx>
        <w:trPr>
          <w:trHeight w:val="488" w:hRule="atLeast"/>
        </w:trPr>
        <w:tc>
          <w:tcPr>
            <w:tcW w:w="2940" w:type="dxa"/>
            <w:tcBorders>
              <w:top w:val="single" w:color="000000" w:sz="4" w:space="0"/>
              <w:left w:val="single" w:color="000000" w:sz="4" w:space="0"/>
              <w:bottom w:val="single" w:color="000000" w:sz="4" w:space="0"/>
              <w:right w:val="single" w:color="000000" w:sz="4" w:space="0"/>
            </w:tcBorders>
          </w:tcPr>
          <w:p>
            <w:pPr>
              <w:pStyle w:val="47"/>
              <w:spacing w:line="460" w:lineRule="exact"/>
              <w:jc w:val="center"/>
              <w:rPr>
                <w:lang w:eastAsia="zh-CN"/>
              </w:rPr>
            </w:pPr>
            <w:r>
              <w:rPr>
                <w:rFonts w:hint="eastAsia" w:ascii="宋体" w:hAnsi="宋体" w:cs="宋体"/>
                <w:color w:val="000000"/>
                <w:sz w:val="24"/>
                <w:lang w:val="en-US" w:eastAsia="zh-CN"/>
              </w:rPr>
              <w:t>第三方校验报告(计量证书）</w:t>
            </w:r>
          </w:p>
        </w:tc>
        <w:tc>
          <w:tcPr>
            <w:tcW w:w="2940" w:type="dxa"/>
            <w:tcBorders>
              <w:top w:val="single" w:color="000000" w:sz="4" w:space="0"/>
              <w:left w:val="single" w:color="000000" w:sz="4" w:space="0"/>
              <w:bottom w:val="single" w:color="000000" w:sz="4" w:space="0"/>
              <w:right w:val="single" w:color="000000" w:sz="4" w:space="0"/>
            </w:tcBorders>
          </w:tcPr>
          <w:p>
            <w:pPr>
              <w:pStyle w:val="47"/>
              <w:spacing w:line="460" w:lineRule="exact"/>
              <w:jc w:val="center"/>
            </w:pPr>
            <w:r>
              <w:rPr>
                <w:rFonts w:hint="eastAsia" w:ascii="宋体" w:hAnsi="宋体" w:cs="宋体"/>
                <w:color w:val="000000"/>
                <w:sz w:val="24"/>
                <w:lang w:val="en-US" w:eastAsia="zh-CN"/>
              </w:rPr>
              <w:t>1</w:t>
            </w:r>
          </w:p>
        </w:tc>
        <w:tc>
          <w:tcPr>
            <w:tcW w:w="2950" w:type="dxa"/>
            <w:tcBorders>
              <w:top w:val="single" w:color="000000" w:sz="4" w:space="0"/>
              <w:left w:val="single" w:color="000000" w:sz="4" w:space="0"/>
              <w:bottom w:val="single" w:color="000000" w:sz="4" w:space="0"/>
              <w:right w:val="single" w:color="000000" w:sz="4" w:space="0"/>
            </w:tcBorders>
          </w:tcPr>
          <w:p>
            <w:pPr>
              <w:pStyle w:val="47"/>
              <w:spacing w:line="460" w:lineRule="exact"/>
              <w:jc w:val="center"/>
            </w:pPr>
            <w:r>
              <w:rPr>
                <w:rFonts w:hint="eastAsia" w:ascii="宋体" w:hAnsi="宋体" w:cs="宋体"/>
                <w:color w:val="000000"/>
                <w:sz w:val="24"/>
                <w:lang w:val="en-US" w:eastAsia="zh-CN"/>
              </w:rPr>
              <w:t>/</w:t>
            </w:r>
          </w:p>
        </w:tc>
      </w:tr>
      <w:tr>
        <w:tblPrEx>
          <w:tblCellMar>
            <w:top w:w="0" w:type="dxa"/>
            <w:left w:w="108" w:type="dxa"/>
            <w:bottom w:w="0" w:type="dxa"/>
            <w:right w:w="108" w:type="dxa"/>
          </w:tblCellMar>
        </w:tblPrEx>
        <w:trPr>
          <w:trHeight w:val="488" w:hRule="atLeast"/>
        </w:trPr>
        <w:tc>
          <w:tcPr>
            <w:tcW w:w="2940" w:type="dxa"/>
            <w:tcBorders>
              <w:top w:val="single" w:color="000000" w:sz="4" w:space="0"/>
              <w:left w:val="single" w:color="000000" w:sz="4" w:space="0"/>
              <w:bottom w:val="single" w:color="000000" w:sz="4" w:space="0"/>
              <w:right w:val="single" w:color="000000" w:sz="4" w:space="0"/>
            </w:tcBorders>
          </w:tcPr>
          <w:p>
            <w:pPr>
              <w:pStyle w:val="47"/>
              <w:spacing w:line="460" w:lineRule="exact"/>
              <w:jc w:val="center"/>
            </w:pPr>
            <w:r>
              <w:rPr>
                <w:rFonts w:hint="eastAsia" w:ascii="宋体" w:hAnsi="宋体" w:cs="宋体"/>
                <w:color w:val="000000"/>
                <w:sz w:val="24"/>
                <w:lang w:val="en-US" w:eastAsia="zh-CN"/>
              </w:rPr>
              <w:t>保修卡</w:t>
            </w:r>
          </w:p>
        </w:tc>
        <w:tc>
          <w:tcPr>
            <w:tcW w:w="2940" w:type="dxa"/>
            <w:tcBorders>
              <w:top w:val="single" w:color="000000" w:sz="4" w:space="0"/>
              <w:left w:val="single" w:color="000000" w:sz="4" w:space="0"/>
              <w:bottom w:val="single" w:color="000000" w:sz="4" w:space="0"/>
              <w:right w:val="single" w:color="000000" w:sz="4" w:space="0"/>
            </w:tcBorders>
          </w:tcPr>
          <w:p>
            <w:pPr>
              <w:pStyle w:val="47"/>
              <w:spacing w:line="460" w:lineRule="exact"/>
              <w:jc w:val="center"/>
            </w:pPr>
            <w:r>
              <w:rPr>
                <w:rFonts w:hint="eastAsia" w:ascii="宋体" w:hAnsi="宋体" w:cs="宋体"/>
                <w:color w:val="000000"/>
                <w:sz w:val="24"/>
                <w:lang w:val="en-US" w:eastAsia="zh-CN"/>
              </w:rPr>
              <w:t>1</w:t>
            </w:r>
          </w:p>
        </w:tc>
        <w:tc>
          <w:tcPr>
            <w:tcW w:w="2950" w:type="dxa"/>
            <w:tcBorders>
              <w:top w:val="single" w:color="000000" w:sz="4" w:space="0"/>
              <w:left w:val="single" w:color="000000" w:sz="4" w:space="0"/>
              <w:bottom w:val="single" w:color="000000" w:sz="4" w:space="0"/>
              <w:right w:val="single" w:color="000000" w:sz="4" w:space="0"/>
            </w:tcBorders>
          </w:tcPr>
          <w:p>
            <w:pPr>
              <w:pStyle w:val="47"/>
              <w:spacing w:line="460" w:lineRule="exact"/>
              <w:jc w:val="center"/>
            </w:pPr>
            <w:r>
              <w:rPr>
                <w:rFonts w:hint="eastAsia" w:ascii="宋体" w:hAnsi="宋体" w:cs="宋体"/>
                <w:color w:val="000000"/>
                <w:sz w:val="24"/>
                <w:lang w:val="en-US" w:eastAsia="zh-CN"/>
              </w:rPr>
              <w:t>/</w:t>
            </w:r>
          </w:p>
        </w:tc>
      </w:tr>
      <w:tr>
        <w:tblPrEx>
          <w:tblCellMar>
            <w:top w:w="0" w:type="dxa"/>
            <w:left w:w="108" w:type="dxa"/>
            <w:bottom w:w="0" w:type="dxa"/>
            <w:right w:w="108" w:type="dxa"/>
          </w:tblCellMar>
        </w:tblPrEx>
        <w:trPr>
          <w:trHeight w:val="488" w:hRule="atLeast"/>
        </w:trPr>
        <w:tc>
          <w:tcPr>
            <w:tcW w:w="2940" w:type="dxa"/>
            <w:tcBorders>
              <w:top w:val="single" w:color="000000" w:sz="4" w:space="0"/>
              <w:left w:val="single" w:color="000000" w:sz="4" w:space="0"/>
              <w:bottom w:val="single" w:color="000000" w:sz="4" w:space="0"/>
              <w:right w:val="single" w:color="000000" w:sz="4" w:space="0"/>
            </w:tcBorders>
          </w:tcPr>
          <w:p>
            <w:pPr>
              <w:pStyle w:val="47"/>
              <w:spacing w:line="460" w:lineRule="exact"/>
              <w:jc w:val="center"/>
              <w:rPr>
                <w:rFonts w:ascii="宋体" w:hAnsi="宋体" w:cs="宋体"/>
                <w:color w:val="000000"/>
                <w:sz w:val="24"/>
                <w:lang w:val="en-US" w:eastAsia="zh-CN"/>
              </w:rPr>
            </w:pPr>
            <w:r>
              <w:rPr>
                <w:rFonts w:hint="eastAsia" w:ascii="宋体" w:hAnsi="宋体" w:cs="宋体"/>
                <w:color w:val="000000"/>
                <w:sz w:val="24"/>
                <w:lang w:val="en-US" w:eastAsia="zh-CN"/>
              </w:rPr>
              <w:t>验证文件</w:t>
            </w:r>
          </w:p>
        </w:tc>
        <w:tc>
          <w:tcPr>
            <w:tcW w:w="2940" w:type="dxa"/>
            <w:tcBorders>
              <w:top w:val="single" w:color="000000" w:sz="4" w:space="0"/>
              <w:left w:val="single" w:color="000000" w:sz="4" w:space="0"/>
              <w:bottom w:val="single" w:color="000000" w:sz="4" w:space="0"/>
              <w:right w:val="single" w:color="000000" w:sz="4" w:space="0"/>
            </w:tcBorders>
          </w:tcPr>
          <w:p>
            <w:pPr>
              <w:pStyle w:val="47"/>
              <w:spacing w:line="460" w:lineRule="exact"/>
              <w:jc w:val="center"/>
              <w:rPr>
                <w:rFonts w:ascii="宋体" w:hAnsi="宋体" w:cs="宋体"/>
                <w:color w:val="000000"/>
                <w:sz w:val="24"/>
                <w:lang w:val="en-US" w:eastAsia="zh-CN"/>
              </w:rPr>
            </w:pPr>
            <w:r>
              <w:rPr>
                <w:rFonts w:hint="eastAsia" w:ascii="宋体" w:hAnsi="宋体" w:cs="宋体"/>
                <w:color w:val="000000"/>
                <w:sz w:val="24"/>
                <w:lang w:val="en-US" w:eastAsia="zh-CN"/>
              </w:rPr>
              <w:t>1</w:t>
            </w:r>
          </w:p>
        </w:tc>
        <w:tc>
          <w:tcPr>
            <w:tcW w:w="2950" w:type="dxa"/>
            <w:tcBorders>
              <w:top w:val="single" w:color="000000" w:sz="4" w:space="0"/>
              <w:left w:val="single" w:color="000000" w:sz="4" w:space="0"/>
              <w:bottom w:val="single" w:color="000000" w:sz="4" w:space="0"/>
              <w:right w:val="single" w:color="000000" w:sz="4" w:space="0"/>
            </w:tcBorders>
          </w:tcPr>
          <w:p>
            <w:pPr>
              <w:pStyle w:val="47"/>
              <w:spacing w:line="460" w:lineRule="exact"/>
              <w:jc w:val="center"/>
              <w:rPr>
                <w:rFonts w:ascii="宋体" w:hAnsi="宋体" w:cs="宋体"/>
                <w:color w:val="000000"/>
                <w:sz w:val="24"/>
                <w:lang w:val="en-US" w:eastAsia="zh-CN"/>
              </w:rPr>
            </w:pPr>
            <w:r>
              <w:rPr>
                <w:rFonts w:hint="eastAsia" w:ascii="宋体" w:hAnsi="宋体" w:cs="宋体"/>
                <w:color w:val="000000"/>
                <w:sz w:val="24"/>
                <w:lang w:val="en-US" w:eastAsia="zh-CN"/>
              </w:rPr>
              <w:t>/</w:t>
            </w:r>
          </w:p>
        </w:tc>
      </w:tr>
      <w:permEnd w:id="46"/>
    </w:tbl>
    <w:p>
      <w:pPr>
        <w:pStyle w:val="41"/>
        <w:spacing w:before="0" w:line="360" w:lineRule="auto"/>
        <w:ind w:left="357"/>
        <w:jc w:val="left"/>
        <w:rPr>
          <w:color w:val="4472C4"/>
          <w:szCs w:val="21"/>
          <w:lang w:eastAsia="zh-CN"/>
        </w:rPr>
      </w:pPr>
    </w:p>
    <w:sectPr>
      <w:footerReference r:id="rId3" w:type="default"/>
      <w:pgSz w:w="11907" w:h="16840"/>
      <w:pgMar w:top="1134" w:right="567" w:bottom="1134" w:left="993" w:header="851" w:footer="992" w:gutter="0"/>
      <w:pgNumType w:start="1"/>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right" w:pos="9356"/>
        <w:tab w:val="clear" w:pos="8640"/>
      </w:tabs>
      <w:ind w:right="-285"/>
      <w:rPr>
        <w:sz w:val="18"/>
        <w:szCs w:val="18"/>
        <w:lang w:eastAsia="zh-C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92689A"/>
    <w:multiLevelType w:val="multilevel"/>
    <w:tmpl w:val="0892689A"/>
    <w:lvl w:ilvl="0" w:tentative="0">
      <w:start w:val="1"/>
      <w:numFmt w:val="decimal"/>
      <w:lvlText w:val="6.%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8FC583D"/>
    <w:multiLevelType w:val="multilevel"/>
    <w:tmpl w:val="08FC583D"/>
    <w:lvl w:ilvl="0" w:tentative="0">
      <w:start w:val="1"/>
      <w:numFmt w:val="decimal"/>
      <w:pStyle w:val="2"/>
      <w:lvlText w:val="%1."/>
      <w:lvlJc w:val="left"/>
      <w:pPr>
        <w:tabs>
          <w:tab w:val="left" w:pos="425"/>
        </w:tabs>
        <w:ind w:left="425" w:hanging="425"/>
      </w:pPr>
      <w:rPr>
        <w:rFonts w:hint="default"/>
        <w:sz w:val="22"/>
      </w:rPr>
    </w:lvl>
    <w:lvl w:ilvl="1" w:tentative="0">
      <w:start w:val="1"/>
      <w:numFmt w:val="decimal"/>
      <w:lvlText w:val="%1.%2."/>
      <w:lvlJc w:val="left"/>
      <w:pPr>
        <w:tabs>
          <w:tab w:val="left" w:pos="567"/>
        </w:tabs>
        <w:ind w:left="567" w:hanging="567"/>
      </w:pPr>
      <w:rPr>
        <w:rFonts w:hint="default"/>
        <w:sz w:val="22"/>
      </w:rPr>
    </w:lvl>
    <w:lvl w:ilvl="2" w:tentative="0">
      <w:start w:val="1"/>
      <w:numFmt w:val="decimal"/>
      <w:lvlText w:val="%1.%2.%3."/>
      <w:lvlJc w:val="left"/>
      <w:pPr>
        <w:tabs>
          <w:tab w:val="left" w:pos="709"/>
        </w:tabs>
        <w:ind w:left="709" w:hanging="709"/>
      </w:pPr>
      <w:rPr>
        <w:rFonts w:hint="default"/>
      </w:rPr>
    </w:lvl>
    <w:lvl w:ilvl="3" w:tentative="0">
      <w:start w:val="1"/>
      <w:numFmt w:val="decimal"/>
      <w:lvlText w:val="%1.%2.%3.%4."/>
      <w:lvlJc w:val="left"/>
      <w:pPr>
        <w:tabs>
          <w:tab w:val="left" w:pos="851"/>
        </w:tabs>
        <w:ind w:left="851" w:hanging="851"/>
      </w:pPr>
      <w:rPr>
        <w:rFonts w:hint="default"/>
      </w:rPr>
    </w:lvl>
    <w:lvl w:ilvl="4" w:tentative="0">
      <w:start w:val="1"/>
      <w:numFmt w:val="decimal"/>
      <w:lvlText w:val="%1.%2.%3.%4.%5."/>
      <w:lvlJc w:val="left"/>
      <w:pPr>
        <w:tabs>
          <w:tab w:val="left" w:pos="992"/>
        </w:tabs>
        <w:ind w:left="992" w:hanging="992"/>
      </w:pPr>
      <w:rPr>
        <w:rFonts w:hint="default"/>
      </w:rPr>
    </w:lvl>
    <w:lvl w:ilvl="5" w:tentative="0">
      <w:start w:val="1"/>
      <w:numFmt w:val="decimal"/>
      <w:lvlText w:val="%1.%2.%3.%4.%5.%6."/>
      <w:lvlJc w:val="left"/>
      <w:pPr>
        <w:tabs>
          <w:tab w:val="left" w:pos="1134"/>
        </w:tabs>
        <w:ind w:left="1134" w:hanging="1134"/>
      </w:pPr>
      <w:rPr>
        <w:rFonts w:hint="default"/>
      </w:rPr>
    </w:lvl>
    <w:lvl w:ilvl="6" w:tentative="0">
      <w:start w:val="1"/>
      <w:numFmt w:val="decimal"/>
      <w:lvlText w:val="%1.%2.%3.%4.%5.%6.%7."/>
      <w:lvlJc w:val="left"/>
      <w:pPr>
        <w:tabs>
          <w:tab w:val="left" w:pos="1276"/>
        </w:tabs>
        <w:ind w:left="1276" w:hanging="1276"/>
      </w:pPr>
      <w:rPr>
        <w:rFonts w:hint="default"/>
      </w:rPr>
    </w:lvl>
    <w:lvl w:ilvl="7" w:tentative="0">
      <w:start w:val="1"/>
      <w:numFmt w:val="decimal"/>
      <w:lvlText w:val="%1.%2.%3.%4.%5.%6.%7.%8."/>
      <w:lvlJc w:val="left"/>
      <w:pPr>
        <w:tabs>
          <w:tab w:val="left" w:pos="1418"/>
        </w:tabs>
        <w:ind w:left="1418" w:hanging="1418"/>
      </w:pPr>
      <w:rPr>
        <w:rFonts w:hint="default"/>
      </w:rPr>
    </w:lvl>
    <w:lvl w:ilvl="8" w:tentative="0">
      <w:start w:val="1"/>
      <w:numFmt w:val="decimal"/>
      <w:lvlText w:val="%1.%2.%3.%4.%5.%6.%7.%8.%9."/>
      <w:lvlJc w:val="left"/>
      <w:pPr>
        <w:tabs>
          <w:tab w:val="left" w:pos="1559"/>
        </w:tabs>
        <w:ind w:left="1559" w:hanging="1559"/>
      </w:pPr>
      <w:rPr>
        <w:rFonts w:hint="default"/>
      </w:rPr>
    </w:lvl>
  </w:abstractNum>
  <w:abstractNum w:abstractNumId="2">
    <w:nsid w:val="0BB07E03"/>
    <w:multiLevelType w:val="multilevel"/>
    <w:tmpl w:val="0BB07E03"/>
    <w:lvl w:ilvl="0" w:tentative="0">
      <w:start w:val="1"/>
      <w:numFmt w:val="decimal"/>
      <w:lvlText w:val="9.%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1273409"/>
    <w:multiLevelType w:val="multilevel"/>
    <w:tmpl w:val="11273409"/>
    <w:lvl w:ilvl="0" w:tentative="0">
      <w:start w:val="1"/>
      <w:numFmt w:val="decimal"/>
      <w:lvlText w:val="7.%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6D341CC"/>
    <w:multiLevelType w:val="multilevel"/>
    <w:tmpl w:val="16D341CC"/>
    <w:lvl w:ilvl="0" w:tentative="0">
      <w:start w:val="1"/>
      <w:numFmt w:val="decimal"/>
      <w:lvlText w:val="URS %1"/>
      <w:lvlJc w:val="left"/>
      <w:pPr>
        <w:ind w:left="1413" w:hanging="420"/>
      </w:pPr>
      <w:rPr>
        <w:rFonts w:hint="eastAsia"/>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5">
    <w:nsid w:val="1E85127E"/>
    <w:multiLevelType w:val="multilevel"/>
    <w:tmpl w:val="1E85127E"/>
    <w:lvl w:ilvl="0" w:tentative="0">
      <w:start w:val="1"/>
      <w:numFmt w:val="bullet"/>
      <w:lvlText w:val=""/>
      <w:lvlJc w:val="left"/>
      <w:pPr>
        <w:ind w:left="988" w:hanging="420"/>
      </w:pPr>
      <w:rPr>
        <w:rFonts w:hint="default" w:ascii="Wingdings" w:hAnsi="Wingdings"/>
        <w:color w:val="000000"/>
      </w:rPr>
    </w:lvl>
    <w:lvl w:ilvl="1" w:tentative="0">
      <w:start w:val="1"/>
      <w:numFmt w:val="bullet"/>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abstractNum w:abstractNumId="6">
    <w:nsid w:val="1FA414AA"/>
    <w:multiLevelType w:val="multilevel"/>
    <w:tmpl w:val="1FA414AA"/>
    <w:lvl w:ilvl="0" w:tentative="0">
      <w:start w:val="1"/>
      <w:numFmt w:val="bullet"/>
      <w:lvlText w:val=""/>
      <w:lvlJc w:val="left"/>
      <w:pPr>
        <w:ind w:left="777" w:hanging="420"/>
      </w:pPr>
      <w:rPr>
        <w:rFonts w:hint="default" w:ascii="Wingdings" w:hAnsi="Wingdings"/>
      </w:rPr>
    </w:lvl>
    <w:lvl w:ilvl="1" w:tentative="0">
      <w:start w:val="1"/>
      <w:numFmt w:val="bullet"/>
      <w:lvlText w:val=""/>
      <w:lvlJc w:val="left"/>
      <w:pPr>
        <w:ind w:left="1197" w:hanging="420"/>
      </w:pPr>
      <w:rPr>
        <w:rFonts w:hint="default" w:ascii="Wingdings" w:hAnsi="Wingdings"/>
      </w:rPr>
    </w:lvl>
    <w:lvl w:ilvl="2" w:tentative="0">
      <w:start w:val="1"/>
      <w:numFmt w:val="bullet"/>
      <w:lvlText w:val=""/>
      <w:lvlJc w:val="left"/>
      <w:pPr>
        <w:ind w:left="1617" w:hanging="420"/>
      </w:pPr>
      <w:rPr>
        <w:rFonts w:hint="default" w:ascii="Wingdings" w:hAnsi="Wingdings"/>
      </w:rPr>
    </w:lvl>
    <w:lvl w:ilvl="3" w:tentative="0">
      <w:start w:val="1"/>
      <w:numFmt w:val="bullet"/>
      <w:lvlText w:val=""/>
      <w:lvlJc w:val="left"/>
      <w:pPr>
        <w:ind w:left="2037" w:hanging="420"/>
      </w:pPr>
      <w:rPr>
        <w:rFonts w:hint="default" w:ascii="Wingdings" w:hAnsi="Wingdings"/>
      </w:rPr>
    </w:lvl>
    <w:lvl w:ilvl="4" w:tentative="0">
      <w:start w:val="1"/>
      <w:numFmt w:val="bullet"/>
      <w:lvlText w:val=""/>
      <w:lvlJc w:val="left"/>
      <w:pPr>
        <w:ind w:left="2457" w:hanging="420"/>
      </w:pPr>
      <w:rPr>
        <w:rFonts w:hint="default" w:ascii="Wingdings" w:hAnsi="Wingdings"/>
      </w:rPr>
    </w:lvl>
    <w:lvl w:ilvl="5" w:tentative="0">
      <w:start w:val="1"/>
      <w:numFmt w:val="bullet"/>
      <w:lvlText w:val=""/>
      <w:lvlJc w:val="left"/>
      <w:pPr>
        <w:ind w:left="2877" w:hanging="420"/>
      </w:pPr>
      <w:rPr>
        <w:rFonts w:hint="default" w:ascii="Wingdings" w:hAnsi="Wingdings"/>
      </w:rPr>
    </w:lvl>
    <w:lvl w:ilvl="6" w:tentative="0">
      <w:start w:val="1"/>
      <w:numFmt w:val="bullet"/>
      <w:lvlText w:val=""/>
      <w:lvlJc w:val="left"/>
      <w:pPr>
        <w:ind w:left="3297" w:hanging="420"/>
      </w:pPr>
      <w:rPr>
        <w:rFonts w:hint="default" w:ascii="Wingdings" w:hAnsi="Wingdings"/>
      </w:rPr>
    </w:lvl>
    <w:lvl w:ilvl="7" w:tentative="0">
      <w:start w:val="1"/>
      <w:numFmt w:val="bullet"/>
      <w:lvlText w:val=""/>
      <w:lvlJc w:val="left"/>
      <w:pPr>
        <w:ind w:left="3717" w:hanging="420"/>
      </w:pPr>
      <w:rPr>
        <w:rFonts w:hint="default" w:ascii="Wingdings" w:hAnsi="Wingdings"/>
      </w:rPr>
    </w:lvl>
    <w:lvl w:ilvl="8" w:tentative="0">
      <w:start w:val="1"/>
      <w:numFmt w:val="bullet"/>
      <w:lvlText w:val=""/>
      <w:lvlJc w:val="left"/>
      <w:pPr>
        <w:ind w:left="4137" w:hanging="420"/>
      </w:pPr>
      <w:rPr>
        <w:rFonts w:hint="default" w:ascii="Wingdings" w:hAnsi="Wingdings"/>
      </w:rPr>
    </w:lvl>
  </w:abstractNum>
  <w:abstractNum w:abstractNumId="7">
    <w:nsid w:val="23693724"/>
    <w:multiLevelType w:val="multilevel"/>
    <w:tmpl w:val="23693724"/>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8">
    <w:nsid w:val="320B1F6D"/>
    <w:multiLevelType w:val="multilevel"/>
    <w:tmpl w:val="320B1F6D"/>
    <w:lvl w:ilvl="0" w:tentative="0">
      <w:start w:val="1"/>
      <w:numFmt w:val="decimal"/>
      <w:lvlText w:val="8.%1"/>
      <w:lvlJc w:val="left"/>
      <w:pPr>
        <w:ind w:left="777" w:hanging="420"/>
      </w:pPr>
      <w:rPr>
        <w:rFonts w:hint="eastAsia"/>
      </w:rPr>
    </w:lvl>
    <w:lvl w:ilvl="1" w:tentative="0">
      <w:start w:val="1"/>
      <w:numFmt w:val="lowerLetter"/>
      <w:lvlText w:val="%2)"/>
      <w:lvlJc w:val="left"/>
      <w:pPr>
        <w:ind w:left="840" w:hanging="420"/>
      </w:pPr>
    </w:lvl>
    <w:lvl w:ilvl="2" w:tentative="0">
      <w:start w:val="1"/>
      <w:numFmt w:val="decimal"/>
      <w:lvlText w:val="8.%3"/>
      <w:lvlJc w:val="right"/>
      <w:pPr>
        <w:ind w:left="1260" w:hanging="420"/>
      </w:pPr>
      <w:rPr>
        <w:rFonts w:hint="eastAsia"/>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629402F4"/>
    <w:multiLevelType w:val="multilevel"/>
    <w:tmpl w:val="629402F4"/>
    <w:lvl w:ilvl="0" w:tentative="0">
      <w:start w:val="1"/>
      <w:numFmt w:val="decimal"/>
      <w:lvlText w:val="3.%1"/>
      <w:lvlJc w:val="left"/>
      <w:pPr>
        <w:ind w:left="777"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686546ED"/>
    <w:multiLevelType w:val="multilevel"/>
    <w:tmpl w:val="686546ED"/>
    <w:lvl w:ilvl="0" w:tentative="0">
      <w:start w:val="1"/>
      <w:numFmt w:val="decimal"/>
      <w:pStyle w:val="37"/>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10"/>
  </w:num>
  <w:num w:numId="3">
    <w:abstractNumId w:val="7"/>
  </w:num>
  <w:num w:numId="4">
    <w:abstractNumId w:val="9"/>
  </w:num>
  <w:num w:numId="5">
    <w:abstractNumId w:val="5"/>
  </w:num>
  <w:num w:numId="6">
    <w:abstractNumId w:val="6"/>
  </w:num>
  <w:num w:numId="7">
    <w:abstractNumId w:val="0"/>
  </w:num>
  <w:num w:numId="8">
    <w:abstractNumId w:val="4"/>
  </w:num>
  <w:num w:numId="9">
    <w:abstractNumId w:val="3"/>
  </w:num>
  <w:num w:numId="10">
    <w:abstractNumId w:va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enforcement="0"/>
  <w:defaultTabStop w:val="720"/>
  <w:drawingGridHorizontalSpacing w:val="120"/>
  <w:drawingGridVerticalSpacing w:val="158"/>
  <w:displayHorizontalDrawingGridEvery w:val="0"/>
  <w:displayVerticalDrawingGridEvery w:val="0"/>
  <w:characterSpacingControl w:val="doNotCompress"/>
  <w:compat>
    <w:useFELayout/>
    <w:compatSetting w:name="compatibilityMode" w:uri="http://schemas.microsoft.com/office/word" w:val="12"/>
  </w:compat>
  <w:rsids>
    <w:rsidRoot w:val="00391016"/>
    <w:rsid w:val="000008B7"/>
    <w:rsid w:val="00001AE0"/>
    <w:rsid w:val="000021A6"/>
    <w:rsid w:val="00002F06"/>
    <w:rsid w:val="000038A4"/>
    <w:rsid w:val="0000520B"/>
    <w:rsid w:val="000059AD"/>
    <w:rsid w:val="00005CB9"/>
    <w:rsid w:val="00005E76"/>
    <w:rsid w:val="00006273"/>
    <w:rsid w:val="00006FD5"/>
    <w:rsid w:val="0000737C"/>
    <w:rsid w:val="0001160E"/>
    <w:rsid w:val="000117C7"/>
    <w:rsid w:val="000169DD"/>
    <w:rsid w:val="00020FEA"/>
    <w:rsid w:val="00022818"/>
    <w:rsid w:val="000233DE"/>
    <w:rsid w:val="00023B07"/>
    <w:rsid w:val="00023CAD"/>
    <w:rsid w:val="0002457E"/>
    <w:rsid w:val="000275E7"/>
    <w:rsid w:val="000303D0"/>
    <w:rsid w:val="00031243"/>
    <w:rsid w:val="00031900"/>
    <w:rsid w:val="000355F3"/>
    <w:rsid w:val="00037987"/>
    <w:rsid w:val="00037F15"/>
    <w:rsid w:val="00037F55"/>
    <w:rsid w:val="000404F1"/>
    <w:rsid w:val="00041104"/>
    <w:rsid w:val="00041A2A"/>
    <w:rsid w:val="00041D89"/>
    <w:rsid w:val="00044DFD"/>
    <w:rsid w:val="000467C2"/>
    <w:rsid w:val="00046B5E"/>
    <w:rsid w:val="00047038"/>
    <w:rsid w:val="00047BA8"/>
    <w:rsid w:val="00047CAF"/>
    <w:rsid w:val="00050A08"/>
    <w:rsid w:val="00053A4C"/>
    <w:rsid w:val="00054BB1"/>
    <w:rsid w:val="00055ED6"/>
    <w:rsid w:val="00056478"/>
    <w:rsid w:val="00056AE2"/>
    <w:rsid w:val="00056E9E"/>
    <w:rsid w:val="00057046"/>
    <w:rsid w:val="000576C2"/>
    <w:rsid w:val="00063572"/>
    <w:rsid w:val="00063B90"/>
    <w:rsid w:val="00064A43"/>
    <w:rsid w:val="000662D2"/>
    <w:rsid w:val="00071DD4"/>
    <w:rsid w:val="00072340"/>
    <w:rsid w:val="00072945"/>
    <w:rsid w:val="00073B81"/>
    <w:rsid w:val="0007673E"/>
    <w:rsid w:val="00077AE1"/>
    <w:rsid w:val="000818AC"/>
    <w:rsid w:val="00082C13"/>
    <w:rsid w:val="00083D58"/>
    <w:rsid w:val="000844A8"/>
    <w:rsid w:val="00084F90"/>
    <w:rsid w:val="00086CA0"/>
    <w:rsid w:val="00087002"/>
    <w:rsid w:val="00092C03"/>
    <w:rsid w:val="00094359"/>
    <w:rsid w:val="00096510"/>
    <w:rsid w:val="00097A7D"/>
    <w:rsid w:val="00097CA2"/>
    <w:rsid w:val="000A1D9E"/>
    <w:rsid w:val="000A2664"/>
    <w:rsid w:val="000A2C3C"/>
    <w:rsid w:val="000A41DA"/>
    <w:rsid w:val="000A55CC"/>
    <w:rsid w:val="000A5CEE"/>
    <w:rsid w:val="000A6423"/>
    <w:rsid w:val="000A6661"/>
    <w:rsid w:val="000A70BF"/>
    <w:rsid w:val="000B02ED"/>
    <w:rsid w:val="000B02FD"/>
    <w:rsid w:val="000B068C"/>
    <w:rsid w:val="000B417D"/>
    <w:rsid w:val="000B45E0"/>
    <w:rsid w:val="000B4EC4"/>
    <w:rsid w:val="000B5888"/>
    <w:rsid w:val="000C0A41"/>
    <w:rsid w:val="000C0DD3"/>
    <w:rsid w:val="000C0FA5"/>
    <w:rsid w:val="000C3C81"/>
    <w:rsid w:val="000C4182"/>
    <w:rsid w:val="000C41B6"/>
    <w:rsid w:val="000C7137"/>
    <w:rsid w:val="000D112B"/>
    <w:rsid w:val="000D1A79"/>
    <w:rsid w:val="000D3B24"/>
    <w:rsid w:val="000D43C9"/>
    <w:rsid w:val="000D517D"/>
    <w:rsid w:val="000D5BCC"/>
    <w:rsid w:val="000D6D1E"/>
    <w:rsid w:val="000D6FF9"/>
    <w:rsid w:val="000D7C49"/>
    <w:rsid w:val="000E0DDB"/>
    <w:rsid w:val="000E17B5"/>
    <w:rsid w:val="000E41B5"/>
    <w:rsid w:val="000E51FF"/>
    <w:rsid w:val="000E5684"/>
    <w:rsid w:val="000E5B57"/>
    <w:rsid w:val="000F0D08"/>
    <w:rsid w:val="000F2CD3"/>
    <w:rsid w:val="000F36B9"/>
    <w:rsid w:val="000F3A00"/>
    <w:rsid w:val="000F4E03"/>
    <w:rsid w:val="000F606A"/>
    <w:rsid w:val="000F706D"/>
    <w:rsid w:val="00100F65"/>
    <w:rsid w:val="0010110F"/>
    <w:rsid w:val="00102C78"/>
    <w:rsid w:val="00102DC9"/>
    <w:rsid w:val="001031DF"/>
    <w:rsid w:val="00103F05"/>
    <w:rsid w:val="00104160"/>
    <w:rsid w:val="0010503D"/>
    <w:rsid w:val="00106571"/>
    <w:rsid w:val="00106B5D"/>
    <w:rsid w:val="00110CF0"/>
    <w:rsid w:val="001120B7"/>
    <w:rsid w:val="0011231F"/>
    <w:rsid w:val="00112670"/>
    <w:rsid w:val="00112DD4"/>
    <w:rsid w:val="00112F30"/>
    <w:rsid w:val="00114353"/>
    <w:rsid w:val="001144F0"/>
    <w:rsid w:val="00115728"/>
    <w:rsid w:val="00115E38"/>
    <w:rsid w:val="001163FC"/>
    <w:rsid w:val="00116F39"/>
    <w:rsid w:val="00117A01"/>
    <w:rsid w:val="00121B6E"/>
    <w:rsid w:val="00122051"/>
    <w:rsid w:val="00124244"/>
    <w:rsid w:val="00124E69"/>
    <w:rsid w:val="00125CC1"/>
    <w:rsid w:val="00126D4D"/>
    <w:rsid w:val="001273B0"/>
    <w:rsid w:val="00127CB8"/>
    <w:rsid w:val="001313C3"/>
    <w:rsid w:val="00132F4C"/>
    <w:rsid w:val="00134C68"/>
    <w:rsid w:val="00135FD6"/>
    <w:rsid w:val="001374CF"/>
    <w:rsid w:val="001402D4"/>
    <w:rsid w:val="00143952"/>
    <w:rsid w:val="001442AB"/>
    <w:rsid w:val="0014477D"/>
    <w:rsid w:val="00144D00"/>
    <w:rsid w:val="00145034"/>
    <w:rsid w:val="00145DC7"/>
    <w:rsid w:val="00145F74"/>
    <w:rsid w:val="00146568"/>
    <w:rsid w:val="00150BCC"/>
    <w:rsid w:val="001541A9"/>
    <w:rsid w:val="001549D1"/>
    <w:rsid w:val="00154CD3"/>
    <w:rsid w:val="001560AD"/>
    <w:rsid w:val="0015633E"/>
    <w:rsid w:val="0015752C"/>
    <w:rsid w:val="0016077F"/>
    <w:rsid w:val="00161486"/>
    <w:rsid w:val="0016194A"/>
    <w:rsid w:val="00161F7F"/>
    <w:rsid w:val="00162A78"/>
    <w:rsid w:val="00163A08"/>
    <w:rsid w:val="00164CDC"/>
    <w:rsid w:val="00164E0D"/>
    <w:rsid w:val="00166311"/>
    <w:rsid w:val="00166478"/>
    <w:rsid w:val="00167B0E"/>
    <w:rsid w:val="00171A51"/>
    <w:rsid w:val="001746E7"/>
    <w:rsid w:val="001757AB"/>
    <w:rsid w:val="001769A8"/>
    <w:rsid w:val="001814FA"/>
    <w:rsid w:val="001815A9"/>
    <w:rsid w:val="00182A27"/>
    <w:rsid w:val="00184DDD"/>
    <w:rsid w:val="00184FFD"/>
    <w:rsid w:val="00185449"/>
    <w:rsid w:val="0018620A"/>
    <w:rsid w:val="00186314"/>
    <w:rsid w:val="00187B04"/>
    <w:rsid w:val="00190000"/>
    <w:rsid w:val="001929C2"/>
    <w:rsid w:val="00192B8F"/>
    <w:rsid w:val="00193D66"/>
    <w:rsid w:val="00194BB7"/>
    <w:rsid w:val="001A1DE7"/>
    <w:rsid w:val="001A3BB0"/>
    <w:rsid w:val="001A4947"/>
    <w:rsid w:val="001A64C0"/>
    <w:rsid w:val="001A685F"/>
    <w:rsid w:val="001A7EB6"/>
    <w:rsid w:val="001A7FE4"/>
    <w:rsid w:val="001B0278"/>
    <w:rsid w:val="001B28C8"/>
    <w:rsid w:val="001B4654"/>
    <w:rsid w:val="001C017B"/>
    <w:rsid w:val="001C239E"/>
    <w:rsid w:val="001C2D7E"/>
    <w:rsid w:val="001D1FA0"/>
    <w:rsid w:val="001D32D4"/>
    <w:rsid w:val="001D3C96"/>
    <w:rsid w:val="001D4383"/>
    <w:rsid w:val="001D4742"/>
    <w:rsid w:val="001D474B"/>
    <w:rsid w:val="001D48B0"/>
    <w:rsid w:val="001D5549"/>
    <w:rsid w:val="001E0376"/>
    <w:rsid w:val="001E13E0"/>
    <w:rsid w:val="001E2B2B"/>
    <w:rsid w:val="001E2D1D"/>
    <w:rsid w:val="001E353E"/>
    <w:rsid w:val="001E3CBE"/>
    <w:rsid w:val="001E5657"/>
    <w:rsid w:val="001E5F94"/>
    <w:rsid w:val="001E744F"/>
    <w:rsid w:val="001F065A"/>
    <w:rsid w:val="001F1FE7"/>
    <w:rsid w:val="001F25DD"/>
    <w:rsid w:val="001F3552"/>
    <w:rsid w:val="001F473D"/>
    <w:rsid w:val="001F4BFD"/>
    <w:rsid w:val="001F7405"/>
    <w:rsid w:val="001F7E95"/>
    <w:rsid w:val="00201487"/>
    <w:rsid w:val="00203D68"/>
    <w:rsid w:val="002043A9"/>
    <w:rsid w:val="0020539A"/>
    <w:rsid w:val="00205E00"/>
    <w:rsid w:val="00206107"/>
    <w:rsid w:val="002070B2"/>
    <w:rsid w:val="0020756B"/>
    <w:rsid w:val="00210177"/>
    <w:rsid w:val="00212297"/>
    <w:rsid w:val="002129BC"/>
    <w:rsid w:val="00212BD9"/>
    <w:rsid w:val="00213AA9"/>
    <w:rsid w:val="002168FE"/>
    <w:rsid w:val="00217048"/>
    <w:rsid w:val="002178C5"/>
    <w:rsid w:val="00220757"/>
    <w:rsid w:val="00222993"/>
    <w:rsid w:val="00223661"/>
    <w:rsid w:val="00224129"/>
    <w:rsid w:val="00225DD2"/>
    <w:rsid w:val="002279A2"/>
    <w:rsid w:val="00227A0D"/>
    <w:rsid w:val="002320D9"/>
    <w:rsid w:val="00234C07"/>
    <w:rsid w:val="002355FF"/>
    <w:rsid w:val="002367A6"/>
    <w:rsid w:val="00236BE9"/>
    <w:rsid w:val="00237E6C"/>
    <w:rsid w:val="00240A09"/>
    <w:rsid w:val="00240B1E"/>
    <w:rsid w:val="00241437"/>
    <w:rsid w:val="002419B4"/>
    <w:rsid w:val="00245088"/>
    <w:rsid w:val="00253242"/>
    <w:rsid w:val="002547BF"/>
    <w:rsid w:val="002548CA"/>
    <w:rsid w:val="0025531B"/>
    <w:rsid w:val="002560F9"/>
    <w:rsid w:val="00257517"/>
    <w:rsid w:val="00257FA9"/>
    <w:rsid w:val="00261CD0"/>
    <w:rsid w:val="00261F30"/>
    <w:rsid w:val="002637FB"/>
    <w:rsid w:val="00263CB5"/>
    <w:rsid w:val="0026571F"/>
    <w:rsid w:val="0027137F"/>
    <w:rsid w:val="002723D2"/>
    <w:rsid w:val="002732E5"/>
    <w:rsid w:val="002745D9"/>
    <w:rsid w:val="00274823"/>
    <w:rsid w:val="0027577D"/>
    <w:rsid w:val="00275F43"/>
    <w:rsid w:val="002810E3"/>
    <w:rsid w:val="00282EAA"/>
    <w:rsid w:val="0028384D"/>
    <w:rsid w:val="0028525D"/>
    <w:rsid w:val="002860DB"/>
    <w:rsid w:val="00286CE5"/>
    <w:rsid w:val="0029023F"/>
    <w:rsid w:val="002913B7"/>
    <w:rsid w:val="00291541"/>
    <w:rsid w:val="00291C5E"/>
    <w:rsid w:val="002924C2"/>
    <w:rsid w:val="00293E83"/>
    <w:rsid w:val="0029741F"/>
    <w:rsid w:val="00297DDC"/>
    <w:rsid w:val="002A18C8"/>
    <w:rsid w:val="002A42F8"/>
    <w:rsid w:val="002A547B"/>
    <w:rsid w:val="002A588E"/>
    <w:rsid w:val="002A7980"/>
    <w:rsid w:val="002B0A7C"/>
    <w:rsid w:val="002B14F3"/>
    <w:rsid w:val="002B480A"/>
    <w:rsid w:val="002B67A2"/>
    <w:rsid w:val="002B6854"/>
    <w:rsid w:val="002C1817"/>
    <w:rsid w:val="002C1DAB"/>
    <w:rsid w:val="002C4FCF"/>
    <w:rsid w:val="002C527C"/>
    <w:rsid w:val="002D0253"/>
    <w:rsid w:val="002D03CD"/>
    <w:rsid w:val="002D2477"/>
    <w:rsid w:val="002D2AAB"/>
    <w:rsid w:val="002D691F"/>
    <w:rsid w:val="002D6A50"/>
    <w:rsid w:val="002D6D1C"/>
    <w:rsid w:val="002E1D21"/>
    <w:rsid w:val="002E3B36"/>
    <w:rsid w:val="002E59BF"/>
    <w:rsid w:val="002E63F6"/>
    <w:rsid w:val="002E69A1"/>
    <w:rsid w:val="002F1C5E"/>
    <w:rsid w:val="002F1D63"/>
    <w:rsid w:val="002F340E"/>
    <w:rsid w:val="002F4392"/>
    <w:rsid w:val="002F4641"/>
    <w:rsid w:val="002F4B22"/>
    <w:rsid w:val="00302176"/>
    <w:rsid w:val="00302AF8"/>
    <w:rsid w:val="00304F96"/>
    <w:rsid w:val="00306131"/>
    <w:rsid w:val="00311B2C"/>
    <w:rsid w:val="00311EE4"/>
    <w:rsid w:val="0031318B"/>
    <w:rsid w:val="003137B7"/>
    <w:rsid w:val="003148D1"/>
    <w:rsid w:val="00314CFF"/>
    <w:rsid w:val="00315038"/>
    <w:rsid w:val="00315C3E"/>
    <w:rsid w:val="00316EEF"/>
    <w:rsid w:val="003172B7"/>
    <w:rsid w:val="00321298"/>
    <w:rsid w:val="00321D97"/>
    <w:rsid w:val="00323423"/>
    <w:rsid w:val="003240E5"/>
    <w:rsid w:val="00324B23"/>
    <w:rsid w:val="003250D1"/>
    <w:rsid w:val="003257E0"/>
    <w:rsid w:val="00325FFA"/>
    <w:rsid w:val="00330D16"/>
    <w:rsid w:val="00330FFF"/>
    <w:rsid w:val="00333C91"/>
    <w:rsid w:val="0033695C"/>
    <w:rsid w:val="00341B2F"/>
    <w:rsid w:val="00342915"/>
    <w:rsid w:val="00344B04"/>
    <w:rsid w:val="00345847"/>
    <w:rsid w:val="00347576"/>
    <w:rsid w:val="00347772"/>
    <w:rsid w:val="00347A51"/>
    <w:rsid w:val="00347B19"/>
    <w:rsid w:val="003531FA"/>
    <w:rsid w:val="0035416F"/>
    <w:rsid w:val="003549FE"/>
    <w:rsid w:val="00355AAC"/>
    <w:rsid w:val="00355D7D"/>
    <w:rsid w:val="003647CA"/>
    <w:rsid w:val="00370514"/>
    <w:rsid w:val="0037056A"/>
    <w:rsid w:val="003726DF"/>
    <w:rsid w:val="0037345A"/>
    <w:rsid w:val="00373FFA"/>
    <w:rsid w:val="0037455F"/>
    <w:rsid w:val="00376C31"/>
    <w:rsid w:val="00380EB7"/>
    <w:rsid w:val="003810F5"/>
    <w:rsid w:val="00381C39"/>
    <w:rsid w:val="00381CF6"/>
    <w:rsid w:val="0038326A"/>
    <w:rsid w:val="0038367F"/>
    <w:rsid w:val="00387B81"/>
    <w:rsid w:val="00391016"/>
    <w:rsid w:val="00393529"/>
    <w:rsid w:val="00393B6A"/>
    <w:rsid w:val="003946C3"/>
    <w:rsid w:val="0039552E"/>
    <w:rsid w:val="00395CE1"/>
    <w:rsid w:val="00395D47"/>
    <w:rsid w:val="00396425"/>
    <w:rsid w:val="003970BE"/>
    <w:rsid w:val="00397379"/>
    <w:rsid w:val="00397C18"/>
    <w:rsid w:val="003A03EA"/>
    <w:rsid w:val="003A04A8"/>
    <w:rsid w:val="003A092F"/>
    <w:rsid w:val="003A1311"/>
    <w:rsid w:val="003A2EC5"/>
    <w:rsid w:val="003A3AAC"/>
    <w:rsid w:val="003A4CAE"/>
    <w:rsid w:val="003A6DFE"/>
    <w:rsid w:val="003A6FCD"/>
    <w:rsid w:val="003B096A"/>
    <w:rsid w:val="003B0B6A"/>
    <w:rsid w:val="003B1FF2"/>
    <w:rsid w:val="003B2104"/>
    <w:rsid w:val="003B354C"/>
    <w:rsid w:val="003B355B"/>
    <w:rsid w:val="003B4A5D"/>
    <w:rsid w:val="003B5047"/>
    <w:rsid w:val="003B6E29"/>
    <w:rsid w:val="003B73AB"/>
    <w:rsid w:val="003C02C6"/>
    <w:rsid w:val="003C03D7"/>
    <w:rsid w:val="003C0712"/>
    <w:rsid w:val="003C558E"/>
    <w:rsid w:val="003C6ECF"/>
    <w:rsid w:val="003C73BC"/>
    <w:rsid w:val="003D2243"/>
    <w:rsid w:val="003D3C09"/>
    <w:rsid w:val="003D464A"/>
    <w:rsid w:val="003D4EFF"/>
    <w:rsid w:val="003D5F4A"/>
    <w:rsid w:val="003D662C"/>
    <w:rsid w:val="003D77E5"/>
    <w:rsid w:val="003E49F8"/>
    <w:rsid w:val="003E5109"/>
    <w:rsid w:val="003E60EE"/>
    <w:rsid w:val="003E6B48"/>
    <w:rsid w:val="003E748F"/>
    <w:rsid w:val="003F332B"/>
    <w:rsid w:val="003F3F47"/>
    <w:rsid w:val="003F56EC"/>
    <w:rsid w:val="003F6E0C"/>
    <w:rsid w:val="004003A8"/>
    <w:rsid w:val="0040240E"/>
    <w:rsid w:val="00402756"/>
    <w:rsid w:val="00405B3A"/>
    <w:rsid w:val="004074DC"/>
    <w:rsid w:val="004111CC"/>
    <w:rsid w:val="004122A3"/>
    <w:rsid w:val="00416E8B"/>
    <w:rsid w:val="00420273"/>
    <w:rsid w:val="00420AA0"/>
    <w:rsid w:val="0042116C"/>
    <w:rsid w:val="00422D19"/>
    <w:rsid w:val="00422DFE"/>
    <w:rsid w:val="00424D83"/>
    <w:rsid w:val="00424E29"/>
    <w:rsid w:val="00427D22"/>
    <w:rsid w:val="00427E2D"/>
    <w:rsid w:val="00432568"/>
    <w:rsid w:val="00436C7C"/>
    <w:rsid w:val="00437440"/>
    <w:rsid w:val="00440378"/>
    <w:rsid w:val="00442B53"/>
    <w:rsid w:val="00443256"/>
    <w:rsid w:val="00444D2D"/>
    <w:rsid w:val="00450AB5"/>
    <w:rsid w:val="004510B1"/>
    <w:rsid w:val="00451C5D"/>
    <w:rsid w:val="00451D74"/>
    <w:rsid w:val="00452E73"/>
    <w:rsid w:val="004565EF"/>
    <w:rsid w:val="00457FF9"/>
    <w:rsid w:val="004601ED"/>
    <w:rsid w:val="00460711"/>
    <w:rsid w:val="0046108B"/>
    <w:rsid w:val="00467AE6"/>
    <w:rsid w:val="00467EC9"/>
    <w:rsid w:val="00477791"/>
    <w:rsid w:val="00480286"/>
    <w:rsid w:val="00480C3B"/>
    <w:rsid w:val="00480FE3"/>
    <w:rsid w:val="00481C94"/>
    <w:rsid w:val="00484A8D"/>
    <w:rsid w:val="00486A4E"/>
    <w:rsid w:val="00486B09"/>
    <w:rsid w:val="0049139F"/>
    <w:rsid w:val="00494F07"/>
    <w:rsid w:val="00496116"/>
    <w:rsid w:val="004965A0"/>
    <w:rsid w:val="00497335"/>
    <w:rsid w:val="004A05A7"/>
    <w:rsid w:val="004A3F98"/>
    <w:rsid w:val="004A5532"/>
    <w:rsid w:val="004A5958"/>
    <w:rsid w:val="004A76DF"/>
    <w:rsid w:val="004B0A75"/>
    <w:rsid w:val="004B2190"/>
    <w:rsid w:val="004B69B2"/>
    <w:rsid w:val="004B7507"/>
    <w:rsid w:val="004B7DC4"/>
    <w:rsid w:val="004B7F85"/>
    <w:rsid w:val="004C099B"/>
    <w:rsid w:val="004C3A61"/>
    <w:rsid w:val="004C42AE"/>
    <w:rsid w:val="004C49B0"/>
    <w:rsid w:val="004C4F53"/>
    <w:rsid w:val="004C4F7F"/>
    <w:rsid w:val="004C592E"/>
    <w:rsid w:val="004D050F"/>
    <w:rsid w:val="004D0E3A"/>
    <w:rsid w:val="004D1A73"/>
    <w:rsid w:val="004D48C2"/>
    <w:rsid w:val="004D6145"/>
    <w:rsid w:val="004D67B1"/>
    <w:rsid w:val="004D7128"/>
    <w:rsid w:val="004D751D"/>
    <w:rsid w:val="004E05C2"/>
    <w:rsid w:val="004E0B02"/>
    <w:rsid w:val="004E0C0D"/>
    <w:rsid w:val="004E109A"/>
    <w:rsid w:val="004E255F"/>
    <w:rsid w:val="004E4C2D"/>
    <w:rsid w:val="004F0539"/>
    <w:rsid w:val="004F10A4"/>
    <w:rsid w:val="004F342E"/>
    <w:rsid w:val="004F4C63"/>
    <w:rsid w:val="004F5AE6"/>
    <w:rsid w:val="004F5C19"/>
    <w:rsid w:val="004F7B6A"/>
    <w:rsid w:val="0050090F"/>
    <w:rsid w:val="0050208D"/>
    <w:rsid w:val="0050284B"/>
    <w:rsid w:val="00502F99"/>
    <w:rsid w:val="00504B71"/>
    <w:rsid w:val="00506C71"/>
    <w:rsid w:val="00507991"/>
    <w:rsid w:val="00507C94"/>
    <w:rsid w:val="00507EB2"/>
    <w:rsid w:val="00510111"/>
    <w:rsid w:val="0051124F"/>
    <w:rsid w:val="00511AB4"/>
    <w:rsid w:val="00512690"/>
    <w:rsid w:val="00512A4E"/>
    <w:rsid w:val="00514EA4"/>
    <w:rsid w:val="00516BB4"/>
    <w:rsid w:val="00517A5D"/>
    <w:rsid w:val="00517E1E"/>
    <w:rsid w:val="005217E8"/>
    <w:rsid w:val="005220FE"/>
    <w:rsid w:val="005247DE"/>
    <w:rsid w:val="00530B8F"/>
    <w:rsid w:val="00531434"/>
    <w:rsid w:val="00531754"/>
    <w:rsid w:val="00534840"/>
    <w:rsid w:val="00534D08"/>
    <w:rsid w:val="00536973"/>
    <w:rsid w:val="00536C6B"/>
    <w:rsid w:val="00544652"/>
    <w:rsid w:val="0054625B"/>
    <w:rsid w:val="00551539"/>
    <w:rsid w:val="00552EFE"/>
    <w:rsid w:val="00554ABB"/>
    <w:rsid w:val="0055552D"/>
    <w:rsid w:val="00555668"/>
    <w:rsid w:val="0055679E"/>
    <w:rsid w:val="0056090D"/>
    <w:rsid w:val="00561E9C"/>
    <w:rsid w:val="00565C7A"/>
    <w:rsid w:val="00567E14"/>
    <w:rsid w:val="005705A7"/>
    <w:rsid w:val="0057277E"/>
    <w:rsid w:val="00572F0E"/>
    <w:rsid w:val="00574D60"/>
    <w:rsid w:val="00575318"/>
    <w:rsid w:val="00577142"/>
    <w:rsid w:val="005773E5"/>
    <w:rsid w:val="00581AD5"/>
    <w:rsid w:val="00581C4E"/>
    <w:rsid w:val="00582DB0"/>
    <w:rsid w:val="00584B8E"/>
    <w:rsid w:val="00586518"/>
    <w:rsid w:val="00586EFD"/>
    <w:rsid w:val="00587AC1"/>
    <w:rsid w:val="00587DE8"/>
    <w:rsid w:val="00590694"/>
    <w:rsid w:val="00590AA6"/>
    <w:rsid w:val="00591A70"/>
    <w:rsid w:val="00592624"/>
    <w:rsid w:val="00593AF8"/>
    <w:rsid w:val="00593EC9"/>
    <w:rsid w:val="005964B1"/>
    <w:rsid w:val="005965FD"/>
    <w:rsid w:val="00597FCC"/>
    <w:rsid w:val="005A132A"/>
    <w:rsid w:val="005A337C"/>
    <w:rsid w:val="005A34B0"/>
    <w:rsid w:val="005A3ECF"/>
    <w:rsid w:val="005A6821"/>
    <w:rsid w:val="005B20CF"/>
    <w:rsid w:val="005B2393"/>
    <w:rsid w:val="005B750A"/>
    <w:rsid w:val="005C2B89"/>
    <w:rsid w:val="005C2FA7"/>
    <w:rsid w:val="005C386F"/>
    <w:rsid w:val="005C42AC"/>
    <w:rsid w:val="005C4D05"/>
    <w:rsid w:val="005C506B"/>
    <w:rsid w:val="005C71BF"/>
    <w:rsid w:val="005C723D"/>
    <w:rsid w:val="005C7601"/>
    <w:rsid w:val="005D1094"/>
    <w:rsid w:val="005D3394"/>
    <w:rsid w:val="005D3989"/>
    <w:rsid w:val="005D42FF"/>
    <w:rsid w:val="005E2725"/>
    <w:rsid w:val="005E65FA"/>
    <w:rsid w:val="005F19CE"/>
    <w:rsid w:val="005F28F4"/>
    <w:rsid w:val="005F43BB"/>
    <w:rsid w:val="005F503E"/>
    <w:rsid w:val="005F6CB3"/>
    <w:rsid w:val="005F7612"/>
    <w:rsid w:val="005F7663"/>
    <w:rsid w:val="005F7D63"/>
    <w:rsid w:val="00607170"/>
    <w:rsid w:val="00607408"/>
    <w:rsid w:val="00610AEE"/>
    <w:rsid w:val="00616BAC"/>
    <w:rsid w:val="00620598"/>
    <w:rsid w:val="00620FEC"/>
    <w:rsid w:val="006214DC"/>
    <w:rsid w:val="006215E2"/>
    <w:rsid w:val="0062168F"/>
    <w:rsid w:val="006221A2"/>
    <w:rsid w:val="00627113"/>
    <w:rsid w:val="00627B8B"/>
    <w:rsid w:val="0063106D"/>
    <w:rsid w:val="006312FF"/>
    <w:rsid w:val="00632136"/>
    <w:rsid w:val="00632C67"/>
    <w:rsid w:val="006331B6"/>
    <w:rsid w:val="00633310"/>
    <w:rsid w:val="00633315"/>
    <w:rsid w:val="006366CC"/>
    <w:rsid w:val="00637C16"/>
    <w:rsid w:val="0064048E"/>
    <w:rsid w:val="00641320"/>
    <w:rsid w:val="00641E74"/>
    <w:rsid w:val="006434E3"/>
    <w:rsid w:val="0064366A"/>
    <w:rsid w:val="00646987"/>
    <w:rsid w:val="006506CF"/>
    <w:rsid w:val="00650A76"/>
    <w:rsid w:val="00650CD0"/>
    <w:rsid w:val="00650DA4"/>
    <w:rsid w:val="00651DA5"/>
    <w:rsid w:val="00652D22"/>
    <w:rsid w:val="00656797"/>
    <w:rsid w:val="006571EC"/>
    <w:rsid w:val="0066086B"/>
    <w:rsid w:val="00660A8C"/>
    <w:rsid w:val="006632B2"/>
    <w:rsid w:val="00664084"/>
    <w:rsid w:val="0066445E"/>
    <w:rsid w:val="00667045"/>
    <w:rsid w:val="00670A00"/>
    <w:rsid w:val="00670C23"/>
    <w:rsid w:val="00671F51"/>
    <w:rsid w:val="00672B86"/>
    <w:rsid w:val="00673031"/>
    <w:rsid w:val="00673EB3"/>
    <w:rsid w:val="00680BE8"/>
    <w:rsid w:val="00686409"/>
    <w:rsid w:val="00686D19"/>
    <w:rsid w:val="0068777F"/>
    <w:rsid w:val="0069211C"/>
    <w:rsid w:val="00693018"/>
    <w:rsid w:val="006A0059"/>
    <w:rsid w:val="006A4C3D"/>
    <w:rsid w:val="006A7425"/>
    <w:rsid w:val="006B058A"/>
    <w:rsid w:val="006B1299"/>
    <w:rsid w:val="006B26D9"/>
    <w:rsid w:val="006B310C"/>
    <w:rsid w:val="006B664C"/>
    <w:rsid w:val="006C1125"/>
    <w:rsid w:val="006C1C83"/>
    <w:rsid w:val="006C3E78"/>
    <w:rsid w:val="006C54E6"/>
    <w:rsid w:val="006C5762"/>
    <w:rsid w:val="006C690D"/>
    <w:rsid w:val="006D149F"/>
    <w:rsid w:val="006D3396"/>
    <w:rsid w:val="006D5AFF"/>
    <w:rsid w:val="006D69CC"/>
    <w:rsid w:val="006E050C"/>
    <w:rsid w:val="006E152B"/>
    <w:rsid w:val="006E36D1"/>
    <w:rsid w:val="006E4002"/>
    <w:rsid w:val="006E4DB6"/>
    <w:rsid w:val="006E622E"/>
    <w:rsid w:val="006E7938"/>
    <w:rsid w:val="006E79FB"/>
    <w:rsid w:val="006F229A"/>
    <w:rsid w:val="006F3BB9"/>
    <w:rsid w:val="006F4AA6"/>
    <w:rsid w:val="007007FA"/>
    <w:rsid w:val="007036CA"/>
    <w:rsid w:val="007041CB"/>
    <w:rsid w:val="00705090"/>
    <w:rsid w:val="00705102"/>
    <w:rsid w:val="00705DDB"/>
    <w:rsid w:val="0070675E"/>
    <w:rsid w:val="00706A0E"/>
    <w:rsid w:val="00710573"/>
    <w:rsid w:val="00710808"/>
    <w:rsid w:val="007116CB"/>
    <w:rsid w:val="0071211E"/>
    <w:rsid w:val="00712B1B"/>
    <w:rsid w:val="0071622D"/>
    <w:rsid w:val="007168CC"/>
    <w:rsid w:val="007176BB"/>
    <w:rsid w:val="00717811"/>
    <w:rsid w:val="00720A17"/>
    <w:rsid w:val="00720D4B"/>
    <w:rsid w:val="00723A0F"/>
    <w:rsid w:val="00726CB6"/>
    <w:rsid w:val="00727255"/>
    <w:rsid w:val="0072779B"/>
    <w:rsid w:val="00727CCF"/>
    <w:rsid w:val="0073446D"/>
    <w:rsid w:val="007349FF"/>
    <w:rsid w:val="00734B45"/>
    <w:rsid w:val="00736FFB"/>
    <w:rsid w:val="00740080"/>
    <w:rsid w:val="00741A30"/>
    <w:rsid w:val="007504DC"/>
    <w:rsid w:val="0075142F"/>
    <w:rsid w:val="00751965"/>
    <w:rsid w:val="007524EF"/>
    <w:rsid w:val="00752689"/>
    <w:rsid w:val="00756D1D"/>
    <w:rsid w:val="00760886"/>
    <w:rsid w:val="007615CA"/>
    <w:rsid w:val="00761ADD"/>
    <w:rsid w:val="00762B3A"/>
    <w:rsid w:val="00765D6E"/>
    <w:rsid w:val="00765D7E"/>
    <w:rsid w:val="007674B6"/>
    <w:rsid w:val="00770E90"/>
    <w:rsid w:val="00772C42"/>
    <w:rsid w:val="0077302F"/>
    <w:rsid w:val="00773661"/>
    <w:rsid w:val="00774A61"/>
    <w:rsid w:val="00774E08"/>
    <w:rsid w:val="00774E72"/>
    <w:rsid w:val="0077746F"/>
    <w:rsid w:val="007775FE"/>
    <w:rsid w:val="00780A5F"/>
    <w:rsid w:val="00784913"/>
    <w:rsid w:val="00785B90"/>
    <w:rsid w:val="0078639C"/>
    <w:rsid w:val="007913D3"/>
    <w:rsid w:val="0079790C"/>
    <w:rsid w:val="007A102A"/>
    <w:rsid w:val="007A15E6"/>
    <w:rsid w:val="007A194B"/>
    <w:rsid w:val="007A4BCD"/>
    <w:rsid w:val="007A5714"/>
    <w:rsid w:val="007A5EFA"/>
    <w:rsid w:val="007A6821"/>
    <w:rsid w:val="007A75EF"/>
    <w:rsid w:val="007B03B6"/>
    <w:rsid w:val="007B1257"/>
    <w:rsid w:val="007B33CC"/>
    <w:rsid w:val="007B4133"/>
    <w:rsid w:val="007B49F4"/>
    <w:rsid w:val="007B7AB4"/>
    <w:rsid w:val="007C2405"/>
    <w:rsid w:val="007C2A54"/>
    <w:rsid w:val="007C2B69"/>
    <w:rsid w:val="007C2DC1"/>
    <w:rsid w:val="007C3B05"/>
    <w:rsid w:val="007C3D25"/>
    <w:rsid w:val="007C4998"/>
    <w:rsid w:val="007C668F"/>
    <w:rsid w:val="007C723F"/>
    <w:rsid w:val="007C778D"/>
    <w:rsid w:val="007D07D6"/>
    <w:rsid w:val="007D18A6"/>
    <w:rsid w:val="007D1CA0"/>
    <w:rsid w:val="007D2DF5"/>
    <w:rsid w:val="007D4994"/>
    <w:rsid w:val="007D4BB3"/>
    <w:rsid w:val="007D4F6E"/>
    <w:rsid w:val="007D5ECD"/>
    <w:rsid w:val="007D61CA"/>
    <w:rsid w:val="007D6DCF"/>
    <w:rsid w:val="007D6F0D"/>
    <w:rsid w:val="007D7963"/>
    <w:rsid w:val="007E3532"/>
    <w:rsid w:val="007E39DB"/>
    <w:rsid w:val="007E5FE3"/>
    <w:rsid w:val="007E64DF"/>
    <w:rsid w:val="007E657D"/>
    <w:rsid w:val="007E7119"/>
    <w:rsid w:val="007E71BB"/>
    <w:rsid w:val="007E7B90"/>
    <w:rsid w:val="007E7C13"/>
    <w:rsid w:val="007F2464"/>
    <w:rsid w:val="007F4A64"/>
    <w:rsid w:val="007F4ADE"/>
    <w:rsid w:val="007F5A5A"/>
    <w:rsid w:val="007F5EDC"/>
    <w:rsid w:val="00800AFD"/>
    <w:rsid w:val="00800C1B"/>
    <w:rsid w:val="0080239D"/>
    <w:rsid w:val="00803CF3"/>
    <w:rsid w:val="00806EAB"/>
    <w:rsid w:val="00810E52"/>
    <w:rsid w:val="00811CA7"/>
    <w:rsid w:val="0081636E"/>
    <w:rsid w:val="0082112E"/>
    <w:rsid w:val="00822906"/>
    <w:rsid w:val="00822F2B"/>
    <w:rsid w:val="00823D9A"/>
    <w:rsid w:val="00827EA4"/>
    <w:rsid w:val="008301D6"/>
    <w:rsid w:val="008305B7"/>
    <w:rsid w:val="00830C78"/>
    <w:rsid w:val="00830FB9"/>
    <w:rsid w:val="00832BA8"/>
    <w:rsid w:val="00834968"/>
    <w:rsid w:val="00834B53"/>
    <w:rsid w:val="00840298"/>
    <w:rsid w:val="00841BE4"/>
    <w:rsid w:val="00845A53"/>
    <w:rsid w:val="00847E8C"/>
    <w:rsid w:val="008505E1"/>
    <w:rsid w:val="00850B19"/>
    <w:rsid w:val="00852488"/>
    <w:rsid w:val="0085405E"/>
    <w:rsid w:val="008571DD"/>
    <w:rsid w:val="0085772E"/>
    <w:rsid w:val="00860344"/>
    <w:rsid w:val="00860E2C"/>
    <w:rsid w:val="0086228E"/>
    <w:rsid w:val="00864BC6"/>
    <w:rsid w:val="00865EE6"/>
    <w:rsid w:val="00870D23"/>
    <w:rsid w:val="00872B72"/>
    <w:rsid w:val="00873022"/>
    <w:rsid w:val="00876468"/>
    <w:rsid w:val="008767E1"/>
    <w:rsid w:val="00876CC7"/>
    <w:rsid w:val="008823E4"/>
    <w:rsid w:val="008837C4"/>
    <w:rsid w:val="008849F3"/>
    <w:rsid w:val="00884E78"/>
    <w:rsid w:val="0088673B"/>
    <w:rsid w:val="00887265"/>
    <w:rsid w:val="00887500"/>
    <w:rsid w:val="008905AD"/>
    <w:rsid w:val="008920F2"/>
    <w:rsid w:val="0089348A"/>
    <w:rsid w:val="00894E9F"/>
    <w:rsid w:val="00895424"/>
    <w:rsid w:val="00896CEC"/>
    <w:rsid w:val="008A06BC"/>
    <w:rsid w:val="008A0AA3"/>
    <w:rsid w:val="008A0EAA"/>
    <w:rsid w:val="008A149F"/>
    <w:rsid w:val="008A19FD"/>
    <w:rsid w:val="008A1A25"/>
    <w:rsid w:val="008A4E05"/>
    <w:rsid w:val="008A5469"/>
    <w:rsid w:val="008A56DB"/>
    <w:rsid w:val="008A6CFC"/>
    <w:rsid w:val="008B2125"/>
    <w:rsid w:val="008B25D4"/>
    <w:rsid w:val="008B38E5"/>
    <w:rsid w:val="008B58C4"/>
    <w:rsid w:val="008B6CD2"/>
    <w:rsid w:val="008B72DD"/>
    <w:rsid w:val="008C050B"/>
    <w:rsid w:val="008C1132"/>
    <w:rsid w:val="008C302A"/>
    <w:rsid w:val="008C3E42"/>
    <w:rsid w:val="008C4B72"/>
    <w:rsid w:val="008C5279"/>
    <w:rsid w:val="008C527D"/>
    <w:rsid w:val="008C5C9F"/>
    <w:rsid w:val="008C6773"/>
    <w:rsid w:val="008C72BB"/>
    <w:rsid w:val="008D12B5"/>
    <w:rsid w:val="008D140C"/>
    <w:rsid w:val="008D2BAE"/>
    <w:rsid w:val="008D2C9E"/>
    <w:rsid w:val="008D41F5"/>
    <w:rsid w:val="008D521F"/>
    <w:rsid w:val="008D5C06"/>
    <w:rsid w:val="008D6227"/>
    <w:rsid w:val="008D7A8B"/>
    <w:rsid w:val="008E41D3"/>
    <w:rsid w:val="008E43F1"/>
    <w:rsid w:val="008E594F"/>
    <w:rsid w:val="008E7312"/>
    <w:rsid w:val="008F297F"/>
    <w:rsid w:val="008F447E"/>
    <w:rsid w:val="00900A4C"/>
    <w:rsid w:val="00904BA9"/>
    <w:rsid w:val="00904E7E"/>
    <w:rsid w:val="0091086B"/>
    <w:rsid w:val="00911129"/>
    <w:rsid w:val="00912EA3"/>
    <w:rsid w:val="00914B6E"/>
    <w:rsid w:val="009156A2"/>
    <w:rsid w:val="0091579A"/>
    <w:rsid w:val="0091615D"/>
    <w:rsid w:val="00923F7E"/>
    <w:rsid w:val="00924C96"/>
    <w:rsid w:val="00925030"/>
    <w:rsid w:val="00925B32"/>
    <w:rsid w:val="00930A64"/>
    <w:rsid w:val="00930BE5"/>
    <w:rsid w:val="00931403"/>
    <w:rsid w:val="00934991"/>
    <w:rsid w:val="009351A7"/>
    <w:rsid w:val="009426B9"/>
    <w:rsid w:val="00944E85"/>
    <w:rsid w:val="0094634C"/>
    <w:rsid w:val="009463AB"/>
    <w:rsid w:val="00950239"/>
    <w:rsid w:val="00950332"/>
    <w:rsid w:val="00955899"/>
    <w:rsid w:val="00955A03"/>
    <w:rsid w:val="00956ABA"/>
    <w:rsid w:val="0096203D"/>
    <w:rsid w:val="0096224A"/>
    <w:rsid w:val="00963289"/>
    <w:rsid w:val="00964A78"/>
    <w:rsid w:val="009656B4"/>
    <w:rsid w:val="00966CA0"/>
    <w:rsid w:val="00966D74"/>
    <w:rsid w:val="00967F9D"/>
    <w:rsid w:val="00970275"/>
    <w:rsid w:val="00970ABF"/>
    <w:rsid w:val="009710E2"/>
    <w:rsid w:val="00972E9C"/>
    <w:rsid w:val="0097391E"/>
    <w:rsid w:val="00973DF3"/>
    <w:rsid w:val="009742DA"/>
    <w:rsid w:val="009743BE"/>
    <w:rsid w:val="009753A0"/>
    <w:rsid w:val="00977437"/>
    <w:rsid w:val="00977C89"/>
    <w:rsid w:val="00980AB3"/>
    <w:rsid w:val="009848CB"/>
    <w:rsid w:val="00984D10"/>
    <w:rsid w:val="0098600B"/>
    <w:rsid w:val="009861C1"/>
    <w:rsid w:val="00987177"/>
    <w:rsid w:val="00987F11"/>
    <w:rsid w:val="0099128D"/>
    <w:rsid w:val="009917F1"/>
    <w:rsid w:val="00991E37"/>
    <w:rsid w:val="00991E74"/>
    <w:rsid w:val="009926A6"/>
    <w:rsid w:val="0099415E"/>
    <w:rsid w:val="009948BF"/>
    <w:rsid w:val="00997844"/>
    <w:rsid w:val="009978C2"/>
    <w:rsid w:val="009A345F"/>
    <w:rsid w:val="009A4AE5"/>
    <w:rsid w:val="009A5218"/>
    <w:rsid w:val="009A6806"/>
    <w:rsid w:val="009B1717"/>
    <w:rsid w:val="009B22D2"/>
    <w:rsid w:val="009B2839"/>
    <w:rsid w:val="009B4226"/>
    <w:rsid w:val="009B4C17"/>
    <w:rsid w:val="009B5BF6"/>
    <w:rsid w:val="009C1C79"/>
    <w:rsid w:val="009C339C"/>
    <w:rsid w:val="009C33B8"/>
    <w:rsid w:val="009C55B8"/>
    <w:rsid w:val="009D07A0"/>
    <w:rsid w:val="009D107D"/>
    <w:rsid w:val="009D1871"/>
    <w:rsid w:val="009D2985"/>
    <w:rsid w:val="009D3033"/>
    <w:rsid w:val="009D5770"/>
    <w:rsid w:val="009D6AF5"/>
    <w:rsid w:val="009D6CF1"/>
    <w:rsid w:val="009D74BA"/>
    <w:rsid w:val="009E0874"/>
    <w:rsid w:val="009E1A16"/>
    <w:rsid w:val="009E2045"/>
    <w:rsid w:val="009E4A84"/>
    <w:rsid w:val="009E5D0A"/>
    <w:rsid w:val="009E6973"/>
    <w:rsid w:val="009F0466"/>
    <w:rsid w:val="009F4200"/>
    <w:rsid w:val="009F4933"/>
    <w:rsid w:val="009F5FD0"/>
    <w:rsid w:val="009F6DD5"/>
    <w:rsid w:val="009F7B12"/>
    <w:rsid w:val="00A020A2"/>
    <w:rsid w:val="00A0297B"/>
    <w:rsid w:val="00A0358E"/>
    <w:rsid w:val="00A049F9"/>
    <w:rsid w:val="00A0529B"/>
    <w:rsid w:val="00A0766F"/>
    <w:rsid w:val="00A10713"/>
    <w:rsid w:val="00A1252C"/>
    <w:rsid w:val="00A13B8B"/>
    <w:rsid w:val="00A151B7"/>
    <w:rsid w:val="00A21225"/>
    <w:rsid w:val="00A2139C"/>
    <w:rsid w:val="00A218F9"/>
    <w:rsid w:val="00A21E37"/>
    <w:rsid w:val="00A23314"/>
    <w:rsid w:val="00A235BB"/>
    <w:rsid w:val="00A23F10"/>
    <w:rsid w:val="00A23F72"/>
    <w:rsid w:val="00A26AB8"/>
    <w:rsid w:val="00A322BF"/>
    <w:rsid w:val="00A3373F"/>
    <w:rsid w:val="00A33F51"/>
    <w:rsid w:val="00A349DF"/>
    <w:rsid w:val="00A40311"/>
    <w:rsid w:val="00A41032"/>
    <w:rsid w:val="00A4106C"/>
    <w:rsid w:val="00A428E7"/>
    <w:rsid w:val="00A43E49"/>
    <w:rsid w:val="00A44018"/>
    <w:rsid w:val="00A45DE9"/>
    <w:rsid w:val="00A47471"/>
    <w:rsid w:val="00A47E22"/>
    <w:rsid w:val="00A47ED0"/>
    <w:rsid w:val="00A509EA"/>
    <w:rsid w:val="00A51476"/>
    <w:rsid w:val="00A526D2"/>
    <w:rsid w:val="00A54412"/>
    <w:rsid w:val="00A5498B"/>
    <w:rsid w:val="00A550C8"/>
    <w:rsid w:val="00A5564C"/>
    <w:rsid w:val="00A559EC"/>
    <w:rsid w:val="00A569F8"/>
    <w:rsid w:val="00A56E60"/>
    <w:rsid w:val="00A571B3"/>
    <w:rsid w:val="00A626B5"/>
    <w:rsid w:val="00A62DF0"/>
    <w:rsid w:val="00A63620"/>
    <w:rsid w:val="00A63ECE"/>
    <w:rsid w:val="00A66342"/>
    <w:rsid w:val="00A665C8"/>
    <w:rsid w:val="00A6749E"/>
    <w:rsid w:val="00A70D88"/>
    <w:rsid w:val="00A71142"/>
    <w:rsid w:val="00A72895"/>
    <w:rsid w:val="00A74589"/>
    <w:rsid w:val="00A74E1B"/>
    <w:rsid w:val="00A7513A"/>
    <w:rsid w:val="00A75AC9"/>
    <w:rsid w:val="00A75B25"/>
    <w:rsid w:val="00A76AEE"/>
    <w:rsid w:val="00A801B4"/>
    <w:rsid w:val="00A82075"/>
    <w:rsid w:val="00A82192"/>
    <w:rsid w:val="00A857AB"/>
    <w:rsid w:val="00A90009"/>
    <w:rsid w:val="00A927A4"/>
    <w:rsid w:val="00A92CC3"/>
    <w:rsid w:val="00A94CC0"/>
    <w:rsid w:val="00A9534A"/>
    <w:rsid w:val="00A957FA"/>
    <w:rsid w:val="00A968DC"/>
    <w:rsid w:val="00A977BA"/>
    <w:rsid w:val="00AA1A89"/>
    <w:rsid w:val="00AA346E"/>
    <w:rsid w:val="00AA3770"/>
    <w:rsid w:val="00AA3CFA"/>
    <w:rsid w:val="00AA41C3"/>
    <w:rsid w:val="00AA423C"/>
    <w:rsid w:val="00AA53E2"/>
    <w:rsid w:val="00AA73FD"/>
    <w:rsid w:val="00AB1D6E"/>
    <w:rsid w:val="00AB2F87"/>
    <w:rsid w:val="00AB32C3"/>
    <w:rsid w:val="00AB5E2B"/>
    <w:rsid w:val="00AB6069"/>
    <w:rsid w:val="00AB6467"/>
    <w:rsid w:val="00AC0575"/>
    <w:rsid w:val="00AC0758"/>
    <w:rsid w:val="00AC0934"/>
    <w:rsid w:val="00AC17EE"/>
    <w:rsid w:val="00AC2BFD"/>
    <w:rsid w:val="00AC4DDD"/>
    <w:rsid w:val="00AC5A43"/>
    <w:rsid w:val="00AC5D2C"/>
    <w:rsid w:val="00AC6B6D"/>
    <w:rsid w:val="00AD3559"/>
    <w:rsid w:val="00AD3B05"/>
    <w:rsid w:val="00AD3C8E"/>
    <w:rsid w:val="00AD470D"/>
    <w:rsid w:val="00AD5193"/>
    <w:rsid w:val="00AD7390"/>
    <w:rsid w:val="00AD7E6F"/>
    <w:rsid w:val="00AE1BD8"/>
    <w:rsid w:val="00AE2817"/>
    <w:rsid w:val="00AE304B"/>
    <w:rsid w:val="00AE3D3E"/>
    <w:rsid w:val="00AE49B2"/>
    <w:rsid w:val="00AE6BEB"/>
    <w:rsid w:val="00AE7789"/>
    <w:rsid w:val="00AF32EA"/>
    <w:rsid w:val="00AF3DED"/>
    <w:rsid w:val="00AF48B1"/>
    <w:rsid w:val="00AF4FB8"/>
    <w:rsid w:val="00AF6713"/>
    <w:rsid w:val="00AF6BD6"/>
    <w:rsid w:val="00AF753A"/>
    <w:rsid w:val="00B021ED"/>
    <w:rsid w:val="00B0250D"/>
    <w:rsid w:val="00B032B1"/>
    <w:rsid w:val="00B03F46"/>
    <w:rsid w:val="00B059B8"/>
    <w:rsid w:val="00B07418"/>
    <w:rsid w:val="00B11547"/>
    <w:rsid w:val="00B11EF0"/>
    <w:rsid w:val="00B1226C"/>
    <w:rsid w:val="00B14F05"/>
    <w:rsid w:val="00B15D01"/>
    <w:rsid w:val="00B20EBF"/>
    <w:rsid w:val="00B24F44"/>
    <w:rsid w:val="00B25428"/>
    <w:rsid w:val="00B255BB"/>
    <w:rsid w:val="00B25E24"/>
    <w:rsid w:val="00B2609A"/>
    <w:rsid w:val="00B301B1"/>
    <w:rsid w:val="00B353E7"/>
    <w:rsid w:val="00B35759"/>
    <w:rsid w:val="00B3619A"/>
    <w:rsid w:val="00B365B7"/>
    <w:rsid w:val="00B40BCA"/>
    <w:rsid w:val="00B4308D"/>
    <w:rsid w:val="00B440DA"/>
    <w:rsid w:val="00B4415A"/>
    <w:rsid w:val="00B503CD"/>
    <w:rsid w:val="00B548AB"/>
    <w:rsid w:val="00B54BBE"/>
    <w:rsid w:val="00B553F8"/>
    <w:rsid w:val="00B560B6"/>
    <w:rsid w:val="00B5630E"/>
    <w:rsid w:val="00B62FB6"/>
    <w:rsid w:val="00B635BF"/>
    <w:rsid w:val="00B7050A"/>
    <w:rsid w:val="00B70904"/>
    <w:rsid w:val="00B70A42"/>
    <w:rsid w:val="00B74791"/>
    <w:rsid w:val="00B76AF9"/>
    <w:rsid w:val="00B8115B"/>
    <w:rsid w:val="00B81AE2"/>
    <w:rsid w:val="00B82D30"/>
    <w:rsid w:val="00B87F62"/>
    <w:rsid w:val="00B914A4"/>
    <w:rsid w:val="00B92497"/>
    <w:rsid w:val="00B92D41"/>
    <w:rsid w:val="00B93679"/>
    <w:rsid w:val="00B9422D"/>
    <w:rsid w:val="00B95A1D"/>
    <w:rsid w:val="00B9634B"/>
    <w:rsid w:val="00BA5072"/>
    <w:rsid w:val="00BA5B65"/>
    <w:rsid w:val="00BA7BFE"/>
    <w:rsid w:val="00BB0ECA"/>
    <w:rsid w:val="00BB246B"/>
    <w:rsid w:val="00BB4F49"/>
    <w:rsid w:val="00BB60F7"/>
    <w:rsid w:val="00BB6B2D"/>
    <w:rsid w:val="00BB7375"/>
    <w:rsid w:val="00BC0500"/>
    <w:rsid w:val="00BC44F5"/>
    <w:rsid w:val="00BC500B"/>
    <w:rsid w:val="00BC547C"/>
    <w:rsid w:val="00BC6B29"/>
    <w:rsid w:val="00BC798C"/>
    <w:rsid w:val="00BC7D11"/>
    <w:rsid w:val="00BD00FD"/>
    <w:rsid w:val="00BD15A2"/>
    <w:rsid w:val="00BD2153"/>
    <w:rsid w:val="00BD337A"/>
    <w:rsid w:val="00BD558D"/>
    <w:rsid w:val="00BD5CC3"/>
    <w:rsid w:val="00BE1F47"/>
    <w:rsid w:val="00BE24AD"/>
    <w:rsid w:val="00BE2787"/>
    <w:rsid w:val="00BE51BB"/>
    <w:rsid w:val="00BE7ECD"/>
    <w:rsid w:val="00BF1682"/>
    <w:rsid w:val="00BF241A"/>
    <w:rsid w:val="00BF3AFB"/>
    <w:rsid w:val="00BF3DD2"/>
    <w:rsid w:val="00BF4344"/>
    <w:rsid w:val="00BF6970"/>
    <w:rsid w:val="00BF69C6"/>
    <w:rsid w:val="00C005D8"/>
    <w:rsid w:val="00C02F31"/>
    <w:rsid w:val="00C04DA5"/>
    <w:rsid w:val="00C050FC"/>
    <w:rsid w:val="00C05D40"/>
    <w:rsid w:val="00C11905"/>
    <w:rsid w:val="00C14462"/>
    <w:rsid w:val="00C16542"/>
    <w:rsid w:val="00C22382"/>
    <w:rsid w:val="00C2355B"/>
    <w:rsid w:val="00C274A6"/>
    <w:rsid w:val="00C34201"/>
    <w:rsid w:val="00C35A38"/>
    <w:rsid w:val="00C35EC9"/>
    <w:rsid w:val="00C36807"/>
    <w:rsid w:val="00C37392"/>
    <w:rsid w:val="00C41545"/>
    <w:rsid w:val="00C4209D"/>
    <w:rsid w:val="00C432B3"/>
    <w:rsid w:val="00C4771E"/>
    <w:rsid w:val="00C47D15"/>
    <w:rsid w:val="00C50279"/>
    <w:rsid w:val="00C505E7"/>
    <w:rsid w:val="00C505EC"/>
    <w:rsid w:val="00C5165A"/>
    <w:rsid w:val="00C52841"/>
    <w:rsid w:val="00C54FC6"/>
    <w:rsid w:val="00C553D1"/>
    <w:rsid w:val="00C56F88"/>
    <w:rsid w:val="00C57B7E"/>
    <w:rsid w:val="00C60217"/>
    <w:rsid w:val="00C66D15"/>
    <w:rsid w:val="00C671D0"/>
    <w:rsid w:val="00C70449"/>
    <w:rsid w:val="00C7071B"/>
    <w:rsid w:val="00C73904"/>
    <w:rsid w:val="00C73BAE"/>
    <w:rsid w:val="00C73F7B"/>
    <w:rsid w:val="00C74055"/>
    <w:rsid w:val="00C7421D"/>
    <w:rsid w:val="00C76481"/>
    <w:rsid w:val="00C76812"/>
    <w:rsid w:val="00C83D88"/>
    <w:rsid w:val="00C84961"/>
    <w:rsid w:val="00C84B06"/>
    <w:rsid w:val="00C87100"/>
    <w:rsid w:val="00C87CAC"/>
    <w:rsid w:val="00C913A1"/>
    <w:rsid w:val="00C950D6"/>
    <w:rsid w:val="00C97646"/>
    <w:rsid w:val="00C97672"/>
    <w:rsid w:val="00CA55BD"/>
    <w:rsid w:val="00CB0837"/>
    <w:rsid w:val="00CB1751"/>
    <w:rsid w:val="00CB2BFA"/>
    <w:rsid w:val="00CB3888"/>
    <w:rsid w:val="00CB400E"/>
    <w:rsid w:val="00CB48F6"/>
    <w:rsid w:val="00CB5F04"/>
    <w:rsid w:val="00CB67F1"/>
    <w:rsid w:val="00CB7DC8"/>
    <w:rsid w:val="00CC0EC0"/>
    <w:rsid w:val="00CC34DB"/>
    <w:rsid w:val="00CC51AC"/>
    <w:rsid w:val="00CC609D"/>
    <w:rsid w:val="00CC7044"/>
    <w:rsid w:val="00CD11FF"/>
    <w:rsid w:val="00CD15E7"/>
    <w:rsid w:val="00CE07A9"/>
    <w:rsid w:val="00CE1012"/>
    <w:rsid w:val="00CE419E"/>
    <w:rsid w:val="00CE5011"/>
    <w:rsid w:val="00CE574A"/>
    <w:rsid w:val="00CE5DC5"/>
    <w:rsid w:val="00CE629E"/>
    <w:rsid w:val="00CE66CE"/>
    <w:rsid w:val="00CE77AA"/>
    <w:rsid w:val="00CE7B59"/>
    <w:rsid w:val="00CF352C"/>
    <w:rsid w:val="00CF4570"/>
    <w:rsid w:val="00CF58EE"/>
    <w:rsid w:val="00D00811"/>
    <w:rsid w:val="00D02A43"/>
    <w:rsid w:val="00D04518"/>
    <w:rsid w:val="00D05489"/>
    <w:rsid w:val="00D05CA1"/>
    <w:rsid w:val="00D061CB"/>
    <w:rsid w:val="00D0796C"/>
    <w:rsid w:val="00D07B7D"/>
    <w:rsid w:val="00D11A35"/>
    <w:rsid w:val="00D13130"/>
    <w:rsid w:val="00D146D4"/>
    <w:rsid w:val="00D14B3C"/>
    <w:rsid w:val="00D14BA5"/>
    <w:rsid w:val="00D16580"/>
    <w:rsid w:val="00D20E20"/>
    <w:rsid w:val="00D21C3A"/>
    <w:rsid w:val="00D228DA"/>
    <w:rsid w:val="00D22E01"/>
    <w:rsid w:val="00D238A5"/>
    <w:rsid w:val="00D24621"/>
    <w:rsid w:val="00D2600F"/>
    <w:rsid w:val="00D30EEA"/>
    <w:rsid w:val="00D31534"/>
    <w:rsid w:val="00D32C1F"/>
    <w:rsid w:val="00D33FC2"/>
    <w:rsid w:val="00D37394"/>
    <w:rsid w:val="00D46699"/>
    <w:rsid w:val="00D47345"/>
    <w:rsid w:val="00D5073F"/>
    <w:rsid w:val="00D51573"/>
    <w:rsid w:val="00D5399A"/>
    <w:rsid w:val="00D5444F"/>
    <w:rsid w:val="00D54E0D"/>
    <w:rsid w:val="00D54F7D"/>
    <w:rsid w:val="00D560A8"/>
    <w:rsid w:val="00D57528"/>
    <w:rsid w:val="00D602CA"/>
    <w:rsid w:val="00D60DD8"/>
    <w:rsid w:val="00D64C6C"/>
    <w:rsid w:val="00D66D42"/>
    <w:rsid w:val="00D71734"/>
    <w:rsid w:val="00D7244A"/>
    <w:rsid w:val="00D72BCC"/>
    <w:rsid w:val="00D746C0"/>
    <w:rsid w:val="00D74723"/>
    <w:rsid w:val="00D76091"/>
    <w:rsid w:val="00D76B9C"/>
    <w:rsid w:val="00D76D82"/>
    <w:rsid w:val="00D77D65"/>
    <w:rsid w:val="00D80448"/>
    <w:rsid w:val="00D80C4F"/>
    <w:rsid w:val="00D8149F"/>
    <w:rsid w:val="00D814FB"/>
    <w:rsid w:val="00D83D95"/>
    <w:rsid w:val="00D90293"/>
    <w:rsid w:val="00D90496"/>
    <w:rsid w:val="00D917BC"/>
    <w:rsid w:val="00D942DE"/>
    <w:rsid w:val="00D9491E"/>
    <w:rsid w:val="00DA070D"/>
    <w:rsid w:val="00DA3B2F"/>
    <w:rsid w:val="00DA4731"/>
    <w:rsid w:val="00DA5040"/>
    <w:rsid w:val="00DA7D5F"/>
    <w:rsid w:val="00DB053E"/>
    <w:rsid w:val="00DB11B2"/>
    <w:rsid w:val="00DB161E"/>
    <w:rsid w:val="00DB1F83"/>
    <w:rsid w:val="00DB31B5"/>
    <w:rsid w:val="00DB5BBA"/>
    <w:rsid w:val="00DC03DB"/>
    <w:rsid w:val="00DC1206"/>
    <w:rsid w:val="00DC2BE8"/>
    <w:rsid w:val="00DC2BEC"/>
    <w:rsid w:val="00DC3256"/>
    <w:rsid w:val="00DC35A6"/>
    <w:rsid w:val="00DD090A"/>
    <w:rsid w:val="00DD2421"/>
    <w:rsid w:val="00DD3222"/>
    <w:rsid w:val="00DD3CF9"/>
    <w:rsid w:val="00DD3D81"/>
    <w:rsid w:val="00DD571C"/>
    <w:rsid w:val="00DD64E1"/>
    <w:rsid w:val="00DE039A"/>
    <w:rsid w:val="00DE0403"/>
    <w:rsid w:val="00DE4811"/>
    <w:rsid w:val="00DE5458"/>
    <w:rsid w:val="00DE5EE6"/>
    <w:rsid w:val="00DE77EA"/>
    <w:rsid w:val="00DF0ABA"/>
    <w:rsid w:val="00DF1EEE"/>
    <w:rsid w:val="00DF6C58"/>
    <w:rsid w:val="00E001C1"/>
    <w:rsid w:val="00E00C9C"/>
    <w:rsid w:val="00E039F3"/>
    <w:rsid w:val="00E03C30"/>
    <w:rsid w:val="00E078BD"/>
    <w:rsid w:val="00E078F8"/>
    <w:rsid w:val="00E1142B"/>
    <w:rsid w:val="00E11F10"/>
    <w:rsid w:val="00E157E4"/>
    <w:rsid w:val="00E15950"/>
    <w:rsid w:val="00E16522"/>
    <w:rsid w:val="00E1750C"/>
    <w:rsid w:val="00E178A6"/>
    <w:rsid w:val="00E20545"/>
    <w:rsid w:val="00E223C6"/>
    <w:rsid w:val="00E2443D"/>
    <w:rsid w:val="00E24789"/>
    <w:rsid w:val="00E26615"/>
    <w:rsid w:val="00E26F37"/>
    <w:rsid w:val="00E312E6"/>
    <w:rsid w:val="00E33928"/>
    <w:rsid w:val="00E33C90"/>
    <w:rsid w:val="00E34D15"/>
    <w:rsid w:val="00E35E86"/>
    <w:rsid w:val="00E36B45"/>
    <w:rsid w:val="00E37BF1"/>
    <w:rsid w:val="00E428B3"/>
    <w:rsid w:val="00E44D19"/>
    <w:rsid w:val="00E51372"/>
    <w:rsid w:val="00E51CAF"/>
    <w:rsid w:val="00E51E95"/>
    <w:rsid w:val="00E51F9D"/>
    <w:rsid w:val="00E5202F"/>
    <w:rsid w:val="00E5211A"/>
    <w:rsid w:val="00E53A9F"/>
    <w:rsid w:val="00E549AF"/>
    <w:rsid w:val="00E54B31"/>
    <w:rsid w:val="00E60540"/>
    <w:rsid w:val="00E61C74"/>
    <w:rsid w:val="00E63D8F"/>
    <w:rsid w:val="00E7032B"/>
    <w:rsid w:val="00E706B6"/>
    <w:rsid w:val="00E76FF1"/>
    <w:rsid w:val="00E774FE"/>
    <w:rsid w:val="00E809A0"/>
    <w:rsid w:val="00E80AF7"/>
    <w:rsid w:val="00E84407"/>
    <w:rsid w:val="00E85E54"/>
    <w:rsid w:val="00E86146"/>
    <w:rsid w:val="00E86A76"/>
    <w:rsid w:val="00E87A90"/>
    <w:rsid w:val="00E904D1"/>
    <w:rsid w:val="00E92425"/>
    <w:rsid w:val="00E92AD3"/>
    <w:rsid w:val="00E959EA"/>
    <w:rsid w:val="00E96237"/>
    <w:rsid w:val="00E965D7"/>
    <w:rsid w:val="00E96D30"/>
    <w:rsid w:val="00EA1327"/>
    <w:rsid w:val="00EA623C"/>
    <w:rsid w:val="00EA6395"/>
    <w:rsid w:val="00EB044B"/>
    <w:rsid w:val="00EB067C"/>
    <w:rsid w:val="00EB3C66"/>
    <w:rsid w:val="00EB4B03"/>
    <w:rsid w:val="00EB5DEE"/>
    <w:rsid w:val="00EB64CB"/>
    <w:rsid w:val="00EB6D46"/>
    <w:rsid w:val="00EC07F3"/>
    <w:rsid w:val="00EC3194"/>
    <w:rsid w:val="00EC518D"/>
    <w:rsid w:val="00EC71D3"/>
    <w:rsid w:val="00ED02FE"/>
    <w:rsid w:val="00ED1EC9"/>
    <w:rsid w:val="00ED3737"/>
    <w:rsid w:val="00ED3856"/>
    <w:rsid w:val="00ED3E2E"/>
    <w:rsid w:val="00ED4CC8"/>
    <w:rsid w:val="00ED6A08"/>
    <w:rsid w:val="00EE05EE"/>
    <w:rsid w:val="00EE0AE2"/>
    <w:rsid w:val="00EE35B4"/>
    <w:rsid w:val="00EE5643"/>
    <w:rsid w:val="00EE7CEC"/>
    <w:rsid w:val="00EF056E"/>
    <w:rsid w:val="00EF09B3"/>
    <w:rsid w:val="00EF0A3E"/>
    <w:rsid w:val="00EF5EC6"/>
    <w:rsid w:val="00EF646F"/>
    <w:rsid w:val="00EF791E"/>
    <w:rsid w:val="00EF7A63"/>
    <w:rsid w:val="00F00D58"/>
    <w:rsid w:val="00F0226C"/>
    <w:rsid w:val="00F02522"/>
    <w:rsid w:val="00F02AE0"/>
    <w:rsid w:val="00F02BFF"/>
    <w:rsid w:val="00F034DC"/>
    <w:rsid w:val="00F03953"/>
    <w:rsid w:val="00F04841"/>
    <w:rsid w:val="00F0579A"/>
    <w:rsid w:val="00F0674D"/>
    <w:rsid w:val="00F10287"/>
    <w:rsid w:val="00F10C82"/>
    <w:rsid w:val="00F13B2E"/>
    <w:rsid w:val="00F176A0"/>
    <w:rsid w:val="00F20174"/>
    <w:rsid w:val="00F2041D"/>
    <w:rsid w:val="00F22098"/>
    <w:rsid w:val="00F223BC"/>
    <w:rsid w:val="00F23780"/>
    <w:rsid w:val="00F26185"/>
    <w:rsid w:val="00F3178C"/>
    <w:rsid w:val="00F33DE5"/>
    <w:rsid w:val="00F34B8F"/>
    <w:rsid w:val="00F36D7F"/>
    <w:rsid w:val="00F37186"/>
    <w:rsid w:val="00F42FCF"/>
    <w:rsid w:val="00F44A83"/>
    <w:rsid w:val="00F51743"/>
    <w:rsid w:val="00F529D4"/>
    <w:rsid w:val="00F53F39"/>
    <w:rsid w:val="00F54F27"/>
    <w:rsid w:val="00F55FC8"/>
    <w:rsid w:val="00F604E3"/>
    <w:rsid w:val="00F610E6"/>
    <w:rsid w:val="00F61FCC"/>
    <w:rsid w:val="00F66036"/>
    <w:rsid w:val="00F6689D"/>
    <w:rsid w:val="00F67E23"/>
    <w:rsid w:val="00F71601"/>
    <w:rsid w:val="00F72C75"/>
    <w:rsid w:val="00F74033"/>
    <w:rsid w:val="00F759EB"/>
    <w:rsid w:val="00F772F7"/>
    <w:rsid w:val="00F81334"/>
    <w:rsid w:val="00F81A81"/>
    <w:rsid w:val="00F81CC5"/>
    <w:rsid w:val="00F8760D"/>
    <w:rsid w:val="00F87AAD"/>
    <w:rsid w:val="00F9174C"/>
    <w:rsid w:val="00F91D5C"/>
    <w:rsid w:val="00F92097"/>
    <w:rsid w:val="00F951DB"/>
    <w:rsid w:val="00F9574A"/>
    <w:rsid w:val="00F95D64"/>
    <w:rsid w:val="00F9793B"/>
    <w:rsid w:val="00FA0EAA"/>
    <w:rsid w:val="00FA0F53"/>
    <w:rsid w:val="00FA1DA9"/>
    <w:rsid w:val="00FA3809"/>
    <w:rsid w:val="00FA3A95"/>
    <w:rsid w:val="00FA6D7E"/>
    <w:rsid w:val="00FB020D"/>
    <w:rsid w:val="00FB3F33"/>
    <w:rsid w:val="00FB43E4"/>
    <w:rsid w:val="00FB4889"/>
    <w:rsid w:val="00FB676C"/>
    <w:rsid w:val="00FB67CC"/>
    <w:rsid w:val="00FB728E"/>
    <w:rsid w:val="00FC0ADE"/>
    <w:rsid w:val="00FC0FF1"/>
    <w:rsid w:val="00FC1FDF"/>
    <w:rsid w:val="00FC3360"/>
    <w:rsid w:val="00FC3E27"/>
    <w:rsid w:val="00FC493B"/>
    <w:rsid w:val="00FC63E5"/>
    <w:rsid w:val="00FD0E54"/>
    <w:rsid w:val="00FD2B71"/>
    <w:rsid w:val="00FD3576"/>
    <w:rsid w:val="00FD52D6"/>
    <w:rsid w:val="00FD56FC"/>
    <w:rsid w:val="00FD752B"/>
    <w:rsid w:val="00FD7DD7"/>
    <w:rsid w:val="00FD7EB3"/>
    <w:rsid w:val="00FE033E"/>
    <w:rsid w:val="00FE0D2F"/>
    <w:rsid w:val="00FE31C6"/>
    <w:rsid w:val="00FE4A65"/>
    <w:rsid w:val="00FE51E8"/>
    <w:rsid w:val="00FE602F"/>
    <w:rsid w:val="00FE7611"/>
    <w:rsid w:val="00FF0769"/>
    <w:rsid w:val="00FF0DB8"/>
    <w:rsid w:val="00FF1A76"/>
    <w:rsid w:val="00FF1C1D"/>
    <w:rsid w:val="00FF3330"/>
    <w:rsid w:val="00FF4080"/>
    <w:rsid w:val="00FF40A5"/>
    <w:rsid w:val="00FF48DA"/>
    <w:rsid w:val="00FF5E19"/>
    <w:rsid w:val="00FF61AD"/>
    <w:rsid w:val="00FF76BD"/>
    <w:rsid w:val="03114B08"/>
    <w:rsid w:val="031D4E5E"/>
    <w:rsid w:val="0E8469B3"/>
    <w:rsid w:val="1667651F"/>
    <w:rsid w:val="188D3A55"/>
    <w:rsid w:val="1E8D304D"/>
    <w:rsid w:val="220C4457"/>
    <w:rsid w:val="30BB3F76"/>
    <w:rsid w:val="3B6D7AFB"/>
    <w:rsid w:val="3F194BD4"/>
    <w:rsid w:val="47D139FD"/>
    <w:rsid w:val="47FD508A"/>
    <w:rsid w:val="4EF11736"/>
    <w:rsid w:val="53116452"/>
    <w:rsid w:val="60A64E21"/>
    <w:rsid w:val="62DB0CF9"/>
    <w:rsid w:val="64A240A2"/>
    <w:rsid w:val="69FF3090"/>
    <w:rsid w:val="789F1E2D"/>
    <w:rsid w:val="7ED814F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textAlignment w:val="baseline"/>
    </w:pPr>
    <w:rPr>
      <w:rFonts w:ascii="Times New Roman" w:hAnsi="Times New Roman" w:eastAsia="宋体" w:cs="Times New Roman"/>
      <w:sz w:val="21"/>
      <w:lang w:val="en-GB" w:eastAsia="en-US" w:bidi="ar-SA"/>
    </w:rPr>
  </w:style>
  <w:style w:type="paragraph" w:styleId="2">
    <w:name w:val="heading 1"/>
    <w:basedOn w:val="1"/>
    <w:next w:val="1"/>
    <w:qFormat/>
    <w:uiPriority w:val="0"/>
    <w:pPr>
      <w:keepNext/>
      <w:keepLines/>
      <w:numPr>
        <w:ilvl w:val="0"/>
        <w:numId w:val="1"/>
      </w:numPr>
      <w:spacing w:line="360" w:lineRule="auto"/>
      <w:outlineLvl w:val="0"/>
    </w:pPr>
    <w:rPr>
      <w:b/>
      <w:bCs/>
      <w:kern w:val="44"/>
      <w:sz w:val="22"/>
      <w:szCs w:val="44"/>
    </w:rPr>
  </w:style>
  <w:style w:type="paragraph" w:styleId="3">
    <w:name w:val="heading 2"/>
    <w:basedOn w:val="1"/>
    <w:next w:val="1"/>
    <w:qFormat/>
    <w:uiPriority w:val="0"/>
    <w:pPr>
      <w:keepNext/>
      <w:keepLines/>
      <w:spacing w:line="360" w:lineRule="auto"/>
      <w:outlineLvl w:val="1"/>
    </w:pPr>
    <w:rPr>
      <w:bCs/>
      <w:sz w:val="22"/>
      <w:szCs w:val="32"/>
    </w:rPr>
  </w:style>
  <w:style w:type="paragraph" w:styleId="4">
    <w:name w:val="heading 3"/>
    <w:basedOn w:val="1"/>
    <w:next w:val="1"/>
    <w:qFormat/>
    <w:uiPriority w:val="0"/>
    <w:pPr>
      <w:keepNext/>
      <w:spacing w:line="360" w:lineRule="auto"/>
      <w:outlineLvl w:val="2"/>
    </w:pPr>
    <w:rPr>
      <w:sz w:val="22"/>
    </w:rPr>
  </w:style>
  <w:style w:type="paragraph" w:styleId="5">
    <w:name w:val="heading 4"/>
    <w:basedOn w:val="1"/>
    <w:next w:val="1"/>
    <w:qFormat/>
    <w:uiPriority w:val="0"/>
    <w:pPr>
      <w:keepNext/>
      <w:spacing w:before="240" w:after="60"/>
      <w:outlineLvl w:val="3"/>
    </w:pPr>
    <w:rPr>
      <w:b/>
      <w:i/>
    </w:rPr>
  </w:style>
  <w:style w:type="character" w:default="1" w:styleId="21">
    <w:name w:val="Default Paragraph Font"/>
    <w:semiHidden/>
    <w:unhideWhenUsed/>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32"/>
    <w:semiHidden/>
    <w:qFormat/>
    <w:uiPriority w:val="0"/>
  </w:style>
  <w:style w:type="paragraph" w:styleId="7">
    <w:name w:val="Body Text 3"/>
    <w:basedOn w:val="1"/>
    <w:qFormat/>
    <w:uiPriority w:val="0"/>
    <w:pPr>
      <w:spacing w:after="120"/>
    </w:pPr>
    <w:rPr>
      <w:sz w:val="16"/>
      <w:szCs w:val="16"/>
    </w:rPr>
  </w:style>
  <w:style w:type="paragraph" w:styleId="8">
    <w:name w:val="Body Text"/>
    <w:basedOn w:val="1"/>
    <w:qFormat/>
    <w:uiPriority w:val="0"/>
    <w:pPr>
      <w:ind w:right="56"/>
    </w:pPr>
    <w:rPr>
      <w:b/>
      <w:sz w:val="22"/>
    </w:rPr>
  </w:style>
  <w:style w:type="paragraph" w:styleId="9">
    <w:name w:val="Body Text Indent"/>
    <w:basedOn w:val="1"/>
    <w:qFormat/>
    <w:uiPriority w:val="0"/>
    <w:pPr>
      <w:spacing w:after="120"/>
      <w:ind w:left="420" w:leftChars="200"/>
    </w:pPr>
  </w:style>
  <w:style w:type="paragraph" w:styleId="10">
    <w:name w:val="toc 3"/>
    <w:basedOn w:val="1"/>
    <w:next w:val="1"/>
    <w:qFormat/>
    <w:uiPriority w:val="39"/>
    <w:pPr>
      <w:tabs>
        <w:tab w:val="right" w:leader="dot" w:pos="8302"/>
        <w:tab w:val="right" w:leader="dot" w:pos="8835"/>
      </w:tabs>
      <w:spacing w:line="360" w:lineRule="auto"/>
      <w:ind w:left="300" w:leftChars="300"/>
    </w:pPr>
    <w:rPr>
      <w:sz w:val="20"/>
    </w:rPr>
  </w:style>
  <w:style w:type="paragraph" w:styleId="11">
    <w:name w:val="Body Text Indent 2"/>
    <w:basedOn w:val="1"/>
    <w:qFormat/>
    <w:uiPriority w:val="0"/>
    <w:pPr>
      <w:spacing w:after="120" w:line="480" w:lineRule="auto"/>
      <w:ind w:left="420" w:leftChars="200"/>
    </w:pPr>
  </w:style>
  <w:style w:type="paragraph" w:styleId="12">
    <w:name w:val="Balloon Text"/>
    <w:basedOn w:val="1"/>
    <w:semiHidden/>
    <w:qFormat/>
    <w:uiPriority w:val="0"/>
    <w:rPr>
      <w:sz w:val="18"/>
      <w:szCs w:val="18"/>
    </w:rPr>
  </w:style>
  <w:style w:type="paragraph" w:styleId="13">
    <w:name w:val="footer"/>
    <w:basedOn w:val="1"/>
    <w:link w:val="34"/>
    <w:qFormat/>
    <w:uiPriority w:val="99"/>
    <w:pPr>
      <w:tabs>
        <w:tab w:val="center" w:pos="4320"/>
        <w:tab w:val="right" w:pos="8640"/>
      </w:tabs>
    </w:pPr>
  </w:style>
  <w:style w:type="paragraph" w:styleId="14">
    <w:name w:val="header"/>
    <w:basedOn w:val="1"/>
    <w:link w:val="26"/>
    <w:qFormat/>
    <w:uiPriority w:val="0"/>
    <w:pPr>
      <w:tabs>
        <w:tab w:val="center" w:pos="4320"/>
        <w:tab w:val="right" w:pos="8640"/>
      </w:tabs>
    </w:pPr>
  </w:style>
  <w:style w:type="paragraph" w:styleId="15">
    <w:name w:val="toc 1"/>
    <w:basedOn w:val="1"/>
    <w:next w:val="1"/>
    <w:qFormat/>
    <w:uiPriority w:val="39"/>
    <w:pPr>
      <w:widowControl w:val="0"/>
      <w:tabs>
        <w:tab w:val="left" w:pos="840"/>
        <w:tab w:val="right" w:leader="dot" w:pos="10080"/>
      </w:tabs>
      <w:overflowPunct/>
      <w:autoSpaceDE/>
      <w:autoSpaceDN/>
      <w:adjustRightInd/>
      <w:spacing w:line="360" w:lineRule="auto"/>
      <w:ind w:left="210"/>
      <w:textAlignment w:val="auto"/>
    </w:pPr>
    <w:rPr>
      <w:b/>
      <w:bCs/>
      <w:caps/>
      <w:kern w:val="2"/>
      <w:lang w:val="en-US" w:eastAsia="zh-CN"/>
    </w:rPr>
  </w:style>
  <w:style w:type="paragraph" w:styleId="16">
    <w:name w:val="toc 2"/>
    <w:basedOn w:val="1"/>
    <w:next w:val="1"/>
    <w:qFormat/>
    <w:uiPriority w:val="39"/>
    <w:pPr>
      <w:widowControl w:val="0"/>
      <w:tabs>
        <w:tab w:val="right" w:leader="dot" w:pos="8302"/>
      </w:tabs>
      <w:overflowPunct/>
      <w:autoSpaceDE/>
      <w:autoSpaceDN/>
      <w:adjustRightInd/>
      <w:spacing w:line="360" w:lineRule="auto"/>
      <w:ind w:left="200" w:leftChars="200"/>
      <w:textAlignment w:val="auto"/>
    </w:pPr>
    <w:rPr>
      <w:rFonts w:eastAsia="Times New Roman"/>
      <w:kern w:val="2"/>
      <w:lang w:val="en-US" w:eastAsia="zh-CN"/>
    </w:rPr>
  </w:style>
  <w:style w:type="paragraph" w:styleId="17">
    <w:name w:val="Title"/>
    <w:basedOn w:val="1"/>
    <w:next w:val="1"/>
    <w:link w:val="44"/>
    <w:qFormat/>
    <w:uiPriority w:val="0"/>
    <w:pPr>
      <w:spacing w:before="240" w:after="60"/>
      <w:jc w:val="center"/>
      <w:outlineLvl w:val="0"/>
    </w:pPr>
    <w:rPr>
      <w:rFonts w:ascii="Calibri Light" w:hAnsi="Calibri Light"/>
      <w:b/>
      <w:bCs/>
      <w:sz w:val="32"/>
      <w:szCs w:val="32"/>
    </w:rPr>
  </w:style>
  <w:style w:type="paragraph" w:styleId="18">
    <w:name w:val="annotation subject"/>
    <w:basedOn w:val="6"/>
    <w:next w:val="6"/>
    <w:semiHidden/>
    <w:qFormat/>
    <w:uiPriority w:val="0"/>
    <w:rPr>
      <w:b/>
      <w:bCs/>
    </w:rPr>
  </w:style>
  <w:style w:type="table" w:styleId="20">
    <w:name w:val="Table Grid"/>
    <w:basedOn w:val="19"/>
    <w:qFormat/>
    <w:uiPriority w:val="0"/>
    <w:pPr>
      <w:overflowPunct w:val="0"/>
      <w:autoSpaceDE w:val="0"/>
      <w:autoSpaceDN w:val="0"/>
      <w:adjustRightInd w:val="0"/>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basedOn w:val="21"/>
    <w:qFormat/>
    <w:uiPriority w:val="0"/>
  </w:style>
  <w:style w:type="character" w:styleId="23">
    <w:name w:val="Hyperlink"/>
    <w:qFormat/>
    <w:uiPriority w:val="99"/>
    <w:rPr>
      <w:color w:val="0000FF"/>
      <w:u w:val="single"/>
    </w:rPr>
  </w:style>
  <w:style w:type="character" w:styleId="24">
    <w:name w:val="annotation reference"/>
    <w:semiHidden/>
    <w:qFormat/>
    <w:uiPriority w:val="0"/>
    <w:rPr>
      <w:sz w:val="21"/>
      <w:szCs w:val="21"/>
    </w:rPr>
  </w:style>
  <w:style w:type="paragraph" w:customStyle="1" w:styleId="25">
    <w:name w:val="Table"/>
    <w:basedOn w:val="1"/>
    <w:qFormat/>
    <w:uiPriority w:val="0"/>
    <w:pPr>
      <w:keepLines/>
      <w:tabs>
        <w:tab w:val="left" w:pos="284"/>
      </w:tabs>
      <w:overflowPunct/>
      <w:autoSpaceDE/>
      <w:autoSpaceDN/>
      <w:adjustRightInd/>
      <w:spacing w:before="40" w:after="20"/>
      <w:textAlignment w:val="auto"/>
    </w:pPr>
    <w:rPr>
      <w:rFonts w:ascii="Arial" w:hAnsi="Arial"/>
      <w:sz w:val="20"/>
      <w:lang w:val="en-US"/>
    </w:rPr>
  </w:style>
  <w:style w:type="character" w:customStyle="1" w:styleId="26">
    <w:name w:val="页眉 字符"/>
    <w:link w:val="14"/>
    <w:qFormat/>
    <w:uiPriority w:val="0"/>
    <w:rPr>
      <w:rFonts w:eastAsia="宋体"/>
      <w:sz w:val="24"/>
      <w:lang w:val="en-GB" w:eastAsia="en-US" w:bidi="ar-SA"/>
    </w:rPr>
  </w:style>
  <w:style w:type="paragraph" w:customStyle="1" w:styleId="27">
    <w:name w:val="Default Text"/>
    <w:basedOn w:val="1"/>
    <w:qFormat/>
    <w:uiPriority w:val="0"/>
    <w:pPr>
      <w:overflowPunct/>
      <w:textAlignment w:val="auto"/>
    </w:pPr>
    <w:rPr>
      <w:rFonts w:ascii="Arial" w:hAnsi="Arial"/>
      <w:szCs w:val="24"/>
      <w:lang w:val="en-US"/>
    </w:rPr>
  </w:style>
  <w:style w:type="paragraph" w:customStyle="1" w:styleId="28">
    <w:name w:val="Style"/>
    <w:basedOn w:val="1"/>
    <w:qFormat/>
    <w:uiPriority w:val="0"/>
    <w:pPr>
      <w:overflowPunct/>
      <w:textAlignment w:val="auto"/>
    </w:pPr>
    <w:rPr>
      <w:rFonts w:ascii="Arial" w:hAnsi="Arial"/>
      <w:szCs w:val="24"/>
      <w:lang w:val="en-US"/>
    </w:rPr>
  </w:style>
  <w:style w:type="paragraph" w:customStyle="1" w:styleId="29">
    <w:name w:val="正文1"/>
    <w:basedOn w:val="1"/>
    <w:qFormat/>
    <w:uiPriority w:val="0"/>
    <w:pPr>
      <w:overflowPunct/>
      <w:textAlignment w:val="auto"/>
    </w:pPr>
    <w:rPr>
      <w:rFonts w:ascii="Arial" w:hAnsi="Arial"/>
      <w:sz w:val="20"/>
      <w:lang w:val="en-US"/>
    </w:rPr>
  </w:style>
  <w:style w:type="paragraph" w:customStyle="1" w:styleId="30">
    <w:name w:val="修订1"/>
    <w:hidden/>
    <w:semiHidden/>
    <w:qFormat/>
    <w:uiPriority w:val="99"/>
    <w:rPr>
      <w:rFonts w:ascii="Times New Roman" w:hAnsi="Times New Roman" w:eastAsia="宋体" w:cs="Times New Roman"/>
      <w:sz w:val="24"/>
      <w:lang w:val="en-GB" w:eastAsia="en-US" w:bidi="ar-SA"/>
    </w:rPr>
  </w:style>
  <w:style w:type="paragraph" w:styleId="31">
    <w:name w:val="List Paragraph"/>
    <w:basedOn w:val="1"/>
    <w:qFormat/>
    <w:uiPriority w:val="34"/>
    <w:pPr>
      <w:widowControl w:val="0"/>
      <w:overflowPunct/>
      <w:autoSpaceDE/>
      <w:autoSpaceDN/>
      <w:adjustRightInd/>
      <w:ind w:firstLine="420" w:firstLineChars="200"/>
      <w:jc w:val="both"/>
      <w:textAlignment w:val="auto"/>
    </w:pPr>
    <w:rPr>
      <w:rFonts w:ascii="Calibri" w:hAnsi="Calibri"/>
      <w:kern w:val="2"/>
      <w:szCs w:val="22"/>
      <w:lang w:val="en-US" w:eastAsia="zh-CN"/>
    </w:rPr>
  </w:style>
  <w:style w:type="character" w:customStyle="1" w:styleId="32">
    <w:name w:val="批注文字 字符"/>
    <w:link w:val="6"/>
    <w:semiHidden/>
    <w:qFormat/>
    <w:uiPriority w:val="0"/>
    <w:rPr>
      <w:sz w:val="24"/>
      <w:lang w:val="en-GB" w:eastAsia="en-US"/>
    </w:rPr>
  </w:style>
  <w:style w:type="paragraph" w:customStyle="1" w:styleId="33">
    <w:name w:val="TOC 标题1"/>
    <w:basedOn w:val="2"/>
    <w:next w:val="1"/>
    <w:qFormat/>
    <w:uiPriority w:val="39"/>
    <w:pPr>
      <w:numPr>
        <w:numId w:val="0"/>
      </w:numPr>
      <w:outlineLvl w:val="9"/>
    </w:pPr>
  </w:style>
  <w:style w:type="character" w:customStyle="1" w:styleId="34">
    <w:name w:val="页脚 字符"/>
    <w:link w:val="13"/>
    <w:qFormat/>
    <w:uiPriority w:val="99"/>
    <w:rPr>
      <w:sz w:val="24"/>
      <w:lang w:val="en-GB" w:eastAsia="en-US"/>
    </w:rPr>
  </w:style>
  <w:style w:type="character" w:customStyle="1" w:styleId="35">
    <w:name w:val="instruction standard blue"/>
    <w:qFormat/>
    <w:uiPriority w:val="1"/>
    <w:rPr>
      <w:rFonts w:cs="Arial"/>
      <w:i/>
      <w:color w:val="0070C0"/>
    </w:rPr>
  </w:style>
  <w:style w:type="character" w:customStyle="1" w:styleId="36">
    <w:name w:val="keyword"/>
    <w:basedOn w:val="21"/>
    <w:qFormat/>
    <w:uiPriority w:val="0"/>
  </w:style>
  <w:style w:type="paragraph" w:customStyle="1" w:styleId="37">
    <w:name w:val="numbering blue"/>
    <w:basedOn w:val="1"/>
    <w:link w:val="38"/>
    <w:qFormat/>
    <w:uiPriority w:val="0"/>
    <w:pPr>
      <w:numPr>
        <w:ilvl w:val="0"/>
        <w:numId w:val="2"/>
      </w:numPr>
      <w:overflowPunct/>
      <w:autoSpaceDE/>
      <w:autoSpaceDN/>
      <w:adjustRightInd/>
      <w:spacing w:after="120"/>
      <w:ind w:left="357" w:hanging="357"/>
      <w:contextualSpacing/>
      <w:textAlignment w:val="auto"/>
    </w:pPr>
    <w:rPr>
      <w:rFonts w:ascii="Arial" w:hAnsi="Arial" w:eastAsia="PMingLiU"/>
      <w:color w:val="0070C0"/>
      <w:sz w:val="20"/>
      <w:lang w:eastAsia="zh-TW"/>
    </w:rPr>
  </w:style>
  <w:style w:type="character" w:customStyle="1" w:styleId="38">
    <w:name w:val="numbering blue Zchn"/>
    <w:link w:val="37"/>
    <w:qFormat/>
    <w:uiPriority w:val="0"/>
    <w:rPr>
      <w:rFonts w:ascii="Arial" w:hAnsi="Arial" w:eastAsia="PMingLiU"/>
      <w:color w:val="0070C0"/>
      <w:lang w:eastAsia="zh-TW"/>
    </w:rPr>
  </w:style>
  <w:style w:type="paragraph" w:customStyle="1" w:styleId="39">
    <w:name w:val="Default"/>
    <w:qFormat/>
    <w:uiPriority w:val="0"/>
    <w:pPr>
      <w:widowControl w:val="0"/>
      <w:autoSpaceDE w:val="0"/>
      <w:autoSpaceDN w:val="0"/>
    </w:pPr>
    <w:rPr>
      <w:rFonts w:hint="eastAsia" w:ascii="Arial" w:hAnsi="Arial" w:eastAsia="宋体" w:cs="Times New Roman"/>
      <w:color w:val="000000"/>
      <w:sz w:val="24"/>
      <w:lang w:val="en-US" w:eastAsia="zh-CN" w:bidi="ar-SA"/>
    </w:rPr>
  </w:style>
  <w:style w:type="character" w:customStyle="1" w:styleId="40">
    <w:name w:val="Text Char"/>
    <w:link w:val="41"/>
    <w:qFormat/>
    <w:locked/>
    <w:uiPriority w:val="0"/>
    <w:rPr>
      <w:sz w:val="24"/>
      <w:lang w:eastAsia="en-US"/>
    </w:rPr>
  </w:style>
  <w:style w:type="paragraph" w:customStyle="1" w:styleId="41">
    <w:name w:val="Text"/>
    <w:basedOn w:val="1"/>
    <w:link w:val="40"/>
    <w:qFormat/>
    <w:uiPriority w:val="7"/>
    <w:pPr>
      <w:overflowPunct/>
      <w:autoSpaceDE/>
      <w:autoSpaceDN/>
      <w:adjustRightInd/>
      <w:spacing w:before="120"/>
      <w:jc w:val="both"/>
      <w:textAlignment w:val="auto"/>
    </w:pPr>
    <w:rPr>
      <w:lang w:val="en-US"/>
    </w:rPr>
  </w:style>
  <w:style w:type="character" w:customStyle="1" w:styleId="42">
    <w:name w:val="ordinary-span-edit2"/>
    <w:qFormat/>
    <w:uiPriority w:val="0"/>
  </w:style>
  <w:style w:type="character" w:customStyle="1" w:styleId="43">
    <w:name w:val="apple-converted-space"/>
    <w:basedOn w:val="21"/>
    <w:qFormat/>
    <w:uiPriority w:val="0"/>
  </w:style>
  <w:style w:type="character" w:customStyle="1" w:styleId="44">
    <w:name w:val="标题 字符"/>
    <w:link w:val="17"/>
    <w:qFormat/>
    <w:uiPriority w:val="0"/>
    <w:rPr>
      <w:rFonts w:ascii="Calibri Light" w:hAnsi="Calibri Light" w:cs="Times New Roman"/>
      <w:b/>
      <w:bCs/>
      <w:sz w:val="32"/>
      <w:szCs w:val="32"/>
      <w:lang w:val="en-GB" w:eastAsia="en-US"/>
    </w:rPr>
  </w:style>
  <w:style w:type="paragraph" w:customStyle="1" w:styleId="45">
    <w:name w:val="Table text"/>
    <w:basedOn w:val="1"/>
    <w:qFormat/>
    <w:uiPriority w:val="6"/>
    <w:pPr>
      <w:overflowPunct/>
      <w:autoSpaceDE/>
      <w:autoSpaceDN/>
      <w:adjustRightInd/>
      <w:spacing w:before="120" w:after="120"/>
      <w:jc w:val="both"/>
      <w:textAlignment w:val="auto"/>
    </w:pPr>
    <w:rPr>
      <w:lang w:val="en-US"/>
    </w:rPr>
  </w:style>
  <w:style w:type="character" w:customStyle="1" w:styleId="46">
    <w:name w:val="Footer Char"/>
    <w:basedOn w:val="21"/>
    <w:semiHidden/>
    <w:qFormat/>
    <w:locked/>
    <w:uiPriority w:val="0"/>
    <w:rPr>
      <w:rFonts w:cs="Times New Roman"/>
      <w:sz w:val="18"/>
      <w:szCs w:val="18"/>
    </w:rPr>
  </w:style>
  <w:style w:type="paragraph" w:customStyle="1" w:styleId="47">
    <w:name w:val="正文文本 31"/>
    <w:basedOn w:val="1"/>
    <w:qFormat/>
    <w:uiPriority w:val="0"/>
    <w:pPr>
      <w:autoSpaceDN/>
      <w:adjustRightInd/>
    </w:pPr>
    <w:rPr>
      <w:sz w:val="28"/>
    </w:rPr>
  </w:style>
  <w:style w:type="paragraph" w:customStyle="1" w:styleId="48">
    <w:name w:val="列出段落1"/>
    <w:basedOn w:val="1"/>
    <w:qFormat/>
    <w:uiPriority w:val="7"/>
    <w:pPr>
      <w:widowControl w:val="0"/>
      <w:overflowPunct/>
      <w:autoSpaceDE/>
      <w:autoSpaceDN/>
      <w:adjustRightInd/>
      <w:ind w:firstLine="420"/>
      <w:jc w:val="both"/>
      <w:textAlignment w:val="auto"/>
    </w:pPr>
    <w:rPr>
      <w:rFonts w:ascii="Calibri" w:hAnsi="Calibri" w:cs="Calibri"/>
      <w:kern w:val="2"/>
      <w:szCs w:val="22"/>
      <w:lang w:val="en-US"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1009</Words>
  <Characters>5757</Characters>
  <Lines>47</Lines>
  <Paragraphs>13</Paragraphs>
  <TotalTime>34</TotalTime>
  <ScaleCrop>false</ScaleCrop>
  <LinksUpToDate>false</LinksUpToDate>
  <CharactersWithSpaces>6753</CharactersWithSpaces>
  <Application>WPS Office_11.8.2.10229_F1E327BC-269C-435d-A152-05C5408002CA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2018-12-24T07:58:00Z</dcterms:created>
  <dc:creator>Lilly</dc:creator>
  <cp:lastModifiedBy>Administrator</cp:lastModifiedBy>
  <cp:lastPrinted>2017-06-22T01:53:00Z</cp:lastPrinted>
  <dcterms:modified xsi:type="dcterms:W3CDTF">2022-04-18T07:16:23Z</dcterms:modified>
  <dc:title>生效期：</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F5E874DF2DED4EE291370FA1E89D24A4</vt:lpwstr>
  </property>
</Properties>
</file>