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3400307"/>
      <w:bookmarkStart w:id="1" w:name="_Toc483227223"/>
      <w:bookmarkStart w:id="2" w:name="_Toc482717189"/>
      <w:bookmarkStart w:id="3" w:name="_Toc484532399"/>
      <w:bookmarkStart w:id="4" w:name="_Toc483666358"/>
    </w:p>
    <w:p>
      <w:pPr>
        <w:spacing w:after="158" w:afterLines="50"/>
        <w:jc w:val="center"/>
        <w:rPr>
          <w:b/>
          <w:szCs w:val="21"/>
          <w:lang w:eastAsia="zh-CN"/>
        </w:rPr>
      </w:pPr>
      <w:permStart w:id="0" w:edGrp="everyone"/>
      <w:r>
        <w:rPr>
          <w:rFonts w:hint="eastAsia"/>
          <w:b/>
          <w:sz w:val="28"/>
          <w:szCs w:val="28"/>
          <w:lang w:eastAsia="zh-CN"/>
        </w:rPr>
        <w:t>病毒性疫苗研究二室</w:t>
      </w:r>
      <w:r>
        <w:rPr>
          <w:b/>
          <w:sz w:val="28"/>
          <w:szCs w:val="28"/>
          <w:lang w:eastAsia="zh-CN"/>
        </w:rPr>
        <w:t>卧式冰柜</w:t>
      </w:r>
      <w:permEnd w:id="0"/>
      <w:r>
        <w:rPr>
          <w:b/>
          <w:sz w:val="28"/>
          <w:szCs w:val="28"/>
          <w:lang w:eastAsia="zh-CN"/>
        </w:rPr>
        <w:t>用户需求说明（URS</w:t>
      </w:r>
      <w:r>
        <w:rPr>
          <w:b/>
          <w:szCs w:val="21"/>
          <w:lang w:eastAsia="zh-CN"/>
        </w:rPr>
        <w:t>）</w:t>
      </w:r>
      <w:bookmarkEnd w:id="0"/>
      <w:bookmarkEnd w:id="1"/>
      <w:bookmarkEnd w:id="2"/>
      <w:bookmarkEnd w:id="3"/>
      <w:bookmarkEnd w:id="4"/>
    </w:p>
    <w:p>
      <w:pPr>
        <w:tabs>
          <w:tab w:val="left" w:pos="1365"/>
        </w:tabs>
        <w:spacing w:after="158" w:afterLines="50"/>
        <w:jc w:val="center"/>
        <w:rPr>
          <w:b/>
          <w:i/>
          <w:color w:val="4472C4"/>
          <w:szCs w:val="21"/>
          <w:lang w:eastAsia="zh-CN"/>
        </w:rPr>
      </w:pPr>
      <w:permStart w:id="1" w:edGrp="everyone"/>
      <w:bookmarkStart w:id="5" w:name="OLE_LINK4"/>
      <w:bookmarkEnd w:id="5"/>
    </w:p>
    <w:permEnd w:id="1"/>
    <w:p>
      <w:pPr>
        <w:pStyle w:val="33"/>
        <w:keepNext w:val="0"/>
        <w:keepLines w:val="0"/>
        <w:widowControl w:val="0"/>
        <w:spacing w:after="158" w:afterLines="50" w:line="240" w:lineRule="auto"/>
        <w:jc w:val="center"/>
        <w:rPr>
          <w:sz w:val="21"/>
          <w:szCs w:val="21"/>
          <w:lang w:val="zh-CN" w:eastAsia="zh-CN"/>
        </w:rPr>
      </w:pPr>
      <w:r>
        <w:rPr>
          <w:sz w:val="21"/>
          <w:szCs w:val="21"/>
          <w:lang w:val="zh-CN" w:eastAsia="zh-CN"/>
        </w:rPr>
        <w:t xml:space="preserve">目录 </w:t>
      </w:r>
    </w:p>
    <w:p>
      <w:pPr>
        <w:rPr>
          <w:i/>
          <w:color w:val="00B0F0"/>
          <w:lang w:val="zh-CN" w:eastAsia="zh-CN"/>
        </w:rPr>
      </w:pPr>
      <w:permStart w:id="2" w:edGrp="everyone"/>
    </w:p>
    <w:p>
      <w:pPr>
        <w:pStyle w:val="15"/>
        <w:rPr>
          <w:b w:val="0"/>
          <w:bCs w:val="0"/>
          <w:caps w:val="0"/>
          <w:szCs w:val="22"/>
        </w:rPr>
      </w:pPr>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3"/>
        </w:rPr>
        <w:t>修订历史</w:t>
      </w:r>
      <w:r>
        <w:tab/>
      </w:r>
      <w:r>
        <w:fldChar w:fldCharType="begin"/>
      </w:r>
      <w:r>
        <w:instrText xml:space="preserve"> PAGEREF _Toc522716114 \h </w:instrText>
      </w:r>
      <w:r>
        <w:fldChar w:fldCharType="separate"/>
      </w:r>
      <w:r>
        <w:t>3</w:t>
      </w:r>
      <w:r>
        <w:fldChar w:fldCharType="end"/>
      </w:r>
      <w:r>
        <w:fldChar w:fldCharType="end"/>
      </w:r>
    </w:p>
    <w:p>
      <w:pPr>
        <w:pStyle w:val="15"/>
        <w:rPr>
          <w:b w:val="0"/>
          <w:bCs w:val="0"/>
          <w:caps w:val="0"/>
          <w:szCs w:val="22"/>
        </w:rPr>
      </w:pPr>
      <w:r>
        <w:fldChar w:fldCharType="begin"/>
      </w:r>
      <w:r>
        <w:instrText xml:space="preserve"> HYPERLINK \l "_Toc522716115" </w:instrText>
      </w:r>
      <w:r>
        <w:fldChar w:fldCharType="separate"/>
      </w:r>
      <w:r>
        <w:rPr>
          <w:rStyle w:val="23"/>
        </w:rPr>
        <w:t>1</w:t>
      </w:r>
      <w:r>
        <w:rPr>
          <w:b w:val="0"/>
          <w:bCs w:val="0"/>
          <w:caps w:val="0"/>
          <w:szCs w:val="22"/>
        </w:rPr>
        <w:tab/>
      </w:r>
      <w:r>
        <w:rPr>
          <w:rStyle w:val="23"/>
        </w:rPr>
        <w:t>目的</w:t>
      </w:r>
      <w:r>
        <w:tab/>
      </w:r>
      <w:r>
        <w:fldChar w:fldCharType="begin"/>
      </w:r>
      <w:r>
        <w:instrText xml:space="preserve"> PAGEREF _Toc522716115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"_Toc522716116" </w:instrText>
      </w:r>
      <w:r>
        <w:fldChar w:fldCharType="separate"/>
      </w:r>
      <w:r>
        <w:rPr>
          <w:rStyle w:val="23"/>
        </w:rPr>
        <w:t>2</w:t>
      </w:r>
      <w:r>
        <w:rPr>
          <w:b w:val="0"/>
          <w:bCs w:val="0"/>
          <w:caps w:val="0"/>
          <w:szCs w:val="22"/>
        </w:rPr>
        <w:tab/>
      </w:r>
      <w:r>
        <w:rPr>
          <w:rStyle w:val="23"/>
        </w:rPr>
        <w:t>范围</w:t>
      </w:r>
      <w:r>
        <w:tab/>
      </w:r>
      <w:r>
        <w:fldChar w:fldCharType="begin"/>
      </w:r>
      <w:r>
        <w:instrText xml:space="preserve"> PAGEREF _Toc522716116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"_Toc522716117" </w:instrText>
      </w:r>
      <w:r>
        <w:fldChar w:fldCharType="separate"/>
      </w:r>
      <w:r>
        <w:rPr>
          <w:rStyle w:val="23"/>
        </w:rPr>
        <w:t>3</w:t>
      </w:r>
      <w:r>
        <w:rPr>
          <w:b w:val="0"/>
          <w:bCs w:val="0"/>
          <w:caps w:val="0"/>
          <w:szCs w:val="22"/>
        </w:rPr>
        <w:tab/>
      </w:r>
      <w:r>
        <w:rPr>
          <w:rStyle w:val="23"/>
        </w:rPr>
        <w:t>参考文件</w:t>
      </w:r>
      <w:r>
        <w:tab/>
      </w:r>
      <w:r>
        <w:fldChar w:fldCharType="begin"/>
      </w:r>
      <w:r>
        <w:instrText xml:space="preserve"> PAGEREF _Toc522716117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"_Toc522716118" </w:instrText>
      </w:r>
      <w:r>
        <w:fldChar w:fldCharType="separate"/>
      </w:r>
      <w:r>
        <w:rPr>
          <w:rStyle w:val="23"/>
        </w:rPr>
        <w:t>4</w:t>
      </w:r>
      <w:r>
        <w:rPr>
          <w:b w:val="0"/>
          <w:bCs w:val="0"/>
          <w:caps w:val="0"/>
          <w:szCs w:val="22"/>
        </w:rPr>
        <w:tab/>
      </w:r>
      <w:r>
        <w:rPr>
          <w:rStyle w:val="23"/>
        </w:rPr>
        <w:t>职责</w:t>
      </w:r>
      <w:r>
        <w:tab/>
      </w:r>
      <w:r>
        <w:fldChar w:fldCharType="begin"/>
      </w:r>
      <w:r>
        <w:instrText xml:space="preserve"> PAGEREF _Toc522716118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"_Toc522716119" </w:instrText>
      </w:r>
      <w:r>
        <w:fldChar w:fldCharType="separate"/>
      </w:r>
      <w:r>
        <w:rPr>
          <w:rStyle w:val="23"/>
        </w:rPr>
        <w:t>5</w:t>
      </w:r>
      <w:r>
        <w:rPr>
          <w:b w:val="0"/>
          <w:bCs w:val="0"/>
          <w:caps w:val="0"/>
          <w:szCs w:val="22"/>
        </w:rPr>
        <w:tab/>
      </w:r>
      <w:r>
        <w:rPr>
          <w:rStyle w:val="23"/>
        </w:rPr>
        <w:t>系统描述</w:t>
      </w:r>
      <w:r>
        <w:tab/>
      </w:r>
      <w:r>
        <w:fldChar w:fldCharType="begin"/>
      </w:r>
      <w:r>
        <w:instrText xml:space="preserve"> PAGEREF _Toc522716119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"_Toc522716120" </w:instrText>
      </w:r>
      <w:r>
        <w:fldChar w:fldCharType="separate"/>
      </w:r>
      <w:r>
        <w:rPr>
          <w:rStyle w:val="23"/>
        </w:rPr>
        <w:t>6</w:t>
      </w:r>
      <w:r>
        <w:rPr>
          <w:b w:val="0"/>
          <w:bCs w:val="0"/>
          <w:caps w:val="0"/>
          <w:szCs w:val="22"/>
        </w:rPr>
        <w:tab/>
      </w:r>
      <w:r>
        <w:rPr>
          <w:rStyle w:val="23"/>
        </w:rPr>
        <w:t>安装要求</w:t>
      </w:r>
      <w:r>
        <w:tab/>
      </w:r>
      <w:r>
        <w:fldChar w:fldCharType="begin"/>
      </w:r>
      <w:r>
        <w:instrText xml:space="preserve"> PAGEREF _Toc522716120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"_Toc522716121" </w:instrText>
      </w:r>
      <w:r>
        <w:fldChar w:fldCharType="separate"/>
      </w:r>
      <w:r>
        <w:rPr>
          <w:rStyle w:val="23"/>
        </w:rPr>
        <w:t>7</w:t>
      </w:r>
      <w:r>
        <w:rPr>
          <w:b w:val="0"/>
          <w:bCs w:val="0"/>
          <w:caps w:val="0"/>
          <w:szCs w:val="22"/>
        </w:rPr>
        <w:tab/>
      </w:r>
      <w:r>
        <w:rPr>
          <w:rStyle w:val="23"/>
        </w:rPr>
        <w:t>运行要求</w:t>
      </w:r>
      <w:r>
        <w:tab/>
      </w:r>
      <w:r>
        <w:fldChar w:fldCharType="begin"/>
      </w:r>
      <w:r>
        <w:instrText xml:space="preserve"> PAGEREF _Toc522716121 \h </w:instrText>
      </w:r>
      <w:r>
        <w:fldChar w:fldCharType="separate"/>
      </w:r>
      <w:r>
        <w:t>6</w:t>
      </w:r>
      <w:r>
        <w:fldChar w:fldCharType="end"/>
      </w:r>
      <w:r>
        <w:fldChar w:fldCharType="end"/>
      </w:r>
    </w:p>
    <w:p>
      <w:pPr>
        <w:pStyle w:val="15"/>
        <w:rPr>
          <w:b w:val="0"/>
          <w:bCs w:val="0"/>
          <w:caps w:val="0"/>
          <w:szCs w:val="22"/>
        </w:rPr>
      </w:pPr>
      <w:r>
        <w:fldChar w:fldCharType="begin"/>
      </w:r>
      <w:r>
        <w:instrText xml:space="preserve"> HYPERLINK \l "_Toc522716122" </w:instrText>
      </w:r>
      <w:r>
        <w:fldChar w:fldCharType="separate"/>
      </w:r>
      <w:r>
        <w:rPr>
          <w:rStyle w:val="23"/>
        </w:rPr>
        <w:t>8</w:t>
      </w:r>
      <w:r>
        <w:rPr>
          <w:b w:val="0"/>
          <w:bCs w:val="0"/>
          <w:caps w:val="0"/>
          <w:szCs w:val="22"/>
        </w:rPr>
        <w:tab/>
      </w:r>
      <w:r>
        <w:rPr>
          <w:rStyle w:val="23"/>
        </w:rPr>
        <w:t>电气、自动控制要求</w:t>
      </w:r>
      <w:r>
        <w:tab/>
      </w:r>
      <w:r>
        <w:fldChar w:fldCharType="begin"/>
      </w:r>
      <w:r>
        <w:instrText xml:space="preserve"> PAGEREF _Toc522716122 \h </w:instrText>
      </w:r>
      <w:r>
        <w:fldChar w:fldCharType="separate"/>
      </w:r>
      <w:r>
        <w:t>7</w:t>
      </w:r>
      <w:r>
        <w:fldChar w:fldCharType="end"/>
      </w:r>
      <w:r>
        <w:fldChar w:fldCharType="end"/>
      </w:r>
    </w:p>
    <w:p>
      <w:pPr>
        <w:pStyle w:val="15"/>
        <w:rPr>
          <w:b w:val="0"/>
          <w:bCs w:val="0"/>
          <w:caps w:val="0"/>
          <w:szCs w:val="22"/>
        </w:rPr>
      </w:pPr>
      <w:r>
        <w:fldChar w:fldCharType="begin"/>
      </w:r>
      <w:r>
        <w:instrText xml:space="preserve"> HYPERLINK \l "_Toc522716123" </w:instrText>
      </w:r>
      <w:r>
        <w:fldChar w:fldCharType="separate"/>
      </w:r>
      <w:r>
        <w:rPr>
          <w:rStyle w:val="23"/>
        </w:rPr>
        <w:t>9</w:t>
      </w:r>
      <w:r>
        <w:rPr>
          <w:b w:val="0"/>
          <w:bCs w:val="0"/>
          <w:caps w:val="0"/>
          <w:szCs w:val="22"/>
        </w:rPr>
        <w:tab/>
      </w:r>
      <w:r>
        <w:rPr>
          <w:rStyle w:val="23"/>
        </w:rPr>
        <w:t>安全要求</w:t>
      </w:r>
      <w:r>
        <w:tab/>
      </w:r>
      <w:r>
        <w:fldChar w:fldCharType="begin"/>
      </w:r>
      <w:r>
        <w:instrText xml:space="preserve"> PAGEREF _Toc522716123 \h </w:instrText>
      </w:r>
      <w:r>
        <w:fldChar w:fldCharType="separate"/>
      </w:r>
      <w:r>
        <w:t>8</w:t>
      </w:r>
      <w:r>
        <w:fldChar w:fldCharType="end"/>
      </w:r>
      <w:r>
        <w:fldChar w:fldCharType="end"/>
      </w:r>
    </w:p>
    <w:p>
      <w:pPr>
        <w:pStyle w:val="15"/>
        <w:rPr>
          <w:b w:val="0"/>
          <w:bCs w:val="0"/>
          <w:caps w:val="0"/>
          <w:szCs w:val="22"/>
        </w:rPr>
      </w:pPr>
      <w:r>
        <w:fldChar w:fldCharType="begin"/>
      </w:r>
      <w:r>
        <w:instrText xml:space="preserve"> HYPERLINK \l "_Toc522716124" </w:instrText>
      </w:r>
      <w:r>
        <w:fldChar w:fldCharType="separate"/>
      </w:r>
      <w:r>
        <w:rPr>
          <w:rStyle w:val="23"/>
        </w:rPr>
        <w:t>10</w:t>
      </w:r>
      <w:r>
        <w:rPr>
          <w:b w:val="0"/>
          <w:bCs w:val="0"/>
          <w:caps w:val="0"/>
          <w:szCs w:val="22"/>
        </w:rPr>
        <w:tab/>
      </w:r>
      <w:r>
        <w:rPr>
          <w:rStyle w:val="23"/>
        </w:rPr>
        <w:t>文件要求</w:t>
      </w:r>
      <w:r>
        <w:tab/>
      </w:r>
      <w:r>
        <w:fldChar w:fldCharType="begin"/>
      </w:r>
      <w:r>
        <w:instrText xml:space="preserve"> PAGEREF _Toc522716124 \h </w:instrText>
      </w:r>
      <w:r>
        <w:fldChar w:fldCharType="separate"/>
      </w:r>
      <w:r>
        <w:t>8</w:t>
      </w:r>
      <w:r>
        <w:fldChar w:fldCharType="end"/>
      </w:r>
      <w:r>
        <w:fldChar w:fldCharType="end"/>
      </w:r>
    </w:p>
    <w:p>
      <w:pPr>
        <w:pStyle w:val="15"/>
        <w:rPr>
          <w:b w:val="0"/>
          <w:bCs w:val="0"/>
          <w:caps w:val="0"/>
          <w:szCs w:val="22"/>
        </w:rPr>
      </w:pPr>
      <w:r>
        <w:fldChar w:fldCharType="begin"/>
      </w:r>
      <w:r>
        <w:instrText xml:space="preserve"> HYPERLINK \l "_Toc522716125" </w:instrText>
      </w:r>
      <w:r>
        <w:fldChar w:fldCharType="separate"/>
      </w:r>
      <w:r>
        <w:rPr>
          <w:rStyle w:val="23"/>
        </w:rPr>
        <w:t>11</w:t>
      </w:r>
      <w:r>
        <w:rPr>
          <w:b w:val="0"/>
          <w:bCs w:val="0"/>
          <w:caps w:val="0"/>
          <w:szCs w:val="22"/>
        </w:rPr>
        <w:tab/>
      </w:r>
      <w:r>
        <w:rPr>
          <w:rStyle w:val="23"/>
        </w:rPr>
        <w:t>服务要求</w:t>
      </w:r>
      <w:r>
        <w:tab/>
      </w:r>
      <w:r>
        <w:fldChar w:fldCharType="begin"/>
      </w:r>
      <w:r>
        <w:instrText xml:space="preserve"> PAGEREF _Toc522716125 \h </w:instrText>
      </w:r>
      <w:r>
        <w:fldChar w:fldCharType="separate"/>
      </w:r>
      <w:r>
        <w:t>10</w:t>
      </w:r>
      <w:r>
        <w:fldChar w:fldCharType="end"/>
      </w:r>
      <w:r>
        <w:fldChar w:fldCharType="end"/>
      </w:r>
    </w:p>
    <w:p>
      <w:pPr>
        <w:pStyle w:val="15"/>
        <w:rPr>
          <w:b w:val="0"/>
          <w:bCs w:val="0"/>
          <w:caps w:val="0"/>
          <w:szCs w:val="22"/>
        </w:rPr>
      </w:pPr>
      <w:r>
        <w:fldChar w:fldCharType="begin"/>
      </w:r>
      <w:r>
        <w:instrText xml:space="preserve"> HYPERLINK \l "_Toc522716126" </w:instrText>
      </w:r>
      <w:r>
        <w:fldChar w:fldCharType="separate"/>
      </w:r>
      <w:r>
        <w:rPr>
          <w:rStyle w:val="23"/>
        </w:rPr>
        <w:t>12</w:t>
      </w:r>
      <w:r>
        <w:rPr>
          <w:b w:val="0"/>
          <w:bCs w:val="0"/>
          <w:caps w:val="0"/>
          <w:szCs w:val="22"/>
        </w:rPr>
        <w:tab/>
      </w:r>
      <w:r>
        <w:rPr>
          <w:rStyle w:val="23"/>
        </w:rPr>
        <w:t>附件</w:t>
      </w:r>
      <w:r>
        <w:tab/>
      </w:r>
      <w:r>
        <w:fldChar w:fldCharType="begin"/>
      </w:r>
      <w:r>
        <w:instrText xml:space="preserve"> PAGEREF _Toc522716126 \h </w:instrText>
      </w:r>
      <w:r>
        <w:fldChar w:fldCharType="separate"/>
      </w:r>
      <w:r>
        <w:t>12</w:t>
      </w:r>
      <w:r>
        <w:fldChar w:fldCharType="end"/>
      </w:r>
      <w:r>
        <w:fldChar w:fldCharType="end"/>
      </w:r>
    </w:p>
    <w:p>
      <w:r>
        <w:fldChar w:fldCharType="end"/>
      </w:r>
      <w:permEnd w:id="2"/>
    </w:p>
    <w:p>
      <w:pPr>
        <w:rPr>
          <w:lang w:val="en-US" w:eastAsia="zh-CN"/>
        </w:rPr>
      </w:pPr>
      <w:r>
        <w:rPr>
          <w:lang w:val="en-US" w:eastAsia="zh-CN"/>
        </w:rPr>
        <w:br w:type="page"/>
      </w:r>
      <w:bookmarkStart w:id="6" w:name="_Toc522107734"/>
    </w:p>
    <w:bookmarkEnd w:id="6"/>
    <w:p>
      <w:pPr>
        <w:pStyle w:val="31"/>
        <w:numPr>
          <w:ilvl w:val="0"/>
          <w:numId w:val="3"/>
        </w:numPr>
        <w:spacing w:after="158" w:afterLines="50"/>
        <w:ind w:left="426" w:hanging="426" w:hangingChars="202"/>
        <w:outlineLvl w:val="0"/>
        <w:rPr>
          <w:rFonts w:ascii="Times New Roman" w:hAnsi="Times New Roman"/>
          <w:b/>
        </w:rPr>
      </w:pPr>
      <w:bookmarkStart w:id="7" w:name="_Toc522107735"/>
      <w:bookmarkStart w:id="8" w:name="_Toc522716115"/>
      <w:r>
        <w:rPr>
          <w:rFonts w:ascii="Times New Roman" w:hAnsi="Times New Roman"/>
          <w:b/>
        </w:rPr>
        <w:t>目的</w:t>
      </w:r>
      <w:bookmarkEnd w:id="7"/>
      <w:bookmarkEnd w:id="8"/>
    </w:p>
    <w:p>
      <w:pPr>
        <w:pStyle w:val="41"/>
        <w:spacing w:before="0" w:line="360" w:lineRule="auto"/>
        <w:ind w:left="357"/>
        <w:jc w:val="left"/>
        <w:rPr>
          <w:szCs w:val="21"/>
          <w:lang w:eastAsia="zh-CN"/>
        </w:rPr>
      </w:pPr>
      <w:bookmarkStart w:id="9" w:name="_Toc482370061"/>
      <w:bookmarkStart w:id="10" w:name="_Toc482370349"/>
      <w:bookmarkStart w:id="11" w:name="_Toc482359936"/>
      <w:bookmarkStart w:id="12" w:name="_Toc482370757"/>
      <w:bookmarkStart w:id="13" w:name="_Toc482360281"/>
      <w:bookmarkStart w:id="14" w:name="_Toc482370141"/>
      <w:bookmarkStart w:id="15" w:name="_Toc482369805"/>
      <w:bookmarkStart w:id="16" w:name="_Toc481702475"/>
      <w:bookmarkStart w:id="17" w:name="_Toc482625279"/>
      <w:r>
        <w:rPr>
          <w:szCs w:val="21"/>
          <w:lang w:eastAsia="zh-CN"/>
        </w:rPr>
        <w:t>本文件的目的是描述武汉生物制品研究所有限责任公司</w:t>
      </w:r>
      <w:permStart w:id="3" w:edGrp="everyone"/>
      <w:r>
        <w:rPr>
          <w:rFonts w:hint="eastAsia"/>
          <w:szCs w:val="21"/>
          <w:lang w:eastAsia="zh-CN"/>
        </w:rPr>
        <w:t>病毒性疫苗研究二室</w:t>
      </w:r>
      <w:r>
        <w:rPr>
          <w:iCs/>
          <w:szCs w:val="21"/>
          <w:lang w:eastAsia="zh-CN"/>
        </w:rPr>
        <w:t>卧式冰柜</w:t>
      </w:r>
      <w:permEnd w:id="3"/>
      <w:r>
        <w:rPr>
          <w:szCs w:val="21"/>
          <w:lang w:eastAsia="zh-CN"/>
        </w:rPr>
        <w:t>的用户需求说明（URS），以确保最终用户的需求在项目设计阶段得以实现，并作为后续验证工作的基础。</w:t>
      </w:r>
    </w:p>
    <w:p>
      <w:pPr>
        <w:pStyle w:val="41"/>
        <w:spacing w:before="0"/>
        <w:ind w:left="360"/>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8" w:name="_Toc522107736"/>
      <w:bookmarkStart w:id="19" w:name="_Toc522716116"/>
      <w:r>
        <w:rPr>
          <w:rFonts w:ascii="Times New Roman" w:hAnsi="Times New Roman"/>
          <w:b/>
        </w:rPr>
        <w:t>范围</w:t>
      </w:r>
      <w:bookmarkEnd w:id="18"/>
      <w:bookmarkEnd w:id="19"/>
    </w:p>
    <w:p>
      <w:pPr>
        <w:pStyle w:val="41"/>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病毒性疫苗研究二室</w:t>
      </w:r>
      <w:r>
        <w:rPr>
          <w:iCs/>
          <w:szCs w:val="21"/>
          <w:lang w:eastAsia="zh-CN"/>
        </w:rPr>
        <w:t>卧式冰柜</w:t>
      </w:r>
      <w:permEnd w:id="4"/>
      <w:r>
        <w:rPr>
          <w:szCs w:val="21"/>
          <w:lang w:eastAsia="zh-CN"/>
        </w:rPr>
        <w:t>。</w:t>
      </w:r>
      <w:bookmarkEnd w:id="9"/>
      <w:bookmarkEnd w:id="10"/>
      <w:bookmarkEnd w:id="11"/>
      <w:bookmarkEnd w:id="12"/>
      <w:bookmarkEnd w:id="13"/>
      <w:bookmarkEnd w:id="14"/>
      <w:bookmarkEnd w:id="15"/>
      <w:bookmarkEnd w:id="16"/>
      <w:bookmarkEnd w:id="17"/>
    </w:p>
    <w:p>
      <w:pPr>
        <w:pStyle w:val="41"/>
        <w:spacing w:before="0" w:line="360" w:lineRule="auto"/>
        <w:ind w:left="357"/>
        <w:jc w:val="left"/>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20" w:name="_Toc522107737"/>
      <w:bookmarkStart w:id="21" w:name="_Toc522716117"/>
      <w:r>
        <w:rPr>
          <w:rFonts w:ascii="Times New Roman" w:hAnsi="Times New Roman"/>
          <w:b/>
        </w:rPr>
        <w:t>参考文件</w:t>
      </w:r>
      <w:bookmarkEnd w:id="20"/>
      <w:bookmarkEnd w:id="21"/>
    </w:p>
    <w:p>
      <w:pPr>
        <w:pStyle w:val="41"/>
        <w:numPr>
          <w:ilvl w:val="0"/>
          <w:numId w:val="4"/>
        </w:numPr>
        <w:spacing w:before="0" w:line="360" w:lineRule="auto"/>
        <w:jc w:val="left"/>
        <w:rPr>
          <w:color w:val="000000"/>
          <w:szCs w:val="21"/>
          <w:lang w:eastAsia="zh-CN"/>
        </w:rPr>
      </w:pPr>
      <w:r>
        <w:rPr>
          <w:color w:val="000000"/>
          <w:szCs w:val="21"/>
          <w:lang w:eastAsia="zh-CN"/>
        </w:rPr>
        <w:t>GMP法规指南和SOP</w:t>
      </w:r>
    </w:p>
    <w:p>
      <w:pPr>
        <w:pStyle w:val="41"/>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41"/>
        <w:numPr>
          <w:ilvl w:val="0"/>
          <w:numId w:val="5"/>
        </w:numPr>
        <w:spacing w:before="0" w:line="360" w:lineRule="auto"/>
        <w:ind w:left="777"/>
        <w:jc w:val="left"/>
        <w:rPr>
          <w:iCs/>
          <w:szCs w:val="21"/>
          <w:lang w:eastAsia="zh-CN"/>
        </w:rPr>
      </w:pPr>
      <w:permStart w:id="5" w:edGrp="everyone"/>
      <w:r>
        <w:rPr>
          <w:iCs/>
          <w:szCs w:val="21"/>
          <w:lang w:eastAsia="zh-CN"/>
        </w:rPr>
        <w:t xml:space="preserve">中国药典 </w:t>
      </w:r>
      <w:r>
        <w:rPr>
          <w:iCs/>
          <w:szCs w:val="21"/>
        </w:rPr>
        <w:t>20</w:t>
      </w:r>
      <w:r>
        <w:rPr>
          <w:rFonts w:hint="eastAsia"/>
          <w:iCs/>
          <w:szCs w:val="21"/>
          <w:lang w:eastAsia="zh-CN"/>
        </w:rPr>
        <w:t>20</w:t>
      </w:r>
      <w:r>
        <w:rPr>
          <w:iCs/>
          <w:szCs w:val="21"/>
        </w:rPr>
        <w:t>年版</w:t>
      </w:r>
    </w:p>
    <w:p>
      <w:pPr>
        <w:pStyle w:val="41"/>
        <w:numPr>
          <w:ilvl w:val="0"/>
          <w:numId w:val="5"/>
        </w:numPr>
        <w:spacing w:before="0" w:line="360" w:lineRule="auto"/>
        <w:ind w:left="777"/>
        <w:jc w:val="left"/>
        <w:rPr>
          <w:iCs/>
          <w:szCs w:val="21"/>
          <w:lang w:eastAsia="zh-CN"/>
        </w:rPr>
      </w:pPr>
      <w:r>
        <w:rPr>
          <w:rFonts w:hint="eastAsia"/>
          <w:iCs/>
          <w:szCs w:val="21"/>
          <w:lang w:eastAsia="zh-CN"/>
        </w:rPr>
        <w:t>《药品生产质量管理规范》（2</w:t>
      </w:r>
      <w:r>
        <w:rPr>
          <w:iCs/>
          <w:szCs w:val="21"/>
          <w:lang w:eastAsia="zh-CN"/>
        </w:rPr>
        <w:t>010</w:t>
      </w:r>
      <w:r>
        <w:rPr>
          <w:rFonts w:hint="eastAsia"/>
          <w:iCs/>
          <w:szCs w:val="21"/>
          <w:lang w:eastAsia="zh-CN"/>
        </w:rPr>
        <w:t>修订版）</w:t>
      </w:r>
    </w:p>
    <w:permEnd w:id="5"/>
    <w:p>
      <w:pPr>
        <w:pStyle w:val="41"/>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41"/>
        <w:numPr>
          <w:ilvl w:val="0"/>
          <w:numId w:val="5"/>
        </w:numPr>
        <w:spacing w:before="0" w:line="360" w:lineRule="auto"/>
        <w:ind w:left="777"/>
        <w:jc w:val="left"/>
        <w:rPr>
          <w:iCs/>
          <w:szCs w:val="21"/>
          <w:lang w:eastAsia="zh-CN"/>
        </w:rPr>
      </w:pPr>
      <w:permStart w:id="6" w:edGrp="everyone"/>
      <w:r>
        <w:rPr>
          <w:iCs/>
          <w:szCs w:val="21"/>
          <w:lang w:eastAsia="zh-CN"/>
        </w:rPr>
        <w:t>电气安全应符合GB4793.1和GB4793.4的要求。</w:t>
      </w:r>
    </w:p>
    <w:permEnd w:id="6"/>
    <w:p>
      <w:pPr>
        <w:pStyle w:val="41"/>
        <w:spacing w:before="0" w:line="360" w:lineRule="auto"/>
        <w:jc w:val="left"/>
        <w:rPr>
          <w:szCs w:val="21"/>
          <w:lang w:eastAsia="zh-CN"/>
        </w:rPr>
      </w:pPr>
      <w:permStart w:id="7" w:edGrp="everyone"/>
      <w:bookmarkStart w:id="49" w:name="_GoBack"/>
      <w:bookmarkEnd w:id="49"/>
    </w:p>
    <w:permEnd w:id="7"/>
    <w:p>
      <w:pPr>
        <w:pStyle w:val="31"/>
        <w:numPr>
          <w:ilvl w:val="0"/>
          <w:numId w:val="3"/>
        </w:numPr>
        <w:spacing w:after="158" w:afterLines="50"/>
        <w:ind w:left="426" w:hanging="426" w:hangingChars="202"/>
        <w:outlineLvl w:val="0"/>
        <w:rPr>
          <w:rFonts w:ascii="Times New Roman" w:hAnsi="Times New Roman"/>
          <w:b/>
        </w:rPr>
      </w:pPr>
      <w:bookmarkStart w:id="22" w:name="_Toc522107739"/>
      <w:bookmarkStart w:id="23" w:name="_Toc522716119"/>
      <w:r>
        <w:rPr>
          <w:rFonts w:ascii="Times New Roman" w:hAnsi="Times New Roman"/>
          <w:b/>
        </w:rPr>
        <w:t>系统描述</w:t>
      </w:r>
      <w:bookmarkEnd w:id="22"/>
      <w:bookmarkEnd w:id="23"/>
    </w:p>
    <w:p>
      <w:pPr>
        <w:pStyle w:val="41"/>
        <w:spacing w:before="0" w:line="360" w:lineRule="auto"/>
        <w:ind w:left="357"/>
        <w:jc w:val="left"/>
        <w:rPr>
          <w:i/>
          <w:color w:val="4472C4"/>
          <w:szCs w:val="21"/>
          <w:lang w:eastAsia="zh-CN"/>
        </w:rPr>
      </w:pPr>
      <w:permStart w:id="8" w:edGrp="everyone"/>
      <w:r>
        <w:rPr>
          <w:rFonts w:hint="eastAsia"/>
          <w:iCs/>
          <w:szCs w:val="21"/>
          <w:lang w:eastAsia="zh-CN"/>
        </w:rPr>
        <w:t>本文件的目的是描述</w:t>
      </w:r>
      <w:r>
        <w:rPr>
          <w:rFonts w:hint="eastAsia"/>
          <w:szCs w:val="21"/>
          <w:lang w:eastAsia="zh-CN"/>
        </w:rPr>
        <w:t>病毒性疫苗研究二室</w:t>
      </w:r>
      <w:r>
        <w:rPr>
          <w:rFonts w:hint="eastAsia"/>
          <w:iCs/>
          <w:szCs w:val="21"/>
          <w:lang w:eastAsia="zh-CN"/>
        </w:rPr>
        <w:t>需购买的4台卧式冰柜的用户需求，以确保最终用户的需求可以在设计阶段实现，并作为后续验证工作的基础。卧式冰柜主要用于在</w:t>
      </w:r>
      <w:r>
        <w:rPr>
          <w:rFonts w:hint="eastAsia"/>
          <w:szCs w:val="21"/>
          <w:lang w:eastAsia="zh-CN"/>
        </w:rPr>
        <w:t>病研二欣宁楼二楼流感车间</w:t>
      </w:r>
      <w:r>
        <w:rPr>
          <w:rFonts w:hint="eastAsia"/>
          <w:iCs/>
          <w:szCs w:val="21"/>
          <w:lang w:eastAsia="zh-CN"/>
        </w:rPr>
        <w:t>存放培养基、胰酶、血清等</w:t>
      </w:r>
      <w:r>
        <w:rPr>
          <w:iCs/>
          <w:szCs w:val="21"/>
          <w:lang w:eastAsia="zh-CN"/>
        </w:rPr>
        <w:t>。</w:t>
      </w:r>
      <w:permEnd w:id="8"/>
    </w:p>
    <w:p>
      <w:pPr>
        <w:pStyle w:val="31"/>
        <w:numPr>
          <w:ilvl w:val="0"/>
          <w:numId w:val="3"/>
        </w:numPr>
        <w:spacing w:after="158" w:afterLines="50"/>
        <w:ind w:left="426" w:hanging="426" w:hangingChars="202"/>
        <w:outlineLvl w:val="0"/>
        <w:rPr>
          <w:rFonts w:ascii="Times New Roman" w:hAnsi="Times New Roman"/>
          <w:b/>
          <w:szCs w:val="21"/>
        </w:rPr>
      </w:pPr>
      <w:bookmarkStart w:id="24" w:name="_Toc522716120"/>
      <w:r>
        <w:rPr>
          <w:rFonts w:ascii="Times New Roman" w:hAnsi="Times New Roman"/>
          <w:b/>
          <w:szCs w:val="21"/>
        </w:rPr>
        <w:t>安装要求</w:t>
      </w:r>
      <w:bookmarkEnd w:id="24"/>
    </w:p>
    <w:p>
      <w:pPr>
        <w:pStyle w:val="31"/>
        <w:spacing w:after="158" w:afterLines="50"/>
        <w:ind w:left="425" w:firstLine="0" w:firstLineChars="0"/>
        <w:rPr>
          <w:rFonts w:ascii="Times New Roman" w:hAnsi="Times New Roman"/>
          <w:szCs w:val="21"/>
        </w:rPr>
      </w:pPr>
      <w:permStart w:id="9" w:edGrp="everyone"/>
      <w:permEnd w:id="9"/>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5" w:name="OLE_LINK1"/>
            <w:bookmarkStart w:id="26" w:name="OLE_LINK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0" w:edGrp="everyone"/>
          </w:p>
        </w:tc>
        <w:tc>
          <w:tcPr>
            <w:tcW w:w="7128" w:type="dxa"/>
            <w:shd w:val="clear" w:color="auto" w:fill="auto"/>
            <w:vAlign w:val="center"/>
          </w:tcPr>
          <w:p>
            <w:pPr>
              <w:spacing w:line="276" w:lineRule="auto"/>
              <w:jc w:val="both"/>
              <w:rPr>
                <w:i/>
                <w:color w:val="0070C0"/>
                <w:szCs w:val="21"/>
                <w:lang w:eastAsia="zh-CN"/>
              </w:rPr>
            </w:pPr>
            <w:r>
              <w:rPr>
                <w:rFonts w:hint="eastAsia"/>
                <w:szCs w:val="21"/>
                <w:lang w:eastAsia="zh-CN"/>
              </w:rPr>
              <w:t>1</w:t>
            </w:r>
            <w:r>
              <w:rPr>
                <w:szCs w:val="21"/>
                <w:lang w:eastAsia="zh-CN"/>
              </w:rPr>
              <w:t>05</w:t>
            </w:r>
            <w:r>
              <w:rPr>
                <w:rFonts w:hint="eastAsia"/>
                <w:szCs w:val="21"/>
                <w:lang w:eastAsia="zh-CN"/>
              </w:rPr>
              <w:t>大楼二室楼流感疫苗车间</w:t>
            </w:r>
          </w:p>
        </w:tc>
        <w:tc>
          <w:tcPr>
            <w:tcW w:w="2125" w:type="dxa"/>
            <w:shd w:val="clear" w:color="auto" w:fill="auto"/>
            <w:vAlign w:val="center"/>
          </w:tcPr>
          <w:p>
            <w:pPr>
              <w:jc w:val="both"/>
              <w:rPr>
                <w:i/>
                <w:szCs w:val="21"/>
                <w:lang w:eastAsia="zh-CN"/>
              </w:rPr>
            </w:pPr>
            <w:r>
              <w:rPr>
                <w:rFonts w:hint="eastAsia"/>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1" w:edGrp="everyone"/>
          </w:p>
        </w:tc>
        <w:tc>
          <w:tcPr>
            <w:tcW w:w="7128" w:type="dxa"/>
            <w:shd w:val="clear" w:color="auto" w:fill="auto"/>
            <w:vAlign w:val="center"/>
          </w:tcPr>
          <w:p>
            <w:pPr>
              <w:spacing w:line="276" w:lineRule="auto"/>
              <w:jc w:val="both"/>
              <w:rPr>
                <w:szCs w:val="21"/>
                <w:lang w:val="en-US" w:eastAsia="zh-CN"/>
              </w:rPr>
            </w:pPr>
            <w:r>
              <w:rPr>
                <w:rFonts w:hint="eastAsia"/>
                <w:szCs w:val="21"/>
                <w:lang w:eastAsia="zh-CN"/>
              </w:rPr>
              <w:t>长宽比应符合现场摆放位置的要求。</w:t>
            </w:r>
          </w:p>
        </w:tc>
        <w:tc>
          <w:tcPr>
            <w:tcW w:w="2125" w:type="dxa"/>
            <w:shd w:val="clear" w:color="auto" w:fill="auto"/>
            <w:vAlign w:val="center"/>
          </w:tcPr>
          <w:p>
            <w:pPr>
              <w:jc w:val="both"/>
              <w:rPr>
                <w:szCs w:val="21"/>
                <w:lang w:eastAsia="zh-CN"/>
              </w:rPr>
            </w:pPr>
            <w:r>
              <w:rPr>
                <w:rFonts w:hint="eastAsia"/>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2" w:edGrp="everyone"/>
          </w:p>
        </w:tc>
        <w:tc>
          <w:tcPr>
            <w:tcW w:w="7128" w:type="dxa"/>
            <w:shd w:val="clear" w:color="auto" w:fill="auto"/>
            <w:vAlign w:val="center"/>
          </w:tcPr>
          <w:p>
            <w:pPr>
              <w:spacing w:line="276" w:lineRule="auto"/>
              <w:jc w:val="both"/>
              <w:rPr>
                <w:szCs w:val="21"/>
                <w:lang w:val="en-US" w:eastAsia="zh-CN"/>
              </w:rPr>
            </w:pPr>
            <w:r>
              <w:rPr>
                <w:szCs w:val="21"/>
                <w:lang w:eastAsia="zh-CN"/>
              </w:rPr>
              <w:t>设备的形式尺寸应符合制造商说明书及技术文件规定的要求。</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eastAsia="zh-CN"/>
              </w:rPr>
              <w:t>供应商必须给出设备选型方案及相应附件选型方案，并交给我公司使用部门及工程类部门审核。</w:t>
            </w:r>
          </w:p>
        </w:tc>
        <w:tc>
          <w:tcPr>
            <w:tcW w:w="2125" w:type="dxa"/>
            <w:shd w:val="clear" w:color="auto" w:fill="auto"/>
            <w:vAlign w:val="center"/>
          </w:tcPr>
          <w:p>
            <w:pPr>
              <w:jc w:val="both"/>
              <w:rPr>
                <w:szCs w:val="21"/>
                <w:lang w:eastAsia="zh-CN"/>
              </w:rPr>
            </w:pPr>
            <w:r>
              <w:rPr>
                <w:rFonts w:hint="eastAsia"/>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3" w:edGrp="everyone"/>
          </w:p>
        </w:tc>
        <w:tc>
          <w:tcPr>
            <w:tcW w:w="7128" w:type="dxa"/>
            <w:shd w:val="clear" w:color="auto" w:fill="auto"/>
            <w:vAlign w:val="center"/>
          </w:tcPr>
          <w:p>
            <w:pPr>
              <w:spacing w:line="276" w:lineRule="auto"/>
              <w:jc w:val="both"/>
              <w:rPr>
                <w:i/>
                <w:color w:val="0070C0"/>
                <w:szCs w:val="21"/>
                <w:lang w:eastAsia="zh-CN"/>
              </w:rPr>
            </w:pPr>
            <w:r>
              <w:rPr>
                <w:rFonts w:hint="eastAsia"/>
                <w:iCs/>
                <w:color w:val="000000" w:themeColor="text1"/>
                <w:szCs w:val="21"/>
                <w:lang w:eastAsia="zh-CN"/>
              </w:rPr>
              <w:t>重量不超过房间地面承重要求。</w:t>
            </w:r>
          </w:p>
        </w:tc>
        <w:tc>
          <w:tcPr>
            <w:tcW w:w="2125" w:type="dxa"/>
            <w:shd w:val="clear" w:color="auto" w:fill="auto"/>
            <w:vAlign w:val="center"/>
          </w:tcPr>
          <w:p>
            <w:pPr>
              <w:jc w:val="both"/>
              <w:rPr>
                <w:szCs w:val="21"/>
                <w:lang w:eastAsia="zh-CN"/>
              </w:rPr>
            </w:pPr>
            <w:r>
              <w:rPr>
                <w:rFonts w:hint="eastAsia"/>
                <w:szCs w:val="21"/>
                <w:lang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rPr>
                <w:szCs w:val="21"/>
                <w:lang w:eastAsia="zh-CN"/>
              </w:rPr>
            </w:pPr>
            <w:permStart w:id="14" w:edGrp="everyone"/>
          </w:p>
        </w:tc>
        <w:tc>
          <w:tcPr>
            <w:tcW w:w="9253" w:type="dxa"/>
            <w:gridSpan w:val="2"/>
            <w:shd w:val="clear" w:color="auto" w:fill="auto"/>
            <w:vAlign w:val="center"/>
          </w:tcPr>
          <w:p>
            <w:pPr>
              <w:jc w:val="both"/>
              <w:rPr>
                <w:szCs w:val="21"/>
                <w:lang w:eastAsia="zh-CN"/>
              </w:rPr>
            </w:pPr>
            <w:r>
              <w:rPr>
                <w:rFonts w:hint="eastAsia"/>
                <w:szCs w:val="21"/>
                <w:lang w:eastAsia="zh-CN"/>
              </w:rPr>
              <w:t>N</w:t>
            </w:r>
            <w:r>
              <w:rPr>
                <w:szCs w:val="21"/>
                <w:lang w:eastAsia="zh-CN"/>
              </w:rPr>
              <w:t>/A</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5" w:edGrp="everyone"/>
          </w:p>
        </w:tc>
        <w:tc>
          <w:tcPr>
            <w:tcW w:w="7128" w:type="dxa"/>
            <w:shd w:val="clear" w:color="auto" w:fill="auto"/>
            <w:vAlign w:val="center"/>
          </w:tcPr>
          <w:p>
            <w:pPr>
              <w:spacing w:line="276" w:lineRule="auto"/>
              <w:jc w:val="both"/>
              <w:rPr>
                <w:iCs/>
                <w:szCs w:val="21"/>
                <w:lang w:eastAsia="zh-CN"/>
              </w:rPr>
            </w:pPr>
            <w:r>
              <w:rPr>
                <w:rFonts w:hint="eastAsia"/>
                <w:iCs/>
                <w:lang w:eastAsia="zh-CN"/>
              </w:rPr>
              <w:t>适用于我公司工作环境温度：能适应10℃～32℃环境。</w:t>
            </w:r>
          </w:p>
        </w:tc>
        <w:tc>
          <w:tcPr>
            <w:tcW w:w="2125" w:type="dxa"/>
            <w:shd w:val="clear" w:color="auto" w:fill="auto"/>
            <w:vAlign w:val="center"/>
          </w:tcPr>
          <w:p>
            <w:pPr>
              <w:jc w:val="both"/>
              <w:rPr>
                <w:szCs w:val="21"/>
                <w:lang w:eastAsia="zh-CN"/>
              </w:rPr>
            </w:pPr>
            <w:r>
              <w:rPr>
                <w:rFonts w:hint="eastAsia"/>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6" w:edGrp="everyone"/>
          </w:p>
        </w:tc>
        <w:tc>
          <w:tcPr>
            <w:tcW w:w="7128" w:type="dxa"/>
            <w:shd w:val="clear" w:color="auto" w:fill="auto"/>
            <w:vAlign w:val="center"/>
          </w:tcPr>
          <w:p>
            <w:pPr>
              <w:spacing w:line="276" w:lineRule="auto"/>
              <w:jc w:val="both"/>
              <w:rPr>
                <w:szCs w:val="21"/>
                <w:lang w:eastAsia="zh-CN"/>
              </w:rPr>
            </w:pPr>
            <w:r>
              <w:rPr>
                <w:rFonts w:hint="eastAsia"/>
                <w:color w:val="000000"/>
                <w:lang w:eastAsia="zh-CN"/>
              </w:rPr>
              <w:t>适用于我公司工作环境湿度：至少包括45%～65%。</w:t>
            </w:r>
          </w:p>
        </w:tc>
        <w:tc>
          <w:tcPr>
            <w:tcW w:w="2125" w:type="dxa"/>
            <w:shd w:val="clear" w:color="auto" w:fill="auto"/>
            <w:vAlign w:val="center"/>
          </w:tcPr>
          <w:p>
            <w:pPr>
              <w:jc w:val="both"/>
              <w:rPr>
                <w:szCs w:val="21"/>
                <w:lang w:eastAsia="zh-CN"/>
              </w:rPr>
            </w:pPr>
            <w:r>
              <w:rPr>
                <w:rFonts w:hint="eastAsia"/>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7" w:edGrp="everyone"/>
          </w:p>
        </w:tc>
        <w:tc>
          <w:tcPr>
            <w:tcW w:w="7128" w:type="dxa"/>
            <w:shd w:val="clear" w:color="auto" w:fill="auto"/>
            <w:vAlign w:val="center"/>
          </w:tcPr>
          <w:p>
            <w:pPr>
              <w:spacing w:line="276" w:lineRule="auto"/>
              <w:jc w:val="both"/>
              <w:rPr>
                <w:color w:val="000000"/>
                <w:lang w:eastAsia="zh-CN"/>
              </w:rPr>
            </w:pPr>
            <w:r>
              <w:rPr>
                <w:color w:val="000000"/>
                <w:lang w:eastAsia="zh-CN"/>
              </w:rPr>
              <w:t>工作环境洁净级别：</w:t>
            </w:r>
            <w:r>
              <w:rPr>
                <w:iCs/>
                <w:lang w:eastAsia="zh-CN"/>
              </w:rPr>
              <w:t>C</w:t>
            </w:r>
            <w:r>
              <w:rPr>
                <w:rFonts w:hint="eastAsia"/>
                <w:iCs/>
                <w:lang w:eastAsia="zh-CN"/>
              </w:rPr>
              <w:t>级区</w:t>
            </w:r>
          </w:p>
        </w:tc>
        <w:tc>
          <w:tcPr>
            <w:tcW w:w="2125" w:type="dxa"/>
            <w:shd w:val="clear" w:color="auto" w:fill="auto"/>
            <w:vAlign w:val="center"/>
          </w:tcPr>
          <w:p>
            <w:pPr>
              <w:jc w:val="both"/>
              <w:rPr>
                <w:szCs w:val="21"/>
                <w:lang w:eastAsia="zh-CN"/>
              </w:rPr>
            </w:pPr>
            <w:r>
              <w:rPr>
                <w:rFonts w:hint="eastAsia"/>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8" w:edGrp="everyone"/>
          </w:p>
        </w:tc>
        <w:tc>
          <w:tcPr>
            <w:tcW w:w="7128" w:type="dxa"/>
            <w:shd w:val="clear" w:color="auto" w:fill="auto"/>
            <w:vAlign w:val="center"/>
          </w:tcPr>
          <w:p>
            <w:pPr>
              <w:spacing w:line="276" w:lineRule="auto"/>
              <w:jc w:val="both"/>
              <w:rPr>
                <w:color w:val="000000"/>
                <w:lang w:eastAsia="zh-CN"/>
              </w:rPr>
            </w:pPr>
            <w:r>
              <w:rPr>
                <w:color w:val="000000"/>
                <w:lang w:eastAsia="zh-CN"/>
              </w:rPr>
              <w:t>交流电电源：</w:t>
            </w:r>
            <w:r>
              <w:rPr>
                <w:iCs/>
                <w:lang w:eastAsia="zh-CN"/>
              </w:rPr>
              <w:t xml:space="preserve">～220±10%V，50±1Hz </w:t>
            </w:r>
          </w:p>
        </w:tc>
        <w:tc>
          <w:tcPr>
            <w:tcW w:w="2125" w:type="dxa"/>
            <w:shd w:val="clear" w:color="auto" w:fill="auto"/>
            <w:vAlign w:val="center"/>
          </w:tcPr>
          <w:p>
            <w:pPr>
              <w:jc w:val="both"/>
              <w:rPr>
                <w:szCs w:val="21"/>
                <w:lang w:eastAsia="zh-CN"/>
              </w:rPr>
            </w:pPr>
            <w:r>
              <w:rPr>
                <w:rFonts w:hint="eastAsia"/>
                <w:szCs w:val="21"/>
                <w:lang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9" w:edGrp="everyone"/>
          </w:p>
        </w:tc>
        <w:tc>
          <w:tcPr>
            <w:tcW w:w="7128" w:type="dxa"/>
            <w:shd w:val="clear" w:color="auto" w:fill="auto"/>
            <w:vAlign w:val="center"/>
          </w:tcPr>
          <w:p>
            <w:pPr>
              <w:spacing w:line="276" w:lineRule="auto"/>
              <w:jc w:val="both"/>
              <w:rPr>
                <w:i/>
                <w:color w:val="000000"/>
                <w:lang w:eastAsia="zh-CN"/>
              </w:rPr>
            </w:pPr>
            <w:r>
              <w:rPr>
                <w:rFonts w:hint="eastAsia"/>
                <w:iCs/>
                <w:lang w:eastAsia="zh-CN"/>
              </w:rPr>
              <w:t>设备应整洁完好，不得有明显凹陷、破损和锈蚀等缺陷。设备采用进口优质品牌全封闭式静音制冷压缩机和冷凝风机，环保无氟制冷剂。</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Cs/>
                <w:lang w:eastAsia="zh-CN"/>
              </w:rPr>
            </w:pPr>
            <w:r>
              <w:rPr>
                <w:rFonts w:hint="eastAsia"/>
                <w:iCs/>
                <w:lang w:eastAsia="zh-CN"/>
              </w:rPr>
              <w:t>使用材质应易于清洁消毒，耐受消毒剂腐蚀</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Cs/>
                <w:lang w:eastAsia="zh-CN"/>
              </w:rPr>
            </w:pPr>
            <w:r>
              <w:rPr>
                <w:rFonts w:hint="eastAsia"/>
                <w:iCs/>
                <w:lang w:eastAsia="zh-CN"/>
              </w:rPr>
              <w:t>需要有止动脚底方便使用。</w:t>
            </w:r>
            <w:r>
              <w:rPr>
                <w:iCs/>
                <w:lang w:eastAsia="zh-CN"/>
              </w:rPr>
              <w:t xml:space="preserve"> </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szCs w:val="21"/>
                <w:lang w:val="en-US" w:eastAsia="zh-CN"/>
              </w:rPr>
              <w:t>标识</w:t>
            </w:r>
            <w:r>
              <w:rPr>
                <w:szCs w:val="21"/>
                <w:lang w:eastAsia="zh-CN"/>
              </w:rPr>
              <w:t xml:space="preserve">：至少应有以下永久贴牢和清楚易认的标识： </w:t>
            </w:r>
          </w:p>
          <w:p>
            <w:pPr>
              <w:spacing w:line="276" w:lineRule="auto"/>
              <w:jc w:val="both"/>
              <w:rPr>
                <w:szCs w:val="21"/>
                <w:lang w:eastAsia="zh-CN"/>
              </w:rPr>
            </w:pPr>
            <w:r>
              <w:rPr>
                <w:szCs w:val="21"/>
                <w:lang w:eastAsia="zh-CN"/>
              </w:rPr>
              <w:t>（1）制造/供应单位；</w:t>
            </w:r>
          </w:p>
          <w:p>
            <w:pPr>
              <w:spacing w:line="276" w:lineRule="auto"/>
              <w:jc w:val="both"/>
              <w:rPr>
                <w:szCs w:val="21"/>
                <w:lang w:eastAsia="zh-CN"/>
              </w:rPr>
            </w:pPr>
            <w:r>
              <w:rPr>
                <w:szCs w:val="21"/>
                <w:lang w:eastAsia="zh-CN"/>
              </w:rPr>
              <w:t>（2）产品注册号；</w:t>
            </w:r>
          </w:p>
          <w:p>
            <w:pPr>
              <w:spacing w:line="276" w:lineRule="auto"/>
              <w:jc w:val="both"/>
              <w:rPr>
                <w:szCs w:val="21"/>
                <w:lang w:eastAsia="zh-CN"/>
              </w:rPr>
            </w:pPr>
            <w:r>
              <w:rPr>
                <w:szCs w:val="21"/>
                <w:lang w:eastAsia="zh-CN"/>
              </w:rPr>
              <w:t>（3）型号；</w:t>
            </w:r>
          </w:p>
          <w:p>
            <w:pPr>
              <w:spacing w:line="276" w:lineRule="auto"/>
              <w:jc w:val="both"/>
              <w:rPr>
                <w:szCs w:val="21"/>
                <w:lang w:eastAsia="zh-CN"/>
              </w:rPr>
            </w:pPr>
            <w:r>
              <w:rPr>
                <w:szCs w:val="21"/>
                <w:lang w:eastAsia="zh-CN"/>
              </w:rPr>
              <w:t>（4）生产日期或编号；</w:t>
            </w:r>
          </w:p>
          <w:p>
            <w:pPr>
              <w:spacing w:line="276" w:lineRule="auto"/>
              <w:jc w:val="both"/>
              <w:rPr>
                <w:szCs w:val="21"/>
                <w:lang w:eastAsia="zh-CN"/>
              </w:rPr>
            </w:pPr>
            <w:r>
              <w:rPr>
                <w:szCs w:val="21"/>
                <w:lang w:eastAsia="zh-CN"/>
              </w:rPr>
              <w:t>（5）对设备必要的说明；</w:t>
            </w:r>
          </w:p>
          <w:p>
            <w:pPr>
              <w:spacing w:line="276" w:lineRule="auto"/>
              <w:jc w:val="both"/>
              <w:rPr>
                <w:szCs w:val="21"/>
                <w:lang w:eastAsia="zh-CN"/>
              </w:rPr>
            </w:pPr>
            <w:r>
              <w:rPr>
                <w:rFonts w:hint="eastAsia"/>
                <w:szCs w:val="21"/>
                <w:lang w:eastAsia="zh-CN"/>
              </w:rPr>
              <w:t>（6）制冷剂型号和注入量；</w:t>
            </w:r>
          </w:p>
          <w:p>
            <w:pPr>
              <w:pStyle w:val="7"/>
              <w:spacing w:line="276" w:lineRule="auto"/>
              <w:rPr>
                <w:sz w:val="21"/>
                <w:szCs w:val="21"/>
                <w:lang w:eastAsia="zh-CN"/>
              </w:rPr>
            </w:pPr>
            <w:r>
              <w:rPr>
                <w:sz w:val="21"/>
                <w:szCs w:val="21"/>
              </w:rPr>
              <w:t>（</w:t>
            </w:r>
            <w:r>
              <w:rPr>
                <w:sz w:val="21"/>
                <w:szCs w:val="21"/>
                <w:lang w:eastAsia="zh-CN"/>
              </w:rPr>
              <w:t>7</w:t>
            </w:r>
            <w:r>
              <w:rPr>
                <w:sz w:val="21"/>
                <w:szCs w:val="21"/>
              </w:rPr>
              <w:t>）安全标识。</w:t>
            </w:r>
          </w:p>
        </w:tc>
        <w:tc>
          <w:tcPr>
            <w:tcW w:w="2125" w:type="dxa"/>
            <w:shd w:val="clear" w:color="auto" w:fill="auto"/>
            <w:vAlign w:val="center"/>
          </w:tcPr>
          <w:p>
            <w:pPr>
              <w:jc w:val="both"/>
              <w:rPr>
                <w:szCs w:val="21"/>
                <w:lang w:eastAsia="zh-CN"/>
              </w:rPr>
            </w:pPr>
            <w:r>
              <w:rPr>
                <w:rFonts w:hint="eastAsia"/>
                <w:szCs w:val="21"/>
                <w:lang w:eastAsia="zh-CN"/>
              </w:rPr>
              <w:t>关键</w:t>
            </w:r>
          </w:p>
        </w:tc>
      </w:tr>
      <w:bookmarkEnd w:id="25"/>
      <w:bookmarkEnd w:id="26"/>
      <w:permEnd w:id="19"/>
    </w:tbl>
    <w:p>
      <w:pPr>
        <w:pStyle w:val="31"/>
        <w:spacing w:after="158" w:afterLines="50"/>
        <w:ind w:left="425" w:firstLine="0" w:firstLineChars="0"/>
        <w:rPr>
          <w:rFonts w:ascii="Times New Roman" w:hAnsi="Times New Roman"/>
          <w:szCs w:val="21"/>
        </w:rPr>
      </w:pPr>
    </w:p>
    <w:p>
      <w:pPr>
        <w:pStyle w:val="31"/>
        <w:numPr>
          <w:ilvl w:val="0"/>
          <w:numId w:val="3"/>
        </w:numPr>
        <w:spacing w:after="158" w:afterLines="50"/>
        <w:ind w:left="426" w:hanging="426" w:hangingChars="202"/>
        <w:outlineLvl w:val="0"/>
        <w:rPr>
          <w:rFonts w:ascii="Times New Roman" w:hAnsi="Times New Roman"/>
          <w:b/>
        </w:rPr>
      </w:pPr>
      <w:bookmarkStart w:id="27" w:name="_Toc522107740"/>
      <w:bookmarkStart w:id="28" w:name="_Toc522716121"/>
      <w:r>
        <w:rPr>
          <w:rFonts w:ascii="Times New Roman" w:hAnsi="Times New Roman"/>
          <w:b/>
        </w:rPr>
        <w:t>运行要求</w:t>
      </w:r>
      <w:bookmarkEnd w:id="27"/>
      <w:bookmarkEnd w:id="28"/>
    </w:p>
    <w:p>
      <w:pPr>
        <w:pStyle w:val="41"/>
        <w:spacing w:before="0" w:line="360" w:lineRule="auto"/>
        <w:ind w:left="357"/>
        <w:jc w:val="left"/>
        <w:rPr>
          <w:bCs/>
          <w:i/>
          <w:color w:val="4472C4"/>
          <w:kern w:val="44"/>
          <w:szCs w:val="21"/>
          <w:lang w:eastAsia="zh-CN"/>
        </w:rPr>
      </w:pPr>
      <w:permStart w:id="20" w:edGrp="everyone"/>
    </w:p>
    <w:permEnd w:id="20"/>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1" w:edGrp="everyone"/>
          </w:p>
        </w:tc>
        <w:tc>
          <w:tcPr>
            <w:tcW w:w="7128" w:type="dxa"/>
            <w:shd w:val="clear" w:color="auto" w:fill="auto"/>
            <w:vAlign w:val="center"/>
          </w:tcPr>
          <w:p>
            <w:pPr>
              <w:spacing w:line="276" w:lineRule="auto"/>
              <w:jc w:val="both"/>
              <w:rPr>
                <w:szCs w:val="21"/>
                <w:lang w:eastAsia="zh-CN"/>
              </w:rPr>
            </w:pPr>
            <w:r>
              <w:rPr>
                <w:rFonts w:hint="eastAsia"/>
                <w:iCs/>
                <w:color w:val="000000" w:themeColor="text1"/>
                <w:lang w:eastAsia="zh-CN"/>
              </w:rPr>
              <w:t>包装需满足运输和装卸要求，做到防潮湿、防磕碰、防振动</w:t>
            </w:r>
          </w:p>
        </w:tc>
        <w:tc>
          <w:tcPr>
            <w:tcW w:w="2125" w:type="dxa"/>
            <w:shd w:val="clear" w:color="auto" w:fill="auto"/>
            <w:vAlign w:val="center"/>
          </w:tcPr>
          <w:p>
            <w:pPr>
              <w:jc w:val="both"/>
              <w:rPr>
                <w:szCs w:val="21"/>
                <w:lang w:eastAsia="zh-CN"/>
              </w:rPr>
            </w:pPr>
            <w:r>
              <w:rPr>
                <w:rFonts w:hint="eastAsia"/>
                <w:szCs w:val="21"/>
                <w:lang w:eastAsia="zh-CN"/>
              </w:rPr>
              <w:t>关键</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rPr>
                <w:szCs w:val="21"/>
              </w:rPr>
            </w:pPr>
            <w:permStart w:id="22" w:edGrp="everyone"/>
          </w:p>
        </w:tc>
        <w:tc>
          <w:tcPr>
            <w:tcW w:w="9253" w:type="dxa"/>
            <w:gridSpan w:val="2"/>
            <w:shd w:val="clear" w:color="auto" w:fill="auto"/>
            <w:vAlign w:val="center"/>
          </w:tcPr>
          <w:p>
            <w:pPr>
              <w:jc w:val="both"/>
              <w:rPr>
                <w:iCs/>
                <w:szCs w:val="21"/>
                <w:lang w:eastAsia="zh-CN"/>
              </w:rPr>
            </w:pPr>
            <w:r>
              <w:rPr>
                <w:rFonts w:hint="eastAsia"/>
                <w:iCs/>
                <w:lang w:eastAsia="zh-CN"/>
              </w:rPr>
              <w:t>N</w:t>
            </w:r>
            <w:r>
              <w:rPr>
                <w:iCs/>
                <w:lang w:eastAsia="zh-CN"/>
              </w:rPr>
              <w:t>/A</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3" w:edGrp="everyone"/>
          </w:p>
        </w:tc>
        <w:tc>
          <w:tcPr>
            <w:tcW w:w="7128" w:type="dxa"/>
            <w:shd w:val="clear" w:color="auto" w:fill="auto"/>
            <w:vAlign w:val="center"/>
          </w:tcPr>
          <w:p>
            <w:pPr>
              <w:spacing w:line="276" w:lineRule="auto"/>
              <w:jc w:val="both"/>
              <w:rPr>
                <w:i/>
                <w:szCs w:val="21"/>
                <w:lang w:eastAsia="zh-CN"/>
              </w:rPr>
            </w:pPr>
            <w:r>
              <w:rPr>
                <w:rFonts w:hint="eastAsia" w:eastAsiaTheme="minorEastAsia"/>
                <w:iCs/>
                <w:szCs w:val="21"/>
                <w:lang w:val="en-US" w:eastAsia="zh-CN"/>
              </w:rPr>
              <w:t>卧式冰柜的冷藏温度范围可以通过调整设定温度恒定控制在-</w:t>
            </w:r>
            <w:r>
              <w:rPr>
                <w:rFonts w:eastAsiaTheme="minorEastAsia"/>
                <w:iCs/>
                <w:szCs w:val="21"/>
                <w:lang w:val="en-US" w:eastAsia="zh-CN"/>
              </w:rPr>
              <w:t>20</w:t>
            </w:r>
            <w:r>
              <w:rPr>
                <w:rFonts w:eastAsiaTheme="minorEastAsia"/>
                <w:iCs/>
                <w:lang w:eastAsia="zh-CN"/>
              </w:rPr>
              <w:t>℃</w:t>
            </w:r>
            <w:r>
              <w:rPr>
                <w:rFonts w:hint="eastAsia" w:eastAsiaTheme="minorEastAsia"/>
                <w:iCs/>
                <w:lang w:eastAsia="zh-CN"/>
              </w:rPr>
              <w:t>，调整增量为</w:t>
            </w:r>
            <w:r>
              <w:rPr>
                <w:rFonts w:eastAsiaTheme="minorEastAsia"/>
                <w:iCs/>
                <w:lang w:eastAsia="zh-CN"/>
              </w:rPr>
              <w:t>0.1</w:t>
            </w:r>
            <w:r>
              <w:rPr>
                <w:rFonts w:hint="eastAsia" w:eastAsiaTheme="minorEastAsia"/>
                <w:iCs/>
                <w:lang w:eastAsia="zh-CN"/>
              </w:rPr>
              <w:t>℃</w:t>
            </w:r>
          </w:p>
        </w:tc>
        <w:tc>
          <w:tcPr>
            <w:tcW w:w="2125" w:type="dxa"/>
            <w:shd w:val="clear" w:color="auto" w:fill="auto"/>
            <w:vAlign w:val="center"/>
          </w:tcPr>
          <w:p>
            <w:pPr>
              <w:jc w:val="both"/>
              <w:rPr>
                <w:szCs w:val="21"/>
                <w:lang w:eastAsia="zh-CN"/>
              </w:rPr>
            </w:pPr>
            <w:r>
              <w:rPr>
                <w:rFonts w:hint="eastAsia"/>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4" w:edGrp="everyone"/>
          </w:p>
        </w:tc>
        <w:tc>
          <w:tcPr>
            <w:tcW w:w="7128" w:type="dxa"/>
            <w:shd w:val="clear" w:color="auto" w:fill="auto"/>
            <w:vAlign w:val="center"/>
          </w:tcPr>
          <w:p>
            <w:pPr>
              <w:spacing w:line="276" w:lineRule="auto"/>
              <w:jc w:val="both"/>
              <w:rPr>
                <w:szCs w:val="21"/>
                <w:lang w:val="en-US" w:eastAsia="zh-CN"/>
              </w:rPr>
            </w:pPr>
            <w:r>
              <w:rPr>
                <w:rFonts w:hint="eastAsia" w:eastAsiaTheme="minorEastAsia"/>
                <w:iCs/>
                <w:szCs w:val="21"/>
                <w:lang w:val="en-US" w:eastAsia="zh-CN"/>
              </w:rPr>
              <w:t>温度波动范围±</w:t>
            </w:r>
            <w:r>
              <w:rPr>
                <w:rFonts w:eastAsiaTheme="minorEastAsia"/>
                <w:iCs/>
                <w:szCs w:val="21"/>
                <w:lang w:val="en-US" w:eastAsia="zh-CN"/>
              </w:rPr>
              <w:t>3</w:t>
            </w:r>
            <w:r>
              <w:rPr>
                <w:rFonts w:hint="eastAsia" w:eastAsiaTheme="minorEastAsia"/>
                <w:iCs/>
                <w:szCs w:val="21"/>
                <w:lang w:val="en-US" w:eastAsia="zh-CN"/>
              </w:rPr>
              <w:t>℃，温度均一性在±</w:t>
            </w:r>
            <w:r>
              <w:rPr>
                <w:rFonts w:eastAsiaTheme="minorEastAsia"/>
                <w:iCs/>
                <w:szCs w:val="21"/>
                <w:lang w:val="en-US" w:eastAsia="zh-CN"/>
              </w:rPr>
              <w:t>2</w:t>
            </w:r>
            <w:r>
              <w:rPr>
                <w:rFonts w:hint="eastAsia" w:eastAsiaTheme="minorEastAsia"/>
                <w:iCs/>
                <w:szCs w:val="21"/>
                <w:lang w:val="en-US" w:eastAsia="zh-CN"/>
              </w:rPr>
              <w:t>℃，温度显示精度</w:t>
            </w:r>
            <w:r>
              <w:rPr>
                <w:rFonts w:eastAsiaTheme="minorEastAsia"/>
                <w:iCs/>
                <w:szCs w:val="21"/>
                <w:lang w:val="en-US" w:eastAsia="zh-CN"/>
              </w:rPr>
              <w:t>0.1</w:t>
            </w:r>
            <w:r>
              <w:rPr>
                <w:rFonts w:hint="eastAsia" w:eastAsiaTheme="minorEastAsia"/>
                <w:iCs/>
                <w:szCs w:val="21"/>
                <w:lang w:val="en-US" w:eastAsia="zh-CN"/>
              </w:rPr>
              <w:t>℃</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eastAsiaTheme="minorEastAsia"/>
                <w:iCs/>
                <w:szCs w:val="21"/>
                <w:lang w:val="en-US" w:eastAsia="zh-CN"/>
              </w:rPr>
              <w:t>容积不小于5</w:t>
            </w:r>
            <w:r>
              <w:rPr>
                <w:rFonts w:eastAsiaTheme="minorEastAsia"/>
                <w:iCs/>
                <w:szCs w:val="21"/>
                <w:lang w:val="en-US" w:eastAsia="zh-CN"/>
              </w:rPr>
              <w:t>00L</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eastAsiaTheme="minorEastAsia"/>
                <w:iCs/>
                <w:szCs w:val="21"/>
                <w:lang w:val="en-US" w:eastAsia="zh-CN"/>
              </w:rPr>
            </w:pPr>
            <w:r>
              <w:rPr>
                <w:rFonts w:hint="eastAsia"/>
                <w:szCs w:val="21"/>
                <w:lang w:val="en-US" w:eastAsia="zh-CN"/>
              </w:rPr>
              <w:t>高度低于</w:t>
            </w:r>
            <w:r>
              <w:rPr>
                <w:szCs w:val="21"/>
                <w:lang w:val="en-US" w:eastAsia="zh-CN"/>
              </w:rPr>
              <w:t>2m</w:t>
            </w:r>
            <w:r>
              <w:rPr>
                <w:rFonts w:hint="eastAsia"/>
                <w:szCs w:val="21"/>
                <w:lang w:val="en-US" w:eastAsia="zh-CN"/>
              </w:rPr>
              <w:t>，上开门设计。</w:t>
            </w:r>
          </w:p>
        </w:tc>
        <w:tc>
          <w:tcPr>
            <w:tcW w:w="2125" w:type="dxa"/>
            <w:shd w:val="clear" w:color="auto" w:fill="auto"/>
            <w:vAlign w:val="center"/>
          </w:tcPr>
          <w:p>
            <w:pPr>
              <w:jc w:val="both"/>
              <w:rPr>
                <w:szCs w:val="21"/>
                <w:lang w:val="en-US"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val="en-US" w:eastAsia="zh-CN"/>
              </w:rPr>
            </w:pPr>
            <w:r>
              <w:rPr>
                <w:rFonts w:hint="eastAsia"/>
                <w:szCs w:val="21"/>
                <w:lang w:val="en-US" w:eastAsia="zh-CN"/>
              </w:rPr>
              <w:t>内壁具有保温功能，断电后箱内从-18℃上升至0℃≥100小时。</w:t>
            </w:r>
          </w:p>
        </w:tc>
        <w:tc>
          <w:tcPr>
            <w:tcW w:w="2125" w:type="dxa"/>
            <w:shd w:val="clear" w:color="auto" w:fill="auto"/>
            <w:vAlign w:val="center"/>
          </w:tcPr>
          <w:p>
            <w:pPr>
              <w:jc w:val="both"/>
              <w:rPr>
                <w:szCs w:val="21"/>
                <w:lang w:val="en-US" w:eastAsia="zh-CN"/>
              </w:rPr>
            </w:pPr>
            <w:r>
              <w:rPr>
                <w:rFonts w:hint="eastAsia"/>
                <w:szCs w:val="21"/>
                <w:lang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5"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有屏幕对冷藏箱温度进行数字温度显示，显示精度</w:t>
            </w:r>
            <w:r>
              <w:rPr>
                <w:szCs w:val="21"/>
                <w:lang w:eastAsia="zh-CN"/>
              </w:rPr>
              <w:t>0.1</w:t>
            </w:r>
            <w:r>
              <w:rPr>
                <w:rFonts w:hint="eastAsia"/>
                <w:szCs w:val="21"/>
                <w:lang w:eastAsia="zh-CN"/>
              </w:rPr>
              <w:t>℃。温度传感器要易于拆装，便于维修和校验，</w:t>
            </w:r>
            <w:r>
              <w:rPr>
                <w:rFonts w:hint="eastAsia"/>
                <w:lang w:eastAsia="zh-CN"/>
              </w:rPr>
              <w:t>同时在维修模式下具备温度传感器偏差校准功能。</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配置搁架，可以根据实际使用情况调整搁架间距，保证箱内空间利用率。</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有自动化霜功能。</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合理设计蒸发器，有效增大制冷面积，提高降温速度。</w:t>
            </w:r>
          </w:p>
        </w:tc>
        <w:tc>
          <w:tcPr>
            <w:tcW w:w="2125" w:type="dxa"/>
            <w:shd w:val="clear" w:color="auto" w:fill="auto"/>
            <w:vAlign w:val="center"/>
          </w:tcPr>
          <w:p>
            <w:pPr>
              <w:jc w:val="both"/>
              <w:rPr>
                <w:szCs w:val="21"/>
                <w:lang w:eastAsia="zh-CN"/>
              </w:rPr>
            </w:pPr>
            <w:r>
              <w:rPr>
                <w:rFonts w:hint="eastAsia"/>
                <w:szCs w:val="21"/>
                <w:lang w:eastAsia="zh-CN"/>
              </w:rPr>
              <w:t>关键</w:t>
            </w:r>
          </w:p>
        </w:tc>
      </w:tr>
      <w:permEnd w:id="25"/>
    </w:tbl>
    <w:p>
      <w:pPr>
        <w:pStyle w:val="31"/>
        <w:numPr>
          <w:ilvl w:val="0"/>
          <w:numId w:val="3"/>
        </w:numPr>
        <w:spacing w:after="158" w:afterLines="50"/>
        <w:ind w:left="426" w:hanging="426" w:hangingChars="202"/>
        <w:outlineLvl w:val="0"/>
        <w:rPr>
          <w:rFonts w:ascii="Times New Roman" w:hAnsi="Times New Roman"/>
          <w:b/>
        </w:rPr>
      </w:pPr>
      <w:bookmarkStart w:id="29" w:name="_Toc522716122"/>
      <w:bookmarkStart w:id="30" w:name="_Toc522107742"/>
      <w:bookmarkStart w:id="31" w:name="_Toc482370151"/>
      <w:bookmarkStart w:id="32" w:name="_Toc482370071"/>
      <w:bookmarkStart w:id="33" w:name="_Toc482370359"/>
      <w:bookmarkStart w:id="34" w:name="_Toc482625289"/>
      <w:bookmarkStart w:id="35" w:name="_Toc482369815"/>
      <w:bookmarkStart w:id="36" w:name="_Toc483400317"/>
      <w:bookmarkStart w:id="37" w:name="_Toc482717202"/>
      <w:bookmarkStart w:id="38" w:name="_Toc482370767"/>
      <w:bookmarkStart w:id="39" w:name="_Toc482359946"/>
      <w:bookmarkStart w:id="40" w:name="_Toc483227237"/>
      <w:bookmarkStart w:id="41" w:name="_Toc482360291"/>
      <w:bookmarkStart w:id="42" w:name="_Toc481702480"/>
      <w:r>
        <w:rPr>
          <w:rFonts w:ascii="Times New Roman" w:hAnsi="Times New Roman"/>
          <w:b/>
        </w:rPr>
        <w:t>电气、自动控制要求</w:t>
      </w:r>
      <w:bookmarkEnd w:id="29"/>
    </w:p>
    <w:p>
      <w:pPr>
        <w:pStyle w:val="41"/>
        <w:spacing w:before="0" w:line="360" w:lineRule="auto"/>
        <w:ind w:left="425"/>
        <w:jc w:val="left"/>
        <w:rPr>
          <w:i/>
          <w:color w:val="4472C4"/>
          <w:szCs w:val="21"/>
          <w:lang w:eastAsia="zh-CN"/>
        </w:rPr>
      </w:pPr>
      <w:permStart w:id="26" w:edGrp="everyone"/>
    </w:p>
    <w:permEnd w:id="26"/>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7" w:edGrp="everyone"/>
          </w:p>
        </w:tc>
        <w:tc>
          <w:tcPr>
            <w:tcW w:w="7128" w:type="dxa"/>
            <w:shd w:val="clear" w:color="auto" w:fill="auto"/>
            <w:vAlign w:val="center"/>
          </w:tcPr>
          <w:p>
            <w:pPr>
              <w:spacing w:line="276" w:lineRule="auto"/>
              <w:jc w:val="both"/>
              <w:rPr>
                <w:i/>
                <w:szCs w:val="21"/>
                <w:lang w:eastAsia="zh-CN"/>
              </w:rPr>
            </w:pPr>
            <w:r>
              <w:rPr>
                <w:rFonts w:hint="eastAsia" w:cs="Arial" w:asciiTheme="minorEastAsia" w:hAnsiTheme="minorEastAsia" w:eastAsiaTheme="minorEastAsia"/>
                <w:szCs w:val="16"/>
                <w:lang w:eastAsia="zh-CN"/>
              </w:rPr>
              <w:t>可大屏</w:t>
            </w:r>
            <w:r>
              <w:rPr>
                <w:rFonts w:hint="eastAsia" w:asciiTheme="minorEastAsia" w:hAnsiTheme="minorEastAsia" w:eastAsiaTheme="minorEastAsia"/>
                <w:szCs w:val="16"/>
                <w:lang w:eastAsia="zh-CN"/>
              </w:rPr>
              <w:t>数字显示箱内温度，</w:t>
            </w:r>
            <w:r>
              <w:rPr>
                <w:rFonts w:hint="eastAsia" w:cs="Arial" w:asciiTheme="minorEastAsia" w:hAnsiTheme="minorEastAsia" w:eastAsiaTheme="minorEastAsia"/>
                <w:szCs w:val="16"/>
                <w:lang w:eastAsia="zh-CN"/>
              </w:rPr>
              <w:t>微电脑控制,显示精度0.1度，带电源指示灯，</w:t>
            </w:r>
            <w:r>
              <w:rPr>
                <w:rFonts w:hint="eastAsia"/>
                <w:lang w:eastAsia="zh-CN"/>
              </w:rPr>
              <w:t>可设置设定温度、回差温度、报警温度、系统时间、打印间隔时间、自动化霜时间、化霜停止温度、压缩机启动延迟时间等参数。</w:t>
            </w:r>
          </w:p>
        </w:tc>
        <w:tc>
          <w:tcPr>
            <w:tcW w:w="2125" w:type="dxa"/>
            <w:shd w:val="clear" w:color="auto" w:fill="auto"/>
            <w:vAlign w:val="center"/>
          </w:tcPr>
          <w:p>
            <w:pPr>
              <w:jc w:val="both"/>
              <w:rPr>
                <w:szCs w:val="21"/>
                <w:lang w:eastAsia="zh-CN"/>
              </w:rPr>
            </w:pPr>
            <w:r>
              <w:rPr>
                <w:rFonts w:hint="eastAsia"/>
                <w:szCs w:val="21"/>
                <w:lang w:eastAsia="zh-CN"/>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8" w:edGrp="everyone"/>
          </w:p>
        </w:tc>
        <w:tc>
          <w:tcPr>
            <w:tcW w:w="7128" w:type="dxa"/>
            <w:shd w:val="clear" w:color="auto" w:fill="auto"/>
            <w:vAlign w:val="center"/>
          </w:tcPr>
          <w:p>
            <w:pPr>
              <w:spacing w:line="276" w:lineRule="auto"/>
              <w:jc w:val="both"/>
              <w:rPr>
                <w:szCs w:val="21"/>
                <w:lang w:eastAsia="zh-CN"/>
              </w:rPr>
            </w:pPr>
            <w:r>
              <w:rPr>
                <w:rFonts w:hint="eastAsia" w:asciiTheme="minorEastAsia" w:hAnsiTheme="minorEastAsia" w:eastAsiaTheme="minorEastAsia"/>
                <w:szCs w:val="16"/>
                <w:lang w:eastAsia="zh-CN"/>
              </w:rPr>
              <w:t>可实现超温报警、断电报警、开门报警、传感器故障报警、电池电量低报警，带远程报警接口，两种报警方式（声音蜂鸣报警，显示屏闪烁报警）。断电报警功能满足产品断电后继续显示箱内的实时温度大于48小时。</w:t>
            </w:r>
          </w:p>
        </w:tc>
        <w:tc>
          <w:tcPr>
            <w:tcW w:w="2125" w:type="dxa"/>
            <w:shd w:val="clear" w:color="auto" w:fill="auto"/>
            <w:vAlign w:val="center"/>
          </w:tcPr>
          <w:p>
            <w:pPr>
              <w:jc w:val="both"/>
              <w:rPr>
                <w:szCs w:val="21"/>
                <w:lang w:eastAsia="zh-CN"/>
              </w:rPr>
            </w:pPr>
            <w:r>
              <w:rPr>
                <w:rFonts w:hint="eastAsia"/>
                <w:szCs w:val="21"/>
                <w:lang w:eastAsia="zh-CN"/>
              </w:rPr>
              <w:t>关键</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9"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预留USB插口，可以通过U盘导出数据，并且导出的数据不可修改。</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有断电记忆功能，外部电源断电重新来电后，设备可以按原设定的程序自动恢复运行。</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有两个测试孔，电脑板控制。</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有温度保存功能，每5分钟保存一次实时温度数据，可保存1</w:t>
            </w:r>
            <w:r>
              <w:rPr>
                <w:szCs w:val="21"/>
                <w:lang w:eastAsia="zh-CN"/>
              </w:rPr>
              <w:t>0</w:t>
            </w:r>
            <w:r>
              <w:rPr>
                <w:rFonts w:hint="eastAsia"/>
                <w:szCs w:val="21"/>
                <w:lang w:eastAsia="zh-CN"/>
              </w:rPr>
              <w:t>年以上温度数据，可以导出不可修改的记录。</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有温度打印功能，每半小时打印一次实时温度数据。打印过程中尽可能不产生微粒并且所使用的打印纸为市场上常用的规格，打印记录在日常环境下能较长期保存，不可使用热敏纸打印。</w:t>
            </w:r>
          </w:p>
        </w:tc>
        <w:tc>
          <w:tcPr>
            <w:tcW w:w="2125" w:type="dxa"/>
            <w:shd w:val="clear" w:color="auto" w:fill="auto"/>
            <w:vAlign w:val="center"/>
          </w:tcPr>
          <w:p>
            <w:pPr>
              <w:jc w:val="both"/>
              <w:rPr>
                <w:szCs w:val="21"/>
                <w:lang w:eastAsia="zh-CN"/>
              </w:rPr>
            </w:pPr>
            <w:r>
              <w:rPr>
                <w:rFonts w:hint="eastAsia"/>
                <w:szCs w:val="21"/>
                <w:lang w:eastAsia="zh-CN"/>
              </w:rPr>
              <w:t>关键</w:t>
            </w:r>
          </w:p>
        </w:tc>
      </w:tr>
      <w:permEnd w:id="29"/>
    </w:tbl>
    <w:p>
      <w:pPr>
        <w:spacing w:after="158" w:afterLines="50"/>
        <w:rPr>
          <w:b/>
          <w:lang w:eastAsia="zh-CN"/>
        </w:rPr>
      </w:pPr>
    </w:p>
    <w:p>
      <w:pPr>
        <w:pStyle w:val="31"/>
        <w:numPr>
          <w:ilvl w:val="0"/>
          <w:numId w:val="3"/>
        </w:numPr>
        <w:spacing w:after="158" w:afterLines="50"/>
        <w:ind w:left="426" w:hanging="426" w:hangingChars="202"/>
        <w:outlineLvl w:val="0"/>
        <w:rPr>
          <w:rFonts w:ascii="Times New Roman" w:hAnsi="Times New Roman"/>
          <w:b/>
        </w:rPr>
      </w:pPr>
      <w:bookmarkStart w:id="43" w:name="_Toc522716123"/>
      <w:r>
        <w:rPr>
          <w:rFonts w:ascii="Times New Roman" w:hAnsi="Times New Roman"/>
          <w:b/>
        </w:rPr>
        <w:t>安全要求</w:t>
      </w:r>
      <w:bookmarkEnd w:id="30"/>
      <w:bookmarkEnd w:id="43"/>
    </w:p>
    <w:p>
      <w:pPr>
        <w:pStyle w:val="41"/>
        <w:spacing w:before="0" w:line="360" w:lineRule="auto"/>
        <w:ind w:left="357"/>
        <w:jc w:val="left"/>
        <w:rPr>
          <w:i/>
          <w:color w:val="4472C4"/>
          <w:szCs w:val="21"/>
          <w:lang w:eastAsia="zh-CN"/>
        </w:rPr>
      </w:pPr>
      <w:permStart w:id="30" w:edGrp="everyone"/>
    </w:p>
    <w:permEnd w:id="30"/>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rPr>
                <w:szCs w:val="21"/>
              </w:rPr>
            </w:pPr>
            <w:permStart w:id="31" w:edGrp="everyone"/>
          </w:p>
        </w:tc>
        <w:tc>
          <w:tcPr>
            <w:tcW w:w="9253" w:type="dxa"/>
            <w:gridSpan w:val="2"/>
            <w:shd w:val="clear" w:color="auto" w:fill="auto"/>
            <w:vAlign w:val="center"/>
          </w:tcPr>
          <w:p>
            <w:pPr>
              <w:jc w:val="both"/>
              <w:rPr>
                <w:szCs w:val="21"/>
                <w:lang w:eastAsia="zh-CN"/>
              </w:rPr>
            </w:pPr>
            <w:r>
              <w:rPr>
                <w:rFonts w:hint="eastAsia"/>
                <w:szCs w:val="21"/>
                <w:lang w:eastAsia="zh-CN"/>
              </w:rPr>
              <w:t>N</w:t>
            </w:r>
            <w:r>
              <w:rPr>
                <w:szCs w:val="21"/>
                <w:lang w:eastAsia="zh-CN"/>
              </w:rPr>
              <w:t>/A</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2" w:edGrp="everyone"/>
          </w:p>
        </w:tc>
        <w:tc>
          <w:tcPr>
            <w:tcW w:w="7128" w:type="dxa"/>
            <w:shd w:val="clear" w:color="auto" w:fill="auto"/>
            <w:vAlign w:val="center"/>
          </w:tcPr>
          <w:p>
            <w:pPr>
              <w:jc w:val="both"/>
              <w:rPr>
                <w:szCs w:val="21"/>
                <w:lang w:eastAsia="zh-CN"/>
              </w:rPr>
            </w:pPr>
            <w:r>
              <w:rPr>
                <w:rFonts w:hint="eastAsia"/>
                <w:szCs w:val="21"/>
                <w:lang w:val="en-US" w:eastAsia="zh-CN"/>
              </w:rPr>
              <w:t>符合</w:t>
            </w:r>
            <w:r>
              <w:rPr>
                <w:szCs w:val="21"/>
                <w:lang w:val="en-US" w:eastAsia="zh-CN"/>
              </w:rPr>
              <w:t>GB4793.1</w:t>
            </w:r>
            <w:r>
              <w:rPr>
                <w:rFonts w:hint="eastAsia"/>
                <w:szCs w:val="21"/>
                <w:lang w:val="en-US" w:eastAsia="zh-CN"/>
              </w:rPr>
              <w:t>和</w:t>
            </w:r>
            <w:r>
              <w:rPr>
                <w:szCs w:val="21"/>
                <w:lang w:val="en-US" w:eastAsia="zh-CN"/>
              </w:rPr>
              <w:t>GB4793.4</w:t>
            </w:r>
            <w:r>
              <w:rPr>
                <w:rFonts w:hint="eastAsia"/>
                <w:szCs w:val="21"/>
                <w:lang w:val="en-US" w:eastAsia="zh-CN"/>
              </w:rPr>
              <w:t>的要求。</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2"/>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4" w:name="_Toc522107743"/>
      <w:bookmarkStart w:id="45" w:name="_Toc522716124"/>
      <w:r>
        <w:rPr>
          <w:rFonts w:ascii="Times New Roman" w:hAnsi="Times New Roman"/>
          <w:b/>
        </w:rPr>
        <w:t>文件要求</w:t>
      </w:r>
      <w:bookmarkEnd w:id="44"/>
      <w:bookmarkEnd w:id="45"/>
    </w:p>
    <w:p>
      <w:pPr>
        <w:pStyle w:val="41"/>
        <w:spacing w:before="0" w:line="360" w:lineRule="auto"/>
        <w:ind w:left="357"/>
        <w:jc w:val="left"/>
        <w:rPr>
          <w:i/>
          <w:szCs w:val="21"/>
          <w:lang w:eastAsia="zh-CN"/>
        </w:rPr>
      </w:pPr>
      <w:permStart w:id="33" w:edGrp="everyone"/>
    </w:p>
    <w:permEnd w:id="33"/>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4" w:edGrp="everyone"/>
          </w:p>
        </w:tc>
        <w:tc>
          <w:tcPr>
            <w:tcW w:w="7128" w:type="dxa"/>
            <w:shd w:val="clear" w:color="auto" w:fill="auto"/>
            <w:vAlign w:val="center"/>
          </w:tcPr>
          <w:p>
            <w:pPr>
              <w:jc w:val="both"/>
              <w:rPr>
                <w:szCs w:val="21"/>
                <w:lang w:eastAsia="zh-CN"/>
              </w:rPr>
            </w:pPr>
            <w:r>
              <w:rPr>
                <w:rFonts w:hint="eastAsia"/>
                <w:szCs w:val="21"/>
                <w:lang w:eastAsia="zh-CN"/>
              </w:rPr>
              <w:t>投标文件、合同及订单。</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5" w:edGrp="everyone"/>
          </w:p>
        </w:tc>
        <w:tc>
          <w:tcPr>
            <w:tcW w:w="7128" w:type="dxa"/>
            <w:shd w:val="clear" w:color="auto" w:fill="auto"/>
            <w:vAlign w:val="center"/>
          </w:tcPr>
          <w:p>
            <w:pPr>
              <w:jc w:val="both"/>
              <w:rPr>
                <w:szCs w:val="21"/>
                <w:lang w:eastAsia="zh-CN"/>
              </w:rPr>
            </w:pPr>
            <w:r>
              <w:rPr>
                <w:rFonts w:hint="eastAsia"/>
                <w:szCs w:val="21"/>
                <w:lang w:eastAsia="zh-CN"/>
              </w:rPr>
              <w:t>卖方发运清单及相关检验报告。</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设计选型文件：选型文件，冰箱详细说明书；须提供功能描述和标准。</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图纸：根据现场确认结果提供的布局图；提供各种测试、维修等活动所需的电子版及打印版实物图、布局图、尺寸图、局部图（与功能相关的细节图）、必要的安装图和接线图、图纸清单。</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配件清单、易损件清单、备件、消耗品清单：包括编号、对应厂家名称、生产地、规格型号及必要说明。</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组件、备件清单：包括编号、对应厂家名称、生产地、规格型号及必要说明。</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校准报告及校准合格证</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厂家文件：出厂测试合格证、相关检测报告、各种标示。</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设备交付计划表。</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r>
              <w:rPr>
                <w:rFonts w:hint="eastAsia" w:ascii="Times New Roman" w:hAnsi="Times New Roman"/>
                <w:szCs w:val="21"/>
              </w:rPr>
              <w:t>B</w:t>
            </w:r>
          </w:p>
        </w:tc>
        <w:tc>
          <w:tcPr>
            <w:tcW w:w="7128" w:type="dxa"/>
            <w:shd w:val="clear" w:color="auto" w:fill="auto"/>
            <w:vAlign w:val="center"/>
          </w:tcPr>
          <w:p>
            <w:pPr>
              <w:jc w:val="both"/>
              <w:rPr>
                <w:szCs w:val="21"/>
                <w:lang w:eastAsia="zh-CN"/>
              </w:rPr>
            </w:pPr>
            <w:r>
              <w:rPr>
                <w:rFonts w:hint="eastAsia"/>
                <w:szCs w:val="21"/>
                <w:lang w:eastAsia="zh-CN"/>
              </w:rPr>
              <w:t>材料清单及材料证书（写明材料有效期）。</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安全报告及证明</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ascii="宋体" w:hAnsi="宋体" w:cs="宋体"/>
                <w:szCs w:val="24"/>
                <w:lang w:eastAsia="zh-CN"/>
              </w:rPr>
              <w:t>验证文件：</w:t>
            </w:r>
            <w:r>
              <w:rPr>
                <w:rFonts w:ascii="宋体" w:hAnsi="宋体" w:cs="宋体"/>
                <w:szCs w:val="24"/>
                <w:lang w:eastAsia="zh-CN"/>
              </w:rPr>
              <w:br w:type="textWrapping"/>
            </w:r>
            <w:r>
              <w:rPr>
                <w:rFonts w:ascii="宋体" w:hAnsi="宋体" w:cs="宋体"/>
                <w:szCs w:val="24"/>
                <w:lang w:eastAsia="zh-CN"/>
              </w:rPr>
              <w:t>a) 性能确认及文件（PQ）；</w:t>
            </w:r>
            <w:r>
              <w:rPr>
                <w:rFonts w:ascii="宋体" w:hAnsi="宋体" w:cs="宋体"/>
                <w:szCs w:val="24"/>
                <w:lang w:eastAsia="zh-CN"/>
              </w:rPr>
              <w:br w:type="textWrapping"/>
            </w:r>
            <w:r>
              <w:rPr>
                <w:rFonts w:ascii="宋体" w:hAnsi="宋体" w:cs="宋体"/>
                <w:szCs w:val="24"/>
                <w:lang w:eastAsia="zh-CN"/>
              </w:rPr>
              <w:t>b) 安装确认及文件（IQ）；</w:t>
            </w:r>
            <w:r>
              <w:rPr>
                <w:rFonts w:ascii="宋体" w:hAnsi="宋体" w:cs="宋体"/>
                <w:szCs w:val="24"/>
                <w:lang w:eastAsia="zh-CN"/>
              </w:rPr>
              <w:br w:type="textWrapping"/>
            </w:r>
            <w:r>
              <w:rPr>
                <w:rFonts w:ascii="宋体" w:hAnsi="宋体" w:cs="宋体"/>
                <w:szCs w:val="24"/>
                <w:lang w:eastAsia="zh-CN"/>
              </w:rPr>
              <w:t>c) 运行确认及文件（OQ）；</w:t>
            </w:r>
            <w:r>
              <w:rPr>
                <w:rFonts w:ascii="宋体" w:hAnsi="宋体" w:cs="宋体"/>
                <w:szCs w:val="24"/>
                <w:lang w:eastAsia="zh-CN"/>
              </w:rPr>
              <w:br w:type="textWrapping"/>
            </w:r>
            <w:r>
              <w:rPr>
                <w:rFonts w:ascii="宋体" w:hAnsi="宋体" w:cs="宋体"/>
                <w:szCs w:val="24"/>
                <w:lang w:eastAsia="zh-CN"/>
              </w:rPr>
              <w:t>d) 设计确认及文件（DQ），包括系统评估、风险评估等；</w:t>
            </w:r>
            <w:r>
              <w:rPr>
                <w:rFonts w:ascii="宋体" w:hAnsi="宋体" w:cs="宋体"/>
                <w:szCs w:val="24"/>
                <w:lang w:eastAsia="zh-CN"/>
              </w:rPr>
              <w:br w:type="textWrapping"/>
            </w:r>
            <w:r>
              <w:rPr>
                <w:rFonts w:ascii="宋体" w:hAnsi="宋体" w:cs="宋体"/>
                <w:szCs w:val="24"/>
                <w:lang w:eastAsia="zh-CN"/>
              </w:rPr>
              <w:t>负责制定PQ/IQ/OQ/DQ验证文件并负责验证工作的实施，该验证文件作为设备必备文件。提交时限：DQ报告在IQ前提交，IQ报告在OQ前提交，OQ报告在PQ前提交，PQ报告在设备最终验收交付前提交，所有方案在相应验证开始前完成审批。</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现场验收测试报告（</w:t>
            </w:r>
            <w:r>
              <w:rPr>
                <w:szCs w:val="21"/>
                <w:lang w:eastAsia="zh-CN"/>
              </w:rPr>
              <w:t>SAT</w:t>
            </w:r>
            <w:r>
              <w:rPr>
                <w:rFonts w:hint="eastAsia"/>
                <w:szCs w:val="21"/>
                <w:lang w:eastAsia="zh-CN"/>
              </w:rPr>
              <w:t>），以及调试文件：调试计划（调试说明、调试清单、现场验收测试、保修信息、培训计划等），总测试计划，检查计划，检测清单，各测试结果，调试总结报告等。</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使用操作说明书及维护保养说明（即运行及维护手册）</w:t>
            </w:r>
            <w:r>
              <w:rPr>
                <w:szCs w:val="21"/>
                <w:lang w:eastAsia="zh-CN"/>
              </w:rPr>
              <w:t>3</w:t>
            </w:r>
            <w:r>
              <w:rPr>
                <w:rFonts w:hint="eastAsia"/>
                <w:szCs w:val="21"/>
                <w:lang w:eastAsia="zh-CN"/>
              </w:rPr>
              <w:t>份。</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提供设备及其零部件使用寿命清单。</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标书中明确系统所有组件的品牌、材质、型号，并且注明每一个组件的保修期。</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szCs w:val="21"/>
                <w:lang w:eastAsia="zh-CN"/>
              </w:rPr>
              <w:t>上述条款规定的文件需提供电子版，并在设备开箱验收时将最终批准的电子版全套资料交工程技术部存档。</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5"/>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6" w:name="_Toc522716125"/>
      <w:r>
        <w:rPr>
          <w:rFonts w:ascii="Times New Roman" w:hAnsi="Times New Roman"/>
          <w:b/>
          <w:szCs w:val="21"/>
        </w:rPr>
        <w:t>服务要求</w:t>
      </w:r>
      <w:bookmarkEnd w:id="46"/>
    </w:p>
    <w:p>
      <w:pPr>
        <w:pStyle w:val="41"/>
        <w:spacing w:before="0" w:line="360" w:lineRule="auto"/>
        <w:ind w:left="357"/>
        <w:jc w:val="left"/>
        <w:rPr>
          <w:i/>
          <w:color w:val="4472C4"/>
          <w:szCs w:val="21"/>
          <w:lang w:eastAsia="zh-CN"/>
        </w:rPr>
      </w:pPr>
      <w:permStart w:id="36" w:edGrp="everyone"/>
    </w:p>
    <w:permEnd w:id="36"/>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7" w:edGrp="everyone"/>
          </w:p>
        </w:tc>
        <w:tc>
          <w:tcPr>
            <w:tcW w:w="7128" w:type="dxa"/>
            <w:shd w:val="clear" w:color="auto" w:fill="auto"/>
            <w:vAlign w:val="center"/>
          </w:tcPr>
          <w:p>
            <w:pPr>
              <w:spacing w:line="276" w:lineRule="auto"/>
              <w:jc w:val="both"/>
              <w:rPr>
                <w:szCs w:val="21"/>
                <w:lang w:eastAsia="zh-CN"/>
              </w:rPr>
            </w:pPr>
            <w:r>
              <w:rPr>
                <w:lang w:eastAsia="zh-CN"/>
              </w:rPr>
              <w:t>设备供应商应免费对设备使用方人员进行全面培训，包括对生产操作人员及设备维护、维修人员，并填写培训记录。</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8" w:edGrp="everyone"/>
          </w:p>
        </w:tc>
        <w:tc>
          <w:tcPr>
            <w:tcW w:w="7128" w:type="dxa"/>
            <w:shd w:val="clear" w:color="auto" w:fill="auto"/>
            <w:vAlign w:val="center"/>
          </w:tcPr>
          <w:p>
            <w:pPr>
              <w:spacing w:line="276" w:lineRule="auto"/>
              <w:jc w:val="both"/>
              <w:rPr>
                <w:szCs w:val="21"/>
                <w:lang w:eastAsia="zh-CN"/>
              </w:rPr>
            </w:pPr>
            <w:r>
              <w:rPr>
                <w:lang w:eastAsia="zh-CN"/>
              </w:rPr>
              <w:t>生产操作人员培训包括设备结构原理、性能、操作、清洗消毒、故障排除等基本</w:t>
            </w:r>
            <w:r>
              <w:rPr>
                <w:szCs w:val="21"/>
                <w:lang w:eastAsia="zh-CN"/>
              </w:rPr>
              <w:t>知识</w:t>
            </w:r>
            <w:r>
              <w:rPr>
                <w:lang w:eastAsia="zh-CN"/>
              </w:rPr>
              <w:t>。合格标准为用户参加培训人员能够独立正确操作设备，会排除常见故障。</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9" w:edGrp="everyone"/>
          </w:p>
        </w:tc>
        <w:tc>
          <w:tcPr>
            <w:tcW w:w="7128" w:type="dxa"/>
            <w:shd w:val="clear" w:color="auto" w:fill="auto"/>
            <w:vAlign w:val="center"/>
          </w:tcPr>
          <w:p>
            <w:pPr>
              <w:spacing w:line="276" w:lineRule="auto"/>
              <w:jc w:val="both"/>
              <w:rPr>
                <w:lang w:eastAsia="zh-CN"/>
              </w:rPr>
            </w:pPr>
            <w:r>
              <w:rPr>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shd w:val="clear" w:color="auto" w:fill="auto"/>
            <w:vAlign w:val="center"/>
          </w:tcPr>
          <w:p>
            <w:pPr>
              <w:jc w:val="both"/>
              <w:rPr>
                <w:szCs w:val="21"/>
                <w:lang w:eastAsia="zh-CN"/>
              </w:rPr>
            </w:pPr>
            <w:r>
              <w:rPr>
                <w:rFonts w:hint="eastAsia"/>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0" w:edGrp="everyone"/>
          </w:p>
        </w:tc>
        <w:tc>
          <w:tcPr>
            <w:tcW w:w="7128" w:type="dxa"/>
            <w:shd w:val="clear" w:color="auto" w:fill="auto"/>
            <w:vAlign w:val="center"/>
          </w:tcPr>
          <w:p>
            <w:pPr>
              <w:spacing w:line="276" w:lineRule="auto"/>
              <w:jc w:val="both"/>
              <w:rPr>
                <w:szCs w:val="21"/>
                <w:lang w:eastAsia="zh-CN"/>
              </w:rPr>
            </w:pPr>
            <w:r>
              <w:rPr>
                <w:lang w:eastAsia="zh-CN"/>
              </w:rPr>
              <w:t>设备运输在运输途中需做好防护措施，不得有任何损伤。</w:t>
            </w:r>
          </w:p>
        </w:tc>
        <w:tc>
          <w:tcPr>
            <w:tcW w:w="2125" w:type="dxa"/>
            <w:shd w:val="clear" w:color="auto" w:fill="auto"/>
            <w:vAlign w:val="center"/>
          </w:tcPr>
          <w:p>
            <w:pPr>
              <w:jc w:val="both"/>
              <w:rPr>
                <w:szCs w:val="21"/>
                <w:lang w:eastAsia="zh-CN"/>
              </w:rPr>
            </w:pPr>
            <w:r>
              <w:rPr>
                <w:rFonts w:hint="eastAsia"/>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1" w:edGrp="everyone"/>
          </w:p>
        </w:tc>
        <w:tc>
          <w:tcPr>
            <w:tcW w:w="7128" w:type="dxa"/>
            <w:shd w:val="clear" w:color="auto" w:fill="auto"/>
            <w:vAlign w:val="center"/>
          </w:tcPr>
          <w:p>
            <w:pPr>
              <w:spacing w:line="276" w:lineRule="auto"/>
              <w:jc w:val="both"/>
              <w:rPr>
                <w:i/>
                <w:szCs w:val="21"/>
                <w:lang w:eastAsia="zh-CN"/>
              </w:rPr>
            </w:pPr>
            <w:r>
              <w:rPr>
                <w:rFonts w:ascii="宋体" w:hAnsi="宋体" w:cs="宋体"/>
                <w:szCs w:val="24"/>
                <w:lang w:eastAsia="zh-CN"/>
              </w:rPr>
              <w:t>验证包括IQ,OQ，PQ，DQ文件与服务，供应商必须派出具备该类系统验证经验，且熟悉验证相关文件编写及验证工作实施的验证工程师开展验证工作。</w:t>
            </w:r>
            <w:r>
              <w:rPr>
                <w:rFonts w:ascii="宋体" w:hAnsi="宋体" w:cs="宋体"/>
                <w:szCs w:val="24"/>
              </w:rPr>
              <w:t>供应商协助完成PQ。</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Cs/>
                <w:szCs w:val="21"/>
                <w:lang w:eastAsia="zh-CN"/>
              </w:rPr>
            </w:pPr>
            <w:r>
              <w:rPr>
                <w:rFonts w:hint="eastAsia"/>
                <w:iCs/>
                <w:szCs w:val="21"/>
                <w:lang w:eastAsia="zh-CN"/>
              </w:rPr>
              <w:t>需要提供冰箱的验证文件或至少协助完成验证工作</w:t>
            </w:r>
            <w:r>
              <w:rPr>
                <w:rFonts w:hint="eastAsia" w:ascii="宋体" w:hAnsi="宋体"/>
                <w:szCs w:val="21"/>
                <w:lang w:eastAsia="zh-CN"/>
              </w:rPr>
              <w:t>服务，供应商必须派出具备该类系统验证经验，且熟悉验证相关文件编写及验证工作实施的验证工程师开展验证工作</w:t>
            </w:r>
          </w:p>
        </w:tc>
        <w:tc>
          <w:tcPr>
            <w:tcW w:w="2125" w:type="dxa"/>
            <w:shd w:val="clear" w:color="auto" w:fill="auto"/>
            <w:vAlign w:val="center"/>
          </w:tcPr>
          <w:p>
            <w:pPr>
              <w:jc w:val="both"/>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Cs/>
                <w:szCs w:val="21"/>
                <w:lang w:eastAsia="zh-CN"/>
              </w:rPr>
            </w:pPr>
            <w:r>
              <w:rPr>
                <w:rFonts w:hint="eastAsia"/>
                <w:lang w:eastAsia="zh-CN"/>
              </w:rPr>
              <w:t>检查符合性及用户安装环境是否符合要求。进行现场测试和观察和安装调试</w:t>
            </w:r>
            <w:r>
              <w:rPr>
                <w:rFonts w:hint="eastAsia"/>
                <w:lang w:val="en-US" w:eastAsia="zh-CN"/>
              </w:rPr>
              <w:t>,包括产品符合性、安装环境、产品外观、电源确认、附件确认</w:t>
            </w:r>
            <w:r>
              <w:rPr>
                <w:rFonts w:hint="eastAsia"/>
                <w:lang w:eastAsia="zh-CN"/>
              </w:rPr>
              <w:t>。</w:t>
            </w:r>
          </w:p>
        </w:tc>
        <w:tc>
          <w:tcPr>
            <w:tcW w:w="2125" w:type="dxa"/>
            <w:shd w:val="clear" w:color="auto" w:fill="auto"/>
            <w:vAlign w:val="center"/>
          </w:tcPr>
          <w:p>
            <w:pPr>
              <w:jc w:val="both"/>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iCs/>
                <w:szCs w:val="21"/>
                <w:lang w:eastAsia="zh-CN"/>
              </w:rPr>
            </w:pPr>
            <w:r>
              <w:rPr>
                <w:rFonts w:hint="eastAsia"/>
                <w:lang w:eastAsia="zh-CN"/>
              </w:rPr>
              <w:t>确认启动正常，控制系统正常。</w:t>
            </w:r>
            <w:r>
              <w:rPr>
                <w:rFonts w:hint="eastAsia"/>
                <w:lang w:val="en-US" w:eastAsia="zh-CN"/>
              </w:rPr>
              <w:t>通过操作调整、检查各控制系统是否正常，包括通电确认、显示板确认、蜂鸣取消键确认、温度转换键确认、报警测试键确认、温度设置确认、灯开关确认、电池开关确认、传感器的确认、温度设置确认、高、低温报警设置确认、报警功能状态确认。</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lang w:eastAsia="zh-CN"/>
              </w:rPr>
            </w:pPr>
            <w:r>
              <w:rPr>
                <w:rFonts w:hint="eastAsia"/>
                <w:lang w:val="en-US" w:eastAsia="zh-CN"/>
              </w:rPr>
              <w:t>通过对各项指标的检测测试，确保医用冷藏箱各项指标满足用户需求。包括降温速度、空载或满载控温性能。</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color w:val="000000"/>
                <w:lang w:eastAsia="zh-CN"/>
              </w:rPr>
            </w:pPr>
            <w:r>
              <w:rPr>
                <w:rFonts w:hint="eastAsia" w:ascii="宋体" w:hAnsi="宋体"/>
                <w:color w:val="000000"/>
                <w:lang w:eastAsia="zh-CN"/>
              </w:rPr>
              <w:t>验证工作完成后，验证记录经本公司相关部门审核，并经质量保证部批准。</w:t>
            </w:r>
          </w:p>
        </w:tc>
        <w:tc>
          <w:tcPr>
            <w:tcW w:w="2125" w:type="dxa"/>
            <w:shd w:val="clear" w:color="auto" w:fill="auto"/>
            <w:vAlign w:val="center"/>
          </w:tcPr>
          <w:p>
            <w:pPr>
              <w:jc w:val="both"/>
              <w:rPr>
                <w:szCs w:val="21"/>
                <w:lang w:eastAsia="zh-CN"/>
              </w:rPr>
            </w:pPr>
            <w:r>
              <w:rPr>
                <w:rFonts w:hint="eastAsia"/>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2"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设备保质期从确认验收的阶段就开始计算。</w:t>
            </w:r>
          </w:p>
        </w:tc>
        <w:tc>
          <w:tcPr>
            <w:tcW w:w="2125" w:type="dxa"/>
            <w:shd w:val="clear" w:color="auto" w:fill="auto"/>
            <w:vAlign w:val="center"/>
          </w:tcPr>
          <w:p>
            <w:pPr>
              <w:jc w:val="both"/>
              <w:rPr>
                <w:szCs w:val="21"/>
                <w:lang w:eastAsia="zh-CN"/>
              </w:rPr>
            </w:pPr>
            <w:r>
              <w:rPr>
                <w:rFonts w:hint="eastAsia"/>
                <w:szCs w:val="21"/>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3" w:edGrp="everyone"/>
          </w:p>
        </w:tc>
        <w:tc>
          <w:tcPr>
            <w:tcW w:w="7128" w:type="dxa"/>
            <w:shd w:val="clear" w:color="auto" w:fill="auto"/>
            <w:vAlign w:val="center"/>
          </w:tcPr>
          <w:p>
            <w:pPr>
              <w:spacing w:line="276" w:lineRule="auto"/>
              <w:jc w:val="both"/>
              <w:rPr>
                <w:szCs w:val="21"/>
                <w:lang w:eastAsia="zh-CN"/>
              </w:rPr>
            </w:pPr>
            <w:r>
              <w:rPr>
                <w:rFonts w:hint="eastAsia" w:ascii="宋体" w:hAnsi="宋体" w:cs="宋体"/>
                <w:szCs w:val="24"/>
                <w:lang w:val="en-US" w:eastAsia="zh-CN" w:bidi="en-US"/>
              </w:rPr>
              <w:t>三年整机质保（照明灯、蓄电池等易损易耗件除外）</w:t>
            </w:r>
            <w:r>
              <w:rPr>
                <w:rFonts w:hint="eastAsia"/>
                <w:szCs w:val="21"/>
                <w:lang w:eastAsia="zh-CN"/>
              </w:rPr>
              <w:t>。</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售后服务必须响应及时，要求设备出现须厂家维修的故障后，应在</w:t>
            </w:r>
            <w:r>
              <w:rPr>
                <w:szCs w:val="21"/>
                <w:lang w:eastAsia="zh-CN"/>
              </w:rPr>
              <w:t>4</w:t>
            </w:r>
            <w:r>
              <w:rPr>
                <w:rFonts w:hint="eastAsia"/>
                <w:szCs w:val="21"/>
                <w:lang w:eastAsia="zh-CN"/>
              </w:rPr>
              <w:t>小时内明确答复，当电话沟通无法解决时，须</w:t>
            </w:r>
            <w:r>
              <w:rPr>
                <w:szCs w:val="21"/>
                <w:lang w:eastAsia="zh-CN"/>
              </w:rPr>
              <w:t>24</w:t>
            </w:r>
            <w:r>
              <w:rPr>
                <w:rFonts w:hint="eastAsia"/>
                <w:szCs w:val="21"/>
                <w:lang w:eastAsia="zh-CN"/>
              </w:rPr>
              <w:t>小时内派人至现场解决。</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免费保修期后，厂家应终生提供及时的维修、维护，厂家应定期回访，解决设备运行当中可能出现的疑问，排除潜在故障，使设备保持良好工作状态。</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厂家应提供合格的备件，用于设备相应部件的维修、更换。</w:t>
            </w:r>
          </w:p>
        </w:tc>
        <w:tc>
          <w:tcPr>
            <w:tcW w:w="2125" w:type="dxa"/>
            <w:shd w:val="clear" w:color="auto" w:fill="auto"/>
            <w:vAlign w:val="center"/>
          </w:tcPr>
          <w:p>
            <w:pPr>
              <w:jc w:val="both"/>
              <w:rPr>
                <w:szCs w:val="21"/>
                <w:lang w:eastAsia="zh-CN"/>
              </w:rPr>
            </w:pPr>
            <w:r>
              <w:rPr>
                <w:rFonts w:hint="eastAsia"/>
                <w:szCs w:val="21"/>
                <w:lang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4"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货物到达买方使用现场后，由买卖双方共同验收，卖方工程师免费为买方提供调试。</w:t>
            </w:r>
          </w:p>
        </w:tc>
        <w:tc>
          <w:tcPr>
            <w:tcW w:w="2125" w:type="dxa"/>
            <w:shd w:val="clear" w:color="auto" w:fill="auto"/>
            <w:vAlign w:val="center"/>
          </w:tcPr>
          <w:p>
            <w:pPr>
              <w:jc w:val="both"/>
              <w:rPr>
                <w:szCs w:val="21"/>
                <w:lang w:eastAsia="zh-CN"/>
              </w:rPr>
            </w:pPr>
            <w:r>
              <w:rPr>
                <w:rFonts w:hint="eastAsia"/>
                <w:szCs w:val="21"/>
                <w:lang w:eastAsia="zh-CN"/>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5"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供应商进厂施工需遵守安全和安装规定。</w:t>
            </w:r>
          </w:p>
        </w:tc>
        <w:tc>
          <w:tcPr>
            <w:tcW w:w="2125" w:type="dxa"/>
            <w:shd w:val="clear" w:color="auto" w:fill="auto"/>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szCs w:val="21"/>
                <w:lang w:eastAsia="zh-CN"/>
              </w:rPr>
              <w:t>确认验收合格后，买卖双方签订验收报告。</w:t>
            </w:r>
          </w:p>
        </w:tc>
        <w:tc>
          <w:tcPr>
            <w:tcW w:w="2125" w:type="dxa"/>
            <w:shd w:val="clear" w:color="auto" w:fill="auto"/>
            <w:vAlign w:val="center"/>
          </w:tcPr>
          <w:p>
            <w:pPr>
              <w:jc w:val="both"/>
              <w:rPr>
                <w:szCs w:val="21"/>
                <w:lang w:eastAsia="zh-CN"/>
              </w:rPr>
            </w:pPr>
            <w:r>
              <w:rPr>
                <w:rFonts w:hint="eastAsia"/>
                <w:szCs w:val="21"/>
                <w:lang w:eastAsia="zh-CN"/>
              </w:rPr>
              <w:t>关键</w:t>
            </w:r>
          </w:p>
        </w:tc>
      </w:tr>
      <w:permEnd w:id="45"/>
    </w:tbl>
    <w:p/>
    <w:p>
      <w:pPr>
        <w:pStyle w:val="31"/>
        <w:numPr>
          <w:ilvl w:val="0"/>
          <w:numId w:val="3"/>
        </w:numPr>
        <w:spacing w:after="158" w:afterLines="50"/>
        <w:ind w:left="426" w:hanging="426" w:hangingChars="202"/>
        <w:outlineLvl w:val="0"/>
        <w:rPr>
          <w:rFonts w:ascii="Times New Roman" w:hAnsi="Times New Roman"/>
          <w:b/>
        </w:rPr>
      </w:pPr>
      <w:bookmarkStart w:id="47" w:name="_Toc522107746"/>
      <w:bookmarkStart w:id="48" w:name="_Toc522716126"/>
      <w:r>
        <w:rPr>
          <w:rFonts w:ascii="Times New Roman" w:hAnsi="Times New Roman"/>
          <w:b/>
        </w:rPr>
        <w:t>附件</w:t>
      </w:r>
      <w:bookmarkEnd w:id="47"/>
      <w:bookmarkEnd w:id="48"/>
    </w:p>
    <w:bookmarkEnd w:id="31"/>
    <w:bookmarkEnd w:id="32"/>
    <w:bookmarkEnd w:id="33"/>
    <w:bookmarkEnd w:id="34"/>
    <w:bookmarkEnd w:id="35"/>
    <w:bookmarkEnd w:id="36"/>
    <w:bookmarkEnd w:id="37"/>
    <w:bookmarkEnd w:id="38"/>
    <w:bookmarkEnd w:id="39"/>
    <w:bookmarkEnd w:id="40"/>
    <w:bookmarkEnd w:id="41"/>
    <w:bookmarkEnd w:id="42"/>
    <w:p>
      <w:pPr>
        <w:pStyle w:val="41"/>
        <w:spacing w:before="0" w:line="360" w:lineRule="auto"/>
        <w:ind w:left="357"/>
        <w:jc w:val="left"/>
        <w:rPr>
          <w:szCs w:val="21"/>
          <w:lang w:eastAsia="zh-CN"/>
        </w:rPr>
      </w:pPr>
      <w:permStart w:id="46" w:edGrp="everyone"/>
      <w:r>
        <w:rPr>
          <w:rFonts w:hint="eastAsia"/>
          <w:szCs w:val="21"/>
          <w:lang w:eastAsia="zh-CN"/>
        </w:rPr>
        <w:t>不适用</w:t>
      </w:r>
      <w:permEnd w:id="46"/>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auto"/>
    <w:pitch w:val="default"/>
    <w:sig w:usb0="00000000" w:usb1="0000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D341CC"/>
    <w:multiLevelType w:val="multilevel"/>
    <w:tmpl w:val="16D341CC"/>
    <w:lvl w:ilvl="0" w:tentative="0">
      <w:start w:val="1"/>
      <w:numFmt w:val="decimal"/>
      <w:lvlText w:val="URS %1"/>
      <w:lvlJc w:val="left"/>
      <w:pPr>
        <w:ind w:left="1555"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49A640C"/>
    <w:multiLevelType w:val="multilevel"/>
    <w:tmpl w:val="549A640C"/>
    <w:lvl w:ilvl="0" w:tentative="0">
      <w:start w:val="1"/>
      <w:numFmt w:val="decimal"/>
      <w:lvlText w:val="12.%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86546ED"/>
    <w:multiLevelType w:val="multilevel"/>
    <w:tmpl w:val="686546ED"/>
    <w:lvl w:ilvl="0" w:tentative="0">
      <w:start w:val="1"/>
      <w:numFmt w:val="decimal"/>
      <w:pStyle w:val="37"/>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10"/>
  </w:num>
  <w:num w:numId="3">
    <w:abstractNumId w:val="6"/>
  </w:num>
  <w:num w:numId="4">
    <w:abstractNumId w:val="9"/>
  </w:num>
  <w:num w:numId="5">
    <w:abstractNumId w:val="5"/>
  </w:num>
  <w:num w:numId="6">
    <w:abstractNumId w:val="0"/>
  </w:num>
  <w:num w:numId="7">
    <w:abstractNumId w:val="4"/>
  </w:num>
  <w:num w:numId="8">
    <w:abstractNumId w:val="3"/>
  </w:num>
  <w:num w:numId="9">
    <w:abstractNumId w:val="7"/>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58"/>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2"/>
  </w:compat>
  <w:rsids>
    <w:rsidRoot w:val="00391016"/>
    <w:rsid w:val="00001AE0"/>
    <w:rsid w:val="000021A6"/>
    <w:rsid w:val="00002F06"/>
    <w:rsid w:val="000038A4"/>
    <w:rsid w:val="0000520B"/>
    <w:rsid w:val="000059AD"/>
    <w:rsid w:val="00005CB9"/>
    <w:rsid w:val="00005E76"/>
    <w:rsid w:val="00006273"/>
    <w:rsid w:val="00006676"/>
    <w:rsid w:val="00006FD5"/>
    <w:rsid w:val="0001160E"/>
    <w:rsid w:val="000117C7"/>
    <w:rsid w:val="000169DD"/>
    <w:rsid w:val="00020FEA"/>
    <w:rsid w:val="00021E04"/>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3FE3"/>
    <w:rsid w:val="00054BB1"/>
    <w:rsid w:val="00055ED6"/>
    <w:rsid w:val="00056478"/>
    <w:rsid w:val="00056AE2"/>
    <w:rsid w:val="00056E9E"/>
    <w:rsid w:val="00057046"/>
    <w:rsid w:val="000576C2"/>
    <w:rsid w:val="00063572"/>
    <w:rsid w:val="00063B90"/>
    <w:rsid w:val="00064A43"/>
    <w:rsid w:val="000662D2"/>
    <w:rsid w:val="00071794"/>
    <w:rsid w:val="00071DD4"/>
    <w:rsid w:val="00072340"/>
    <w:rsid w:val="00072945"/>
    <w:rsid w:val="00073B81"/>
    <w:rsid w:val="0007673E"/>
    <w:rsid w:val="00077AE1"/>
    <w:rsid w:val="000818AC"/>
    <w:rsid w:val="00082C13"/>
    <w:rsid w:val="0008313A"/>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B5DF1"/>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0F751F"/>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6FF5"/>
    <w:rsid w:val="00117A01"/>
    <w:rsid w:val="00121B6E"/>
    <w:rsid w:val="00122051"/>
    <w:rsid w:val="00124244"/>
    <w:rsid w:val="00124E69"/>
    <w:rsid w:val="00125CC1"/>
    <w:rsid w:val="001273B0"/>
    <w:rsid w:val="00127CB8"/>
    <w:rsid w:val="001313C3"/>
    <w:rsid w:val="00132F4C"/>
    <w:rsid w:val="00134C68"/>
    <w:rsid w:val="00135FD6"/>
    <w:rsid w:val="001372C8"/>
    <w:rsid w:val="001374CF"/>
    <w:rsid w:val="00143952"/>
    <w:rsid w:val="001442AB"/>
    <w:rsid w:val="0014477D"/>
    <w:rsid w:val="00144D00"/>
    <w:rsid w:val="00145034"/>
    <w:rsid w:val="00145C12"/>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C5424"/>
    <w:rsid w:val="001D1FA0"/>
    <w:rsid w:val="001D32D4"/>
    <w:rsid w:val="001D3C96"/>
    <w:rsid w:val="001D4383"/>
    <w:rsid w:val="001D4742"/>
    <w:rsid w:val="001D474B"/>
    <w:rsid w:val="001D48B0"/>
    <w:rsid w:val="001D5549"/>
    <w:rsid w:val="001E0376"/>
    <w:rsid w:val="001E049C"/>
    <w:rsid w:val="001E13E0"/>
    <w:rsid w:val="001E2B2B"/>
    <w:rsid w:val="001E353E"/>
    <w:rsid w:val="001E3CBE"/>
    <w:rsid w:val="001E4AE7"/>
    <w:rsid w:val="001E5657"/>
    <w:rsid w:val="001E5F94"/>
    <w:rsid w:val="001E744F"/>
    <w:rsid w:val="001E7C99"/>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1C28"/>
    <w:rsid w:val="002320D9"/>
    <w:rsid w:val="00234C07"/>
    <w:rsid w:val="002355FF"/>
    <w:rsid w:val="00235671"/>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467F"/>
    <w:rsid w:val="002A547B"/>
    <w:rsid w:val="002A588E"/>
    <w:rsid w:val="002A7980"/>
    <w:rsid w:val="002B0A7C"/>
    <w:rsid w:val="002B14F3"/>
    <w:rsid w:val="002B22A9"/>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2F4E42"/>
    <w:rsid w:val="00302176"/>
    <w:rsid w:val="00302AF8"/>
    <w:rsid w:val="003036D5"/>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10F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0E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C7CA0"/>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43B3"/>
    <w:rsid w:val="00405B3A"/>
    <w:rsid w:val="004074DC"/>
    <w:rsid w:val="004079D4"/>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092A"/>
    <w:rsid w:val="00477791"/>
    <w:rsid w:val="00480286"/>
    <w:rsid w:val="00480C3B"/>
    <w:rsid w:val="00480FE3"/>
    <w:rsid w:val="00481C94"/>
    <w:rsid w:val="00484A8D"/>
    <w:rsid w:val="00485597"/>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3936"/>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356F"/>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57A31"/>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B89"/>
    <w:rsid w:val="005C2FA7"/>
    <w:rsid w:val="005C386F"/>
    <w:rsid w:val="005C42AC"/>
    <w:rsid w:val="005C4B14"/>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5243"/>
    <w:rsid w:val="00607170"/>
    <w:rsid w:val="00607408"/>
    <w:rsid w:val="00610AEE"/>
    <w:rsid w:val="00616BAC"/>
    <w:rsid w:val="0061743D"/>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6D06"/>
    <w:rsid w:val="006571EC"/>
    <w:rsid w:val="0066086B"/>
    <w:rsid w:val="00660A8C"/>
    <w:rsid w:val="006632B2"/>
    <w:rsid w:val="00664084"/>
    <w:rsid w:val="0066445E"/>
    <w:rsid w:val="00667045"/>
    <w:rsid w:val="00670A00"/>
    <w:rsid w:val="00670C23"/>
    <w:rsid w:val="00672B86"/>
    <w:rsid w:val="00673031"/>
    <w:rsid w:val="00673EB3"/>
    <w:rsid w:val="00680BE8"/>
    <w:rsid w:val="00683F70"/>
    <w:rsid w:val="00686409"/>
    <w:rsid w:val="00686D19"/>
    <w:rsid w:val="0068777F"/>
    <w:rsid w:val="00693018"/>
    <w:rsid w:val="006A0059"/>
    <w:rsid w:val="006A7425"/>
    <w:rsid w:val="006B058A"/>
    <w:rsid w:val="006B1299"/>
    <w:rsid w:val="006B26D9"/>
    <w:rsid w:val="006B3106"/>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17B90"/>
    <w:rsid w:val="00720A17"/>
    <w:rsid w:val="00720D4B"/>
    <w:rsid w:val="00723A0F"/>
    <w:rsid w:val="00725B2A"/>
    <w:rsid w:val="00726CB6"/>
    <w:rsid w:val="00727255"/>
    <w:rsid w:val="0072779B"/>
    <w:rsid w:val="00727CCF"/>
    <w:rsid w:val="00730C4E"/>
    <w:rsid w:val="0073446D"/>
    <w:rsid w:val="007349FF"/>
    <w:rsid w:val="00734B45"/>
    <w:rsid w:val="00736FFB"/>
    <w:rsid w:val="00737B02"/>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1653"/>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1E32"/>
    <w:rsid w:val="007F2464"/>
    <w:rsid w:val="007F4A64"/>
    <w:rsid w:val="007F4ADE"/>
    <w:rsid w:val="007F5A5A"/>
    <w:rsid w:val="007F5EDC"/>
    <w:rsid w:val="00800AFD"/>
    <w:rsid w:val="00800C1B"/>
    <w:rsid w:val="0080239D"/>
    <w:rsid w:val="00802C9F"/>
    <w:rsid w:val="00803CF3"/>
    <w:rsid w:val="00806EAB"/>
    <w:rsid w:val="00807C6F"/>
    <w:rsid w:val="00810E52"/>
    <w:rsid w:val="00811CA7"/>
    <w:rsid w:val="0081636E"/>
    <w:rsid w:val="0082112E"/>
    <w:rsid w:val="00822F2B"/>
    <w:rsid w:val="00823699"/>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DC9"/>
    <w:rsid w:val="00894E9F"/>
    <w:rsid w:val="00894F85"/>
    <w:rsid w:val="00895424"/>
    <w:rsid w:val="00896CEC"/>
    <w:rsid w:val="008A0604"/>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33B0"/>
    <w:rsid w:val="0096422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B6E87"/>
    <w:rsid w:val="009B7048"/>
    <w:rsid w:val="009C1C79"/>
    <w:rsid w:val="009C339C"/>
    <w:rsid w:val="009C33B8"/>
    <w:rsid w:val="009D07A0"/>
    <w:rsid w:val="009D107D"/>
    <w:rsid w:val="009D1871"/>
    <w:rsid w:val="009D2985"/>
    <w:rsid w:val="009D3033"/>
    <w:rsid w:val="009D5770"/>
    <w:rsid w:val="009D6AF5"/>
    <w:rsid w:val="009D6CF1"/>
    <w:rsid w:val="009D74BA"/>
    <w:rsid w:val="009E0874"/>
    <w:rsid w:val="009E136F"/>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4A5"/>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1FB1"/>
    <w:rsid w:val="00AD3559"/>
    <w:rsid w:val="00AD3B05"/>
    <w:rsid w:val="00AD3C8E"/>
    <w:rsid w:val="00AD470D"/>
    <w:rsid w:val="00AD5193"/>
    <w:rsid w:val="00AD7390"/>
    <w:rsid w:val="00AD7E6F"/>
    <w:rsid w:val="00AE00A6"/>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4F67"/>
    <w:rsid w:val="00B15B4E"/>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1EA4"/>
    <w:rsid w:val="00B62FB6"/>
    <w:rsid w:val="00B635BF"/>
    <w:rsid w:val="00B7050A"/>
    <w:rsid w:val="00B70904"/>
    <w:rsid w:val="00B70A42"/>
    <w:rsid w:val="00B74791"/>
    <w:rsid w:val="00B760E4"/>
    <w:rsid w:val="00B76AF9"/>
    <w:rsid w:val="00B8115B"/>
    <w:rsid w:val="00B81AE2"/>
    <w:rsid w:val="00B82D30"/>
    <w:rsid w:val="00B87F62"/>
    <w:rsid w:val="00B90DEE"/>
    <w:rsid w:val="00B914A4"/>
    <w:rsid w:val="00B92497"/>
    <w:rsid w:val="00B92D41"/>
    <w:rsid w:val="00B93679"/>
    <w:rsid w:val="00B937EA"/>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4B2A"/>
    <w:rsid w:val="00BC500B"/>
    <w:rsid w:val="00BC547C"/>
    <w:rsid w:val="00BC6B29"/>
    <w:rsid w:val="00BC798C"/>
    <w:rsid w:val="00BC7D11"/>
    <w:rsid w:val="00BD00FD"/>
    <w:rsid w:val="00BD15A2"/>
    <w:rsid w:val="00BD2153"/>
    <w:rsid w:val="00BD337A"/>
    <w:rsid w:val="00BD45A4"/>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C3A"/>
    <w:rsid w:val="00C02F31"/>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5D3C"/>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53E"/>
    <w:rsid w:val="00CE574A"/>
    <w:rsid w:val="00CE5DC5"/>
    <w:rsid w:val="00CE629E"/>
    <w:rsid w:val="00CE66CE"/>
    <w:rsid w:val="00CE77AA"/>
    <w:rsid w:val="00CE7B59"/>
    <w:rsid w:val="00CF000E"/>
    <w:rsid w:val="00CF352C"/>
    <w:rsid w:val="00CF4570"/>
    <w:rsid w:val="00CF58EE"/>
    <w:rsid w:val="00D00811"/>
    <w:rsid w:val="00D02A43"/>
    <w:rsid w:val="00D04518"/>
    <w:rsid w:val="00D05489"/>
    <w:rsid w:val="00D05CA1"/>
    <w:rsid w:val="00D061CB"/>
    <w:rsid w:val="00D0796C"/>
    <w:rsid w:val="00D07B7D"/>
    <w:rsid w:val="00D115C7"/>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2A5"/>
    <w:rsid w:val="00D32C1F"/>
    <w:rsid w:val="00D33FC2"/>
    <w:rsid w:val="00D37394"/>
    <w:rsid w:val="00D46699"/>
    <w:rsid w:val="00D46C4B"/>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2CE2"/>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103C"/>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3AD"/>
    <w:rsid w:val="00E53A9F"/>
    <w:rsid w:val="00E549AF"/>
    <w:rsid w:val="00E60540"/>
    <w:rsid w:val="00E61C74"/>
    <w:rsid w:val="00E63D8F"/>
    <w:rsid w:val="00E706B6"/>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519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381F"/>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6D4C"/>
    <w:rsid w:val="00FE7611"/>
    <w:rsid w:val="00FF0769"/>
    <w:rsid w:val="00FF0DB8"/>
    <w:rsid w:val="00FF1A76"/>
    <w:rsid w:val="00FF1C1D"/>
    <w:rsid w:val="00FF3330"/>
    <w:rsid w:val="00FF4080"/>
    <w:rsid w:val="00FF40A5"/>
    <w:rsid w:val="00FF48DA"/>
    <w:rsid w:val="00FF5E19"/>
    <w:rsid w:val="00FF61AD"/>
    <w:rsid w:val="00FF76BD"/>
    <w:rsid w:val="2E786577"/>
    <w:rsid w:val="64172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name="annotation reference"/>
    <w:lsdException w:uiPriority="0" w:name="line number"/>
    <w:lsdException w:unhideWhenUsed="0" w:uiPriority="0" w:semiHidden="0" w:name="page number"/>
    <w:lsdException w:uiPriority="0" w:name="endnote reference"/>
    <w:lsdException w:unhideWhenUsed="0" w:uiPriority="0" w:semiHidden="0" w:name="endnote text"/>
    <w:lsdException w:uiPriority="0" w:name="table of authorities"/>
    <w:lsdException w:uiPriority="0" w:name="macro"/>
    <w:lsdException w:unhideWhenUsed="0" w:uiPriority="0" w:semiHidden="0" w:name="toa heading"/>
    <w:lsdException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nhideWhenUsed="0" w:uiPriority="0" w:semiHidden="0" w:name="Body Text 3"/>
    <w:lsdException w:unhideWhenUsed="0" w:uiPriority="0" w:semiHidden="0" w:name="Body Text Indent 2"/>
    <w:lsdException w:uiPriority="0" w:name="Body Text Indent 3"/>
    <w:lsdException w:uiPriority="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32"/>
    <w:semiHidden/>
    <w:uiPriority w:val="0"/>
  </w:style>
  <w:style w:type="paragraph" w:styleId="7">
    <w:name w:val="Body Text 3"/>
    <w:basedOn w:val="1"/>
    <w:uiPriority w:val="0"/>
    <w:pPr>
      <w:spacing w:after="120"/>
    </w:pPr>
    <w:rPr>
      <w:sz w:val="16"/>
      <w:szCs w:val="16"/>
    </w:rPr>
  </w:style>
  <w:style w:type="paragraph" w:styleId="8">
    <w:name w:val="Body Text"/>
    <w:basedOn w:val="1"/>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toc 3"/>
    <w:basedOn w:val="1"/>
    <w:next w:val="1"/>
    <w:uiPriority w:val="39"/>
    <w:pPr>
      <w:tabs>
        <w:tab w:val="right" w:leader="dot" w:pos="8302"/>
        <w:tab w:val="right" w:leader="dot" w:pos="8835"/>
      </w:tabs>
      <w:spacing w:line="360" w:lineRule="auto"/>
      <w:ind w:left="300" w:leftChars="300"/>
    </w:pPr>
    <w:rPr>
      <w:sz w:val="20"/>
    </w:rPr>
  </w:style>
  <w:style w:type="paragraph" w:styleId="11">
    <w:name w:val="Body Text Indent 2"/>
    <w:basedOn w:val="1"/>
    <w:uiPriority w:val="0"/>
    <w:pPr>
      <w:spacing w:after="120" w:line="480" w:lineRule="auto"/>
      <w:ind w:left="420" w:leftChars="200"/>
    </w:pPr>
  </w:style>
  <w:style w:type="paragraph" w:styleId="12">
    <w:name w:val="Balloon Text"/>
    <w:basedOn w:val="1"/>
    <w:semiHidden/>
    <w:uiPriority w:val="0"/>
    <w:rPr>
      <w:sz w:val="18"/>
      <w:szCs w:val="18"/>
    </w:rPr>
  </w:style>
  <w:style w:type="paragraph" w:styleId="13">
    <w:name w:val="footer"/>
    <w:basedOn w:val="1"/>
    <w:link w:val="34"/>
    <w:uiPriority w:val="99"/>
    <w:pPr>
      <w:tabs>
        <w:tab w:val="center" w:pos="4320"/>
        <w:tab w:val="right" w:pos="8640"/>
      </w:tabs>
    </w:pPr>
  </w:style>
  <w:style w:type="paragraph" w:styleId="14">
    <w:name w:val="header"/>
    <w:basedOn w:val="1"/>
    <w:link w:val="26"/>
    <w:uiPriority w:val="0"/>
    <w:pPr>
      <w:tabs>
        <w:tab w:val="center" w:pos="4320"/>
        <w:tab w:val="right" w:pos="8640"/>
      </w:tabs>
    </w:pPr>
  </w:style>
  <w:style w:type="paragraph" w:styleId="15">
    <w:name w:val="toc 1"/>
    <w:basedOn w:val="1"/>
    <w:next w:val="1"/>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Title"/>
    <w:basedOn w:val="1"/>
    <w:next w:val="1"/>
    <w:link w:val="44"/>
    <w:qFormat/>
    <w:uiPriority w:val="0"/>
    <w:pPr>
      <w:spacing w:before="240" w:after="60"/>
      <w:jc w:val="center"/>
      <w:outlineLvl w:val="0"/>
    </w:pPr>
    <w:rPr>
      <w:rFonts w:ascii="Calibri Light" w:hAnsi="Calibri Light"/>
      <w:b/>
      <w:bCs/>
      <w:sz w:val="32"/>
      <w:szCs w:val="32"/>
    </w:rPr>
  </w:style>
  <w:style w:type="paragraph" w:styleId="18">
    <w:name w:val="annotation subject"/>
    <w:basedOn w:val="6"/>
    <w:next w:val="6"/>
    <w:semiHidden/>
    <w:uiPriority w:val="0"/>
    <w:rPr>
      <w:b/>
      <w:bCs/>
    </w:rPr>
  </w:style>
  <w:style w:type="table" w:styleId="20">
    <w:name w:val="Table Grid"/>
    <w:basedOn w:val="19"/>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uiPriority w:val="0"/>
  </w:style>
  <w:style w:type="character" w:styleId="23">
    <w:name w:val="Hyperlink"/>
    <w:uiPriority w:val="99"/>
    <w:rPr>
      <w:color w:val="0000FF"/>
      <w:u w:val="single"/>
    </w:rPr>
  </w:style>
  <w:style w:type="character" w:styleId="24">
    <w:name w:val="annotation reference"/>
    <w:semiHidden/>
    <w:uiPriority w:val="0"/>
    <w:rPr>
      <w:sz w:val="21"/>
      <w:szCs w:val="21"/>
    </w:rPr>
  </w:style>
  <w:style w:type="paragraph" w:customStyle="1" w:styleId="25">
    <w:name w:val="Table"/>
    <w:basedOn w:val="1"/>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6">
    <w:name w:val="页眉 Char"/>
    <w:link w:val="14"/>
    <w:qFormat/>
    <w:uiPriority w:val="0"/>
    <w:rPr>
      <w:rFonts w:eastAsia="宋体"/>
      <w:sz w:val="24"/>
      <w:lang w:val="en-GB" w:eastAsia="en-US" w:bidi="ar-SA"/>
    </w:rPr>
  </w:style>
  <w:style w:type="paragraph" w:customStyle="1" w:styleId="27">
    <w:name w:val="Default Text"/>
    <w:basedOn w:val="1"/>
    <w:uiPriority w:val="0"/>
    <w:pPr>
      <w:overflowPunct/>
      <w:textAlignment w:val="auto"/>
    </w:pPr>
    <w:rPr>
      <w:rFonts w:ascii="Arial" w:hAnsi="Arial"/>
      <w:szCs w:val="24"/>
      <w:lang w:val="en-US"/>
    </w:rPr>
  </w:style>
  <w:style w:type="paragraph" w:customStyle="1" w:styleId="28">
    <w:name w:val="Style"/>
    <w:basedOn w:val="1"/>
    <w:qFormat/>
    <w:uiPriority w:val="0"/>
    <w:pPr>
      <w:overflowPunct/>
      <w:textAlignment w:val="auto"/>
    </w:pPr>
    <w:rPr>
      <w:rFonts w:ascii="Arial" w:hAnsi="Arial"/>
      <w:szCs w:val="24"/>
      <w:lang w:val="en-US"/>
    </w:rPr>
  </w:style>
  <w:style w:type="paragraph" w:customStyle="1" w:styleId="29">
    <w:name w:val="正文1"/>
    <w:basedOn w:val="1"/>
    <w:qFormat/>
    <w:uiPriority w:val="0"/>
    <w:pPr>
      <w:overflowPunct/>
      <w:textAlignment w:val="auto"/>
    </w:pPr>
    <w:rPr>
      <w:rFonts w:ascii="Arial" w:hAnsi="Arial"/>
      <w:sz w:val="20"/>
      <w:lang w:val="en-US"/>
    </w:rPr>
  </w:style>
  <w:style w:type="paragraph" w:customStyle="1" w:styleId="30">
    <w:name w:val="修订1"/>
    <w:hidden/>
    <w:semiHidden/>
    <w:uiPriority w:val="99"/>
    <w:rPr>
      <w:rFonts w:ascii="Times New Roman" w:hAnsi="Times New Roman" w:eastAsia="宋体" w:cs="Times New Roman"/>
      <w:sz w:val="24"/>
      <w:lang w:val="en-GB" w:eastAsia="en-US" w:bidi="ar-SA"/>
    </w:rPr>
  </w:style>
  <w:style w:type="paragraph" w:styleId="31">
    <w:name w:val="List Paragraph"/>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32">
    <w:name w:val="批注文字 Char"/>
    <w:link w:val="6"/>
    <w:semiHidden/>
    <w:uiPriority w:val="0"/>
    <w:rPr>
      <w:sz w:val="24"/>
      <w:lang w:val="en-GB" w:eastAsia="en-US"/>
    </w:rPr>
  </w:style>
  <w:style w:type="paragraph" w:customStyle="1" w:styleId="33">
    <w:name w:val="TOC 标题1"/>
    <w:basedOn w:val="2"/>
    <w:next w:val="1"/>
    <w:qFormat/>
    <w:uiPriority w:val="39"/>
    <w:pPr>
      <w:numPr>
        <w:numId w:val="0"/>
      </w:numPr>
      <w:outlineLvl w:val="9"/>
    </w:pPr>
  </w:style>
  <w:style w:type="character" w:customStyle="1" w:styleId="34">
    <w:name w:val="页脚 Char"/>
    <w:link w:val="13"/>
    <w:uiPriority w:val="99"/>
    <w:rPr>
      <w:sz w:val="24"/>
      <w:lang w:val="en-GB" w:eastAsia="en-US"/>
    </w:rPr>
  </w:style>
  <w:style w:type="character" w:customStyle="1" w:styleId="35">
    <w:name w:val="instruction standard blue"/>
    <w:qFormat/>
    <w:uiPriority w:val="1"/>
    <w:rPr>
      <w:rFonts w:cs="Arial"/>
      <w:i/>
      <w:color w:val="0070C0"/>
    </w:rPr>
  </w:style>
  <w:style w:type="character" w:customStyle="1" w:styleId="36">
    <w:name w:val="keyword"/>
    <w:basedOn w:val="21"/>
    <w:uiPriority w:val="0"/>
  </w:style>
  <w:style w:type="paragraph" w:customStyle="1" w:styleId="37">
    <w:name w:val="numbering blue"/>
    <w:basedOn w:val="1"/>
    <w:link w:val="38"/>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8">
    <w:name w:val="numbering blue Zchn"/>
    <w:link w:val="37"/>
    <w:qFormat/>
    <w:uiPriority w:val="0"/>
    <w:rPr>
      <w:rFonts w:ascii="Arial" w:hAnsi="Arial" w:eastAsia="PMingLiU"/>
      <w:color w:val="0070C0"/>
      <w:lang w:eastAsia="zh-TW"/>
    </w:rPr>
  </w:style>
  <w:style w:type="paragraph" w:customStyle="1" w:styleId="39">
    <w:name w:val="Defaul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0">
    <w:name w:val="Text Char"/>
    <w:link w:val="41"/>
    <w:qFormat/>
    <w:locked/>
    <w:uiPriority w:val="0"/>
    <w:rPr>
      <w:sz w:val="24"/>
      <w:lang w:eastAsia="en-US"/>
    </w:rPr>
  </w:style>
  <w:style w:type="paragraph" w:customStyle="1" w:styleId="41">
    <w:name w:val="Text"/>
    <w:basedOn w:val="1"/>
    <w:link w:val="40"/>
    <w:qFormat/>
    <w:uiPriority w:val="0"/>
    <w:pPr>
      <w:overflowPunct/>
      <w:autoSpaceDE/>
      <w:autoSpaceDN/>
      <w:adjustRightInd/>
      <w:spacing w:before="120"/>
      <w:jc w:val="both"/>
      <w:textAlignment w:val="auto"/>
    </w:pPr>
    <w:rPr>
      <w:lang w:val="en-US"/>
    </w:rPr>
  </w:style>
  <w:style w:type="character" w:customStyle="1" w:styleId="42">
    <w:name w:val="ordinary-span-edit2"/>
    <w:qFormat/>
    <w:uiPriority w:val="0"/>
  </w:style>
  <w:style w:type="character" w:customStyle="1" w:styleId="43">
    <w:name w:val="apple-converted-space"/>
    <w:basedOn w:val="21"/>
    <w:uiPriority w:val="0"/>
  </w:style>
  <w:style w:type="character" w:customStyle="1" w:styleId="44">
    <w:name w:val="标题 Char"/>
    <w:link w:val="17"/>
    <w:qFormat/>
    <w:uiPriority w:val="0"/>
    <w:rPr>
      <w:rFonts w:ascii="Calibri Light" w:hAnsi="Calibri Light" w:cs="Times New Roman"/>
      <w:b/>
      <w:bCs/>
      <w:sz w:val="32"/>
      <w:szCs w:val="32"/>
      <w:lang w:val="en-GB" w:eastAsia="en-US"/>
    </w:rPr>
  </w:style>
  <w:style w:type="paragraph" w:customStyle="1" w:styleId="45">
    <w:name w:val="Table text"/>
    <w:basedOn w:val="1"/>
    <w:qFormat/>
    <w:uiPriority w:val="0"/>
    <w:pPr>
      <w:overflowPunct/>
      <w:autoSpaceDE/>
      <w:autoSpaceDN/>
      <w:adjustRightInd/>
      <w:spacing w:before="120" w:after="120"/>
      <w:jc w:val="both"/>
      <w:textAlignment w:val="auto"/>
    </w:pPr>
    <w:rPr>
      <w:lang w:val="en-US"/>
    </w:rPr>
  </w:style>
  <w:style w:type="character" w:customStyle="1" w:styleId="46">
    <w:name w:val="Footer Char"/>
    <w:basedOn w:val="21"/>
    <w:semiHidden/>
    <w:qFormat/>
    <w:locked/>
    <w:uiPriority w:val="0"/>
    <w:rPr>
      <w:rFonts w:cs="Times New Roman"/>
      <w:sz w:val="18"/>
      <w:szCs w:val="18"/>
    </w:rPr>
  </w:style>
  <w:style w:type="character" w:styleId="47">
    <w:name w:val="Placeholder Text"/>
    <w:basedOn w:val="21"/>
    <w:semiHidden/>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820CD6-4F9A-4776-87CC-F2A134E0B3F7}">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11</Pages>
  <Words>790</Words>
  <Characters>4508</Characters>
  <Lines>37</Lines>
  <Paragraphs>10</Paragraphs>
  <TotalTime>540</TotalTime>
  <ScaleCrop>false</ScaleCrop>
  <LinksUpToDate>false</LinksUpToDate>
  <CharactersWithSpaces>5288</CharactersWithSpaces>
  <Application>WPS Office_11.8.2.10229_F1E327BC-269C-435d-A152-05C5408002CA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2019-10-08T07:38:00Z</dcterms:created>
  <dc:creator>Lilly</dc:creator>
  <cp:lastModifiedBy>Administrator</cp:lastModifiedBy>
  <cp:lastPrinted>2020-04-07T04:20:00Z</cp:lastPrinted>
  <dcterms:modified xsi:type="dcterms:W3CDTF">2022-04-18T07:42:29Z</dcterms:modified>
  <dc:title>生效期：</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92B8F0FB53104B099B50196EA93E0AE4</vt:lpwstr>
  </property>
</Properties>
</file>