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b/>
          <w:color w:val="000000" w:themeColor="text1"/>
          <w:sz w:val="28"/>
          <w:szCs w:val="28"/>
          <w:lang w:eastAsia="zh-CN"/>
        </w:rPr>
        <w:t>病毒性疫苗研究二室层析柱</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rPr>
          <w:b/>
          <w:i/>
          <w:color w:val="4472C4"/>
          <w:szCs w:val="21"/>
          <w:lang w:eastAsia="zh-CN"/>
        </w:rPr>
      </w:pPr>
      <w:bookmarkStart w:id="5" w:name="OLE_LINK4"/>
      <w:permStart w:id="1" w:edGrp="everyone"/>
      <w:permEnd w:id="1"/>
    </w:p>
    <w:bookmarkEnd w:id="5"/>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1702475"/>
      <w:bookmarkStart w:id="9" w:name="_Toc482370061"/>
      <w:bookmarkStart w:id="10" w:name="_Toc482370141"/>
      <w:bookmarkStart w:id="11" w:name="_Toc482360281"/>
      <w:bookmarkStart w:id="12" w:name="_Toc482369805"/>
      <w:bookmarkStart w:id="13" w:name="_Toc482370349"/>
      <w:bookmarkStart w:id="14" w:name="_Toc482359936"/>
      <w:bookmarkStart w:id="15" w:name="_Toc482625279"/>
      <w:bookmarkStart w:id="16" w:name="_Toc482370757"/>
      <w:r>
        <w:rPr>
          <w:szCs w:val="21"/>
          <w:lang w:eastAsia="zh-CN"/>
        </w:rPr>
        <w:t>本文件的目的是描述武汉生物制品研究所有限责任公司</w:t>
      </w:r>
      <w:permStart w:id="3" w:edGrp="everyone"/>
      <w:r>
        <w:rPr>
          <w:color w:val="000000" w:themeColor="text1"/>
          <w:szCs w:val="21"/>
          <w:lang w:eastAsia="zh-CN"/>
        </w:rPr>
        <w:t>病毒性疫苗研究二室层析柱</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color w:val="000000" w:themeColor="text1"/>
          <w:szCs w:val="21"/>
          <w:lang w:eastAsia="zh-CN"/>
        </w:rPr>
        <w:t>病毒性疫苗研究二室层析柱</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rPr>
      </w:pPr>
      <w:permStart w:id="5" w:edGrp="everyone"/>
      <w:r>
        <w:rPr>
          <w:color w:val="000000" w:themeColor="text1"/>
          <w:szCs w:val="21"/>
          <w:lang w:eastAsia="zh-CN"/>
        </w:rPr>
        <w:t xml:space="preserve">中国药典 </w:t>
      </w:r>
      <w:r>
        <w:rPr>
          <w:color w:val="000000" w:themeColor="text1"/>
          <w:szCs w:val="21"/>
        </w:rPr>
        <w:t>20</w:t>
      </w:r>
      <w:r>
        <w:rPr>
          <w:rFonts w:hint="eastAsia"/>
          <w:color w:val="000000" w:themeColor="text1"/>
          <w:szCs w:val="21"/>
          <w:lang w:eastAsia="zh-CN"/>
        </w:rPr>
        <w:t>20</w:t>
      </w:r>
      <w:r>
        <w:rPr>
          <w:color w:val="000000" w:themeColor="text1"/>
          <w:szCs w:val="21"/>
        </w:rPr>
        <w:t>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spacing w:before="0" w:line="360" w:lineRule="auto"/>
        <w:ind w:left="357"/>
        <w:jc w:val="left"/>
        <w:rPr>
          <w:i/>
          <w:szCs w:val="21"/>
          <w:lang w:eastAsia="zh-CN"/>
        </w:rPr>
      </w:pPr>
      <w:permStart w:id="6" w:edGrp="everyone"/>
      <w:permEnd w:id="6"/>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color w:val="000000" w:themeColor="text1"/>
          <w:szCs w:val="21"/>
          <w:lang w:eastAsia="zh-CN"/>
        </w:rPr>
        <w:t>病毒性疫苗研究二室拟购置</w:t>
      </w:r>
      <w:r>
        <w:rPr>
          <w:rFonts w:hint="eastAsia"/>
          <w:color w:val="000000" w:themeColor="text1"/>
          <w:szCs w:val="21"/>
          <w:lang w:eastAsia="zh-CN"/>
        </w:rPr>
        <w:t>两</w:t>
      </w:r>
      <w:r>
        <w:rPr>
          <w:color w:val="000000" w:themeColor="text1"/>
          <w:szCs w:val="21"/>
          <w:lang w:eastAsia="zh-CN"/>
        </w:rPr>
        <w:t>套</w:t>
      </w:r>
      <w:r>
        <w:rPr>
          <w:rFonts w:hint="eastAsia"/>
          <w:color w:val="000000" w:themeColor="text1"/>
          <w:szCs w:val="21"/>
          <w:lang w:eastAsia="zh-CN"/>
        </w:rPr>
        <w:t>电动</w:t>
      </w:r>
      <w:r>
        <w:rPr>
          <w:color w:val="000000" w:themeColor="text1"/>
          <w:szCs w:val="21"/>
          <w:lang w:eastAsia="zh-CN"/>
        </w:rPr>
        <w:t>层析柱</w:t>
      </w:r>
      <w:r>
        <w:rPr>
          <w:rFonts w:hint="eastAsia"/>
          <w:color w:val="000000" w:themeColor="text1"/>
          <w:szCs w:val="21"/>
          <w:lang w:eastAsia="zh-CN"/>
        </w:rPr>
        <w:t>，</w:t>
      </w:r>
      <w:r>
        <w:rPr>
          <w:color w:val="000000" w:themeColor="text1"/>
          <w:szCs w:val="21"/>
          <w:lang w:eastAsia="zh-CN"/>
        </w:rPr>
        <w:t>用于细胞基质流感疫苗生产中下游纯化</w:t>
      </w:r>
      <w:r>
        <w:rPr>
          <w:rFonts w:hint="eastAsia"/>
          <w:color w:val="000000" w:themeColor="text1"/>
          <w:szCs w:val="21"/>
          <w:lang w:eastAsia="zh-CN"/>
        </w:rPr>
        <w:t>。</w:t>
      </w:r>
      <w:permEnd w:id="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eastAsia="zh-CN"/>
              </w:rPr>
              <w:t>安装在综合楼</w:t>
            </w:r>
            <w:r>
              <w:rPr>
                <w:rFonts w:hint="eastAsia"/>
                <w:color w:val="000000" w:themeColor="text1"/>
                <w:szCs w:val="21"/>
                <w:lang w:eastAsia="zh-CN"/>
              </w:rPr>
              <w:t>A区三楼细胞流感车间，与层析系统配套使用</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themeColor="text1"/>
                <w:szCs w:val="21"/>
                <w:lang w:val="en-US" w:eastAsia="zh-CN"/>
              </w:rPr>
            </w:pPr>
            <w:r>
              <w:rPr>
                <w:color w:val="000000" w:themeColor="text1"/>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eastAsia="zh-CN"/>
              </w:rPr>
              <w:t>符合地面与桌面基本承重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工作环境温度：能适应1</w:t>
            </w:r>
            <w:r>
              <w:rPr>
                <w:rFonts w:hint="eastAsia"/>
                <w:color w:val="000000" w:themeColor="text1"/>
                <w:lang w:eastAsia="zh-CN"/>
              </w:rPr>
              <w:t>6</w:t>
            </w:r>
            <w:r>
              <w:rPr>
                <w:rFonts w:hint="eastAsia" w:ascii="宋体" w:hAnsi="宋体" w:cs="宋体"/>
                <w:color w:val="000000" w:themeColor="text1"/>
                <w:lang w:eastAsia="zh-CN"/>
              </w:rPr>
              <w:t>℃</w:t>
            </w:r>
            <w:r>
              <w:rPr>
                <w:color w:val="000000" w:themeColor="text1"/>
                <w:lang w:eastAsia="zh-CN"/>
              </w:rPr>
              <w:t>～</w:t>
            </w:r>
            <w:r>
              <w:rPr>
                <w:rFonts w:hint="eastAsia"/>
                <w:color w:val="000000" w:themeColor="text1"/>
                <w:lang w:eastAsia="zh-CN"/>
              </w:rPr>
              <w:t>26</w:t>
            </w:r>
            <w:r>
              <w:rPr>
                <w:rFonts w:hint="eastAsia" w:ascii="宋体" w:hAnsi="宋体" w:cs="宋体"/>
                <w:color w:val="000000" w:themeColor="text1"/>
                <w:lang w:eastAsia="zh-CN"/>
              </w:rPr>
              <w:t>℃</w:t>
            </w:r>
            <w:r>
              <w:rPr>
                <w:color w:val="000000" w:themeColor="text1"/>
                <w:lang w:eastAsia="zh-CN"/>
              </w:rPr>
              <w:t xml:space="preserve">环境 </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工作环境湿度：至少包括</w:t>
            </w:r>
            <w:r>
              <w:rPr>
                <w:rFonts w:hint="eastAsia"/>
                <w:color w:val="000000" w:themeColor="text1"/>
                <w:lang w:eastAsia="zh-CN"/>
              </w:rPr>
              <w:t>60</w:t>
            </w:r>
            <w:r>
              <w:rPr>
                <w:color w:val="000000" w:themeColor="text1"/>
                <w:lang w:eastAsia="zh-CN"/>
              </w:rPr>
              <w:t>%～</w:t>
            </w:r>
            <w:r>
              <w:rPr>
                <w:rFonts w:hint="eastAsia"/>
                <w:color w:val="000000" w:themeColor="text1"/>
                <w:lang w:eastAsia="zh-CN"/>
              </w:rPr>
              <w:t>70</w:t>
            </w:r>
            <w:r>
              <w:rPr>
                <w:color w:val="000000" w:themeColor="text1"/>
                <w:lang w:eastAsia="zh-CN"/>
              </w:rPr>
              <w:t>%</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themeColor="text1"/>
                <w:lang w:eastAsia="zh-CN"/>
              </w:rPr>
            </w:pPr>
            <w:r>
              <w:rPr>
                <w:color w:val="000000" w:themeColor="text1"/>
                <w:lang w:eastAsia="zh-CN"/>
              </w:rPr>
              <w:t>工作环境洁净级别：C级</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17"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lang w:eastAsia="zh-CN"/>
              </w:rPr>
              <w:t>Φ450mm层析柱与Φ300mm层析柱，均采用全自动、吸入式装柱技术，将层析介质吸入层析柱；电动轴向压缩技术，使层析介质压紧。</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设备的外表面应平整、光洁、无清洗盲区，无凹凸不平和明显划痕等缺陷。</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层析柱管材质为进口亚克力，有刻度显示，不易因碰撞损伤。</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整个层析柱各种接口、管路、阀门等连接方式必须符合卫生级，无死角、易清洁。</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szCs w:val="21"/>
                <w:lang w:val="en-US" w:eastAsia="zh-CN"/>
              </w:rPr>
              <w:t>标识</w:t>
            </w:r>
            <w:r>
              <w:rPr>
                <w:color w:val="000000" w:themeColor="text1"/>
                <w:szCs w:val="21"/>
                <w:lang w:eastAsia="zh-CN"/>
              </w:rPr>
              <w:t xml:space="preserve">：至少应有以下永久贴牢和清楚易认的标识： </w:t>
            </w:r>
          </w:p>
          <w:p>
            <w:pPr>
              <w:spacing w:line="276" w:lineRule="auto"/>
              <w:jc w:val="both"/>
              <w:rPr>
                <w:color w:val="000000" w:themeColor="text1"/>
                <w:szCs w:val="21"/>
                <w:lang w:eastAsia="zh-CN"/>
              </w:rPr>
            </w:pPr>
            <w:r>
              <w:rPr>
                <w:color w:val="000000" w:themeColor="text1"/>
                <w:szCs w:val="21"/>
                <w:lang w:eastAsia="zh-CN"/>
              </w:rPr>
              <w:t>（1）制造/供应单位；</w:t>
            </w:r>
          </w:p>
          <w:p>
            <w:pPr>
              <w:spacing w:line="276" w:lineRule="auto"/>
              <w:jc w:val="both"/>
              <w:rPr>
                <w:color w:val="000000" w:themeColor="text1"/>
                <w:szCs w:val="21"/>
                <w:lang w:eastAsia="zh-CN"/>
              </w:rPr>
            </w:pPr>
            <w:r>
              <w:rPr>
                <w:color w:val="000000" w:themeColor="text1"/>
                <w:szCs w:val="21"/>
                <w:lang w:eastAsia="zh-CN"/>
              </w:rPr>
              <w:t>（2）产品注册号；</w:t>
            </w:r>
          </w:p>
          <w:p>
            <w:pPr>
              <w:spacing w:line="276" w:lineRule="auto"/>
              <w:jc w:val="both"/>
              <w:rPr>
                <w:color w:val="000000" w:themeColor="text1"/>
                <w:szCs w:val="21"/>
                <w:lang w:eastAsia="zh-CN"/>
              </w:rPr>
            </w:pPr>
            <w:r>
              <w:rPr>
                <w:color w:val="000000" w:themeColor="text1"/>
                <w:szCs w:val="21"/>
                <w:lang w:eastAsia="zh-CN"/>
              </w:rPr>
              <w:t>（3）型号；</w:t>
            </w:r>
          </w:p>
          <w:p>
            <w:pPr>
              <w:spacing w:line="276" w:lineRule="auto"/>
              <w:jc w:val="both"/>
              <w:rPr>
                <w:color w:val="000000" w:themeColor="text1"/>
                <w:szCs w:val="21"/>
                <w:lang w:eastAsia="zh-CN"/>
              </w:rPr>
            </w:pPr>
            <w:r>
              <w:rPr>
                <w:color w:val="000000" w:themeColor="text1"/>
                <w:szCs w:val="21"/>
                <w:lang w:eastAsia="zh-CN"/>
              </w:rPr>
              <w:t>（4）生产日期或编号；</w:t>
            </w:r>
          </w:p>
          <w:p>
            <w:pPr>
              <w:spacing w:line="276" w:lineRule="auto"/>
              <w:jc w:val="both"/>
              <w:rPr>
                <w:color w:val="000000" w:themeColor="text1"/>
                <w:szCs w:val="21"/>
                <w:lang w:eastAsia="zh-CN"/>
              </w:rPr>
            </w:pPr>
            <w:r>
              <w:rPr>
                <w:color w:val="000000" w:themeColor="text1"/>
                <w:szCs w:val="21"/>
                <w:lang w:eastAsia="zh-CN"/>
              </w:rPr>
              <w:t>（5）对设备必要的说明；</w:t>
            </w:r>
          </w:p>
          <w:p>
            <w:pPr>
              <w:pStyle w:val="7"/>
              <w:spacing w:line="276" w:lineRule="auto"/>
              <w:rPr>
                <w:color w:val="0070C0"/>
                <w:sz w:val="21"/>
                <w:szCs w:val="21"/>
                <w:lang w:eastAsia="zh-CN"/>
              </w:rPr>
            </w:pPr>
            <w:r>
              <w:rPr>
                <w:color w:val="000000" w:themeColor="text1"/>
                <w:sz w:val="21"/>
                <w:szCs w:val="21"/>
              </w:rPr>
              <w:t>（</w:t>
            </w:r>
            <w:r>
              <w:rPr>
                <w:color w:val="000000" w:themeColor="text1"/>
                <w:sz w:val="21"/>
                <w:szCs w:val="21"/>
                <w:lang w:eastAsia="zh-CN"/>
              </w:rPr>
              <w:t>6</w:t>
            </w:r>
            <w:r>
              <w:rPr>
                <w:color w:val="000000" w:themeColor="text1"/>
                <w:sz w:val="21"/>
                <w:szCs w:val="21"/>
              </w:rPr>
              <w:t>）安全标识。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bookmarkEnd w:id="24"/>
      <w:bookmarkEnd w:id="25"/>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1"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color w:val="FF0000"/>
                <w:szCs w:val="21"/>
                <w:lang w:eastAsia="zh-CN"/>
              </w:rPr>
            </w:pPr>
            <w:r>
              <w:rPr>
                <w:color w:val="000000" w:themeColor="text1"/>
                <w:szCs w:val="21"/>
                <w:lang w:eastAsia="zh-CN"/>
              </w:rPr>
              <w:t>两套层析柱柱管内径分别为300</w:t>
            </w:r>
            <w:r>
              <w:rPr>
                <w:rFonts w:hint="eastAsia"/>
                <w:color w:val="000000" w:themeColor="text1"/>
                <w:szCs w:val="21"/>
                <w:lang w:eastAsia="zh-CN"/>
              </w:rPr>
              <w:t>mm和4</w:t>
            </w:r>
            <w:r>
              <w:rPr>
                <w:color w:val="000000" w:themeColor="text1"/>
                <w:szCs w:val="21"/>
                <w:lang w:eastAsia="zh-CN"/>
              </w:rPr>
              <w:t>50mm</w:t>
            </w:r>
            <w:r>
              <w:rPr>
                <w:rFonts w:hint="eastAsia"/>
                <w:color w:val="000000" w:themeColor="text1"/>
                <w:szCs w:val="21"/>
                <w:lang w:eastAsia="zh-CN"/>
              </w:rPr>
              <w:t xml:space="preserve"> 。</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柱管壁材质为进口亚克力，提供证明资料；表面无划痕，易于清洁。</w:t>
            </w:r>
          </w:p>
          <w:p>
            <w:pPr>
              <w:spacing w:line="276" w:lineRule="auto"/>
              <w:jc w:val="both"/>
              <w:rPr>
                <w:szCs w:val="21"/>
                <w:lang w:eastAsia="zh-CN"/>
              </w:rPr>
            </w:pPr>
            <w:r>
              <w:rPr>
                <w:rFonts w:hint="eastAsia"/>
                <w:szCs w:val="21"/>
                <w:lang w:eastAsia="zh-CN"/>
              </w:rPr>
              <w:t>柱管外侧有柱高刻度标识。</w:t>
            </w:r>
            <w:r>
              <w:rPr>
                <w:rFonts w:hint="eastAsia"/>
                <w:color w:val="000000" w:themeColor="text1"/>
                <w:szCs w:val="21"/>
                <w:lang w:eastAsia="zh-CN"/>
              </w:rPr>
              <w:t>该层析柱可装填填料匀浆高度满足10~570mm。</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筛网：不锈钢316L，孔径</w:t>
            </w:r>
            <w:r>
              <w:rPr>
                <w:color w:val="000000" w:themeColor="text1"/>
                <w:szCs w:val="21"/>
                <w:lang w:eastAsia="zh-CN"/>
              </w:rPr>
              <w:t>2</w:t>
            </w:r>
            <w:r>
              <w:rPr>
                <w:rFonts w:hint="eastAsia"/>
                <w:color w:val="000000" w:themeColor="text1"/>
                <w:szCs w:val="21"/>
                <w:lang w:eastAsia="zh-CN"/>
              </w:rPr>
              <w:t>0μm。筛板采用全自动焊接，无死角、易清洗。上筛板设计配有专用排泡阀门设计，便于排泡。</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筛板密封设计：进口品牌，拒绝国内二次加工、焊接固定环、切割、打磨等，提供材质证明，无死角、易清洗；保证最大工作压力时筛板不会变形、脱落。通过筛板环和柱管密封。应避免筛网直接与密封圈接触密封。</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上下柱头都有流体分布器，能保证良好的流体分配。</w:t>
            </w:r>
          </w:p>
          <w:p>
            <w:pPr>
              <w:spacing w:line="276" w:lineRule="auto"/>
              <w:jc w:val="both"/>
              <w:rPr>
                <w:color w:val="FF0000"/>
                <w:szCs w:val="21"/>
                <w:lang w:eastAsia="zh-CN"/>
              </w:rPr>
            </w:pPr>
            <w:r>
              <w:rPr>
                <w:rFonts w:hint="eastAsia"/>
                <w:color w:val="000000" w:themeColor="text1"/>
                <w:szCs w:val="21"/>
                <w:lang w:eastAsia="zh-CN"/>
              </w:rPr>
              <w:t>应提供该尺寸或类似规模层析柱下，维生素B12或酚红测试柱效过程中的色带环实地照片及柱效测定报告，以证明流体分配效果。整个色素环应狭窄、宽度均匀且向下迁移的速度一致（色素环不应出现扭曲、拉伸、拉丝、拖尾等）。</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流体分布器设计应便于排出气泡，并提供相关证明材料。</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柱头密封圈材质应符合FDA及USP classVI规定，提供材质证明；长期使用密封性能良好，无脱落。</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采用双层刮刀式设计，避免填料粘壁影响密封。</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采用精密齿轮减速平台，高减速比；配置西门子伺服电机，运行平稳。</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活塞运行可实现1mm以内的控制精度，升降精确、均匀，无噪声。</w:t>
            </w:r>
          </w:p>
          <w:p>
            <w:pPr>
              <w:spacing w:line="276" w:lineRule="auto"/>
              <w:jc w:val="both"/>
              <w:rPr>
                <w:color w:val="FF0000"/>
                <w:szCs w:val="21"/>
                <w:lang w:eastAsia="zh-CN"/>
              </w:rPr>
            </w:pPr>
            <w:r>
              <w:rPr>
                <w:rFonts w:hint="eastAsia"/>
                <w:color w:val="000000" w:themeColor="text1"/>
                <w:szCs w:val="21"/>
                <w:lang w:eastAsia="zh-CN"/>
              </w:rPr>
              <w:t>浮动传动设计，三点支撑，保证上柱头承压平稳运行。</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填料阀设计:填料出入口位于筛板中心。保证填料均匀，装填后，填料阀应清洗干净，无残留。自动控制填料阀切换。</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上柱头配有专门的自动排气阀；填料阀、筛板、柱头等的排气应操作简便，需说明操作方式。</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柱头配有上下限位开关，并可进行报警或警示，确保装柱过程安全性。</w:t>
            </w:r>
          </w:p>
          <w:p>
            <w:pPr>
              <w:spacing w:line="276" w:lineRule="auto"/>
              <w:jc w:val="both"/>
              <w:rPr>
                <w:color w:val="FF0000"/>
                <w:szCs w:val="21"/>
                <w:lang w:eastAsia="zh-CN"/>
              </w:rPr>
            </w:pP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当柱头移动至顶部位置时，柱管可旋出，便于清洗柱管内壁，在原位进行维护及更换配件。</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所有与产品的接触的不锈钢必须采用AISI 316L内表面应进行电抛光钝化处理，Ra≤0.4μm；不与产品接触的部分及设备表面采用AISI 304外表面Ra≤1.2μm，化学兼容性好，不与样品发生反应。</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层析柱及其配件材质需耐受一定浓度的异丙醇、乙醇、丙酮等常用有机溶剂。</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为满足卫生要求，层析柱、配件等所有流路材质需耐受1.0M NaOH溶液在位清洗一小时以上，并能够耐受乙醇、NaOH等常用缓冲液保存。</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可以通过无菌挑战实验。</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层析柱可方便移动，也能刹车固定，避免发生倾倒。层析柱容易调水平。</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耐受温度2~40℃。最大耐受压力不低于4bar。</w:t>
            </w:r>
          </w:p>
          <w:p>
            <w:pPr>
              <w:spacing w:line="276" w:lineRule="auto"/>
              <w:jc w:val="both"/>
              <w:rPr>
                <w:color w:val="FF0000"/>
                <w:szCs w:val="21"/>
                <w:lang w:eastAsia="zh-CN"/>
              </w:rPr>
            </w:pPr>
            <w:r>
              <w:rPr>
                <w:rFonts w:hint="eastAsia"/>
                <w:color w:val="000000" w:themeColor="text1"/>
                <w:szCs w:val="21"/>
                <w:lang w:eastAsia="zh-CN"/>
              </w:rPr>
              <w:t>在此条件下，所有和液体接触的设备材质都要耐受pH范围2-14，避免腐蚀。</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rFonts w:hint="eastAsia"/>
                <w:color w:val="000000" w:themeColor="text1"/>
                <w:szCs w:val="21"/>
                <w:lang w:eastAsia="zh-CN"/>
              </w:rPr>
              <w:t>报价中包含一套正常拆装柱和层析操作时的配件，并列出清单中包括配件名称、规格、数量、品牌和价格，和物料直接接触的应提供材质证明。</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eastAsia="zh-CN"/>
              </w:rPr>
            </w:pPr>
            <w:r>
              <w:rPr>
                <w:color w:val="000000" w:themeColor="text1"/>
                <w:szCs w:val="21"/>
                <w:lang w:eastAsia="zh-CN"/>
              </w:rPr>
              <w:t>2</w:t>
            </w:r>
            <w:r>
              <w:rPr>
                <w:rFonts w:hint="eastAsia"/>
                <w:color w:val="000000" w:themeColor="text1"/>
                <w:szCs w:val="21"/>
                <w:lang w:eastAsia="zh-CN"/>
              </w:rPr>
              <w:t>台装柱工作站，分别和上述Φ450mm与Φ300mm的层析柱配套。</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val="en-US" w:eastAsia="zh-CN"/>
              </w:rPr>
            </w:pPr>
            <w:r>
              <w:rPr>
                <w:rFonts w:hint="eastAsia"/>
                <w:color w:val="000000" w:themeColor="text1"/>
                <w:szCs w:val="21"/>
                <w:lang w:eastAsia="zh-CN"/>
              </w:rPr>
              <w:t>控制系统采用西门子PLC及工业触摸电脑。</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val="en-US" w:eastAsia="zh-CN"/>
              </w:rPr>
            </w:pPr>
            <w:r>
              <w:rPr>
                <w:rFonts w:hint="eastAsia"/>
                <w:color w:val="000000" w:themeColor="text1"/>
                <w:szCs w:val="21"/>
                <w:lang w:eastAsia="zh-CN"/>
              </w:rPr>
              <w:t>具备控制界面及管理界面等，简单易用。</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val="en-US" w:eastAsia="zh-CN"/>
              </w:rPr>
            </w:pPr>
            <w:r>
              <w:rPr>
                <w:rFonts w:hint="eastAsia"/>
                <w:color w:val="000000" w:themeColor="text1"/>
                <w:szCs w:val="21"/>
                <w:lang w:eastAsia="zh-CN"/>
              </w:rPr>
              <w:t>装柱工作站用户可依据不同填料等信息进行装柱方法的编辑及保存调用，可实现一键装柱。具备填料管理功能（管理功能包含填料参数设置及在线修改等）。具备自动装柱方法管理及在线监控功能，可根据填料特性自动推荐合适的装柱方法，自动装柱方法参数可以在线修改，自动装柱过程中实时监控系统仪表及驱动单元所有重要数据，并实时记录自动方法执行情况、操作信息及报警信息等，具备电子记录、电子签名、审计追踪、批报表等功能。</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val="en-US" w:eastAsia="zh-CN"/>
              </w:rPr>
            </w:pPr>
            <w:r>
              <w:rPr>
                <w:rFonts w:hint="eastAsia"/>
                <w:color w:val="000000" w:themeColor="text1"/>
                <w:szCs w:val="21"/>
                <w:lang w:eastAsia="zh-CN"/>
              </w:rPr>
              <w:t>装柱工作站具备向导模式，装柱站内应内置常用操作程序，如柱头排气，装胶，卸胶，清洗等步骤，使得层析柱使用与维护操作简单快速。根据填料特性，推荐自动装柱方法进行自动装柱。</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FF0000"/>
                <w:szCs w:val="21"/>
                <w:lang w:val="en-US" w:eastAsia="zh-CN"/>
              </w:rPr>
            </w:pPr>
            <w:r>
              <w:rPr>
                <w:rFonts w:hint="eastAsia"/>
                <w:color w:val="000000" w:themeColor="text1"/>
                <w:szCs w:val="21"/>
                <w:lang w:eastAsia="zh-CN"/>
              </w:rPr>
              <w:t>方便移动，可固定。</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3"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59946"/>
      <w:bookmarkStart w:id="31" w:name="_Toc482370071"/>
      <w:bookmarkStart w:id="32" w:name="_Toc482370151"/>
      <w:bookmarkStart w:id="33" w:name="_Toc482370767"/>
      <w:bookmarkStart w:id="34" w:name="_Toc482625289"/>
      <w:bookmarkStart w:id="35" w:name="_Toc482360291"/>
      <w:bookmarkStart w:id="36" w:name="_Toc482369815"/>
      <w:bookmarkStart w:id="37" w:name="_Toc481702480"/>
      <w:bookmarkStart w:id="38" w:name="_Toc482370359"/>
      <w:bookmarkStart w:id="39" w:name="_Toc483400317"/>
      <w:bookmarkStart w:id="40" w:name="_Toc482717202"/>
      <w:bookmarkStart w:id="41" w:name="_Toc483227237"/>
      <w:r>
        <w:rPr>
          <w:rFonts w:ascii="Times New Roman" w:hAnsi="Times New Roman"/>
          <w:b/>
        </w:rPr>
        <w:t>电气、自动控制要求</w:t>
      </w:r>
      <w:bookmarkEnd w:id="28"/>
    </w:p>
    <w:p>
      <w:pPr>
        <w:pStyle w:val="41"/>
        <w:spacing w:before="0" w:line="360" w:lineRule="auto"/>
        <w:jc w:val="left"/>
        <w:rPr>
          <w:i/>
          <w:color w:val="4472C4"/>
          <w:szCs w:val="21"/>
          <w:lang w:eastAsia="zh-CN"/>
        </w:rPr>
      </w:pPr>
      <w:permStart w:id="24" w:edGrp="everyone"/>
    </w:p>
    <w:permEnd w:id="2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5"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6"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jc w:val="left"/>
        <w:rPr>
          <w:i/>
          <w:color w:val="4472C4"/>
          <w:szCs w:val="21"/>
          <w:lang w:eastAsia="zh-CN"/>
        </w:rPr>
      </w:pPr>
      <w:permStart w:id="27" w:edGrp="everyone"/>
    </w:p>
    <w:permEnd w:id="2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8"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firstLine="0" w:firstLineChars="0"/>
              <w:rPr>
                <w:rFonts w:ascii="Times New Roman" w:hAnsi="Times New Roman"/>
                <w:szCs w:val="21"/>
              </w:rPr>
            </w:pPr>
            <w:permStart w:id="29"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jc w:val="left"/>
        <w:rPr>
          <w:i/>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卖方发运清单及相关检验报告。提交时限：设备开箱验收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系统功能配置清单及说明，包含各组件名称、编号、型号、规格、品牌、材质等。提交时限：设备开箱验收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设备标准技术文件。提交时限：设备开箱验收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实物图；各种确认、维修等活动所需的电子版及打印版图纸（P&amp;ID图或控制原理图、设备装配图、设备工作原理图、气动原理图、电气原理图、控制盘面仪表、开关配置图等线图、PLC相关图纸等）；注释参考等；图纸清单。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零部件、易损件、备件、消耗品、仪器仪表清单：包括名称、编号、对应厂家名称、生产地、规格及必要说明。提交时限：设备开箱验收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设备厂家文件：出厂测试合格证、相关检测报告、各种标示。提交时限：设备开箱验收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设备操作手册（SOP）：语言为中文，应说明校准周期，并能提供校准服务。提交时限：设备开箱验收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设备交付计划表。提交时限：设备开箱验收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校验报告及计量证书。提交时限：设备开箱验收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安全报告。提交时限：设备开箱验收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各种必要的合格证，包括部件合格证、风速检测仪校验合格报告、材质证书等。提交时限：设备开箱验收</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调试文件：调试计划、调试方案、设备测试记录，检测清单，测试报告，调试总结报告、现场验收报告等。提交时限：IQ开始前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lang w:eastAsia="zh-CN"/>
              </w:rPr>
              <w:t>现场验收测试</w:t>
            </w:r>
            <w:r>
              <w:rPr>
                <w:rFonts w:hint="eastAsia"/>
                <w:lang w:eastAsia="zh-CN"/>
              </w:rPr>
              <w:t>（SAT）。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:不晚于</w:t>
            </w:r>
            <w:r>
              <w:rPr>
                <w:szCs w:val="21"/>
                <w:lang w:eastAsia="zh-CN"/>
              </w:rPr>
              <w:t>IQ开</w:t>
            </w:r>
            <w:r>
              <w:rPr>
                <w:rFonts w:hint="eastAsia" w:ascii="宋体" w:hAnsi="宋体"/>
                <w:szCs w:val="21"/>
                <w:lang w:eastAsia="zh-CN"/>
              </w:rPr>
              <w:t>始</w:t>
            </w:r>
          </w:p>
        </w:tc>
        <w:tc>
          <w:tcPr>
            <w:tcW w:w="2125" w:type="dxa"/>
            <w:shd w:val="clear" w:color="auto" w:fill="auto"/>
            <w:vAlign w:val="center"/>
          </w:tcPr>
          <w:p>
            <w:pPr>
              <w:jc w:val="both"/>
              <w:rPr>
                <w:color w:val="000000" w:themeColor="text1"/>
                <w:szCs w:val="21"/>
                <w:lang w:eastAsia="zh-CN"/>
              </w:rPr>
            </w:pPr>
            <w:r>
              <w:rPr>
                <w:color w:val="000000" w:themeColor="text1"/>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eastAsia="zh-CN"/>
              </w:rPr>
              <w:t>验证文件：</w:t>
            </w:r>
          </w:p>
          <w:p>
            <w:pPr>
              <w:jc w:val="both"/>
              <w:rPr>
                <w:szCs w:val="21"/>
                <w:lang w:eastAsia="zh-CN"/>
              </w:rPr>
            </w:pPr>
            <w:r>
              <w:rPr>
                <w:rFonts w:hint="eastAsia"/>
                <w:szCs w:val="21"/>
                <w:lang w:eastAsia="zh-CN"/>
              </w:rPr>
              <w:t>a) 性能确认及文件（PQ）；</w:t>
            </w:r>
          </w:p>
          <w:p>
            <w:pPr>
              <w:jc w:val="both"/>
              <w:rPr>
                <w:szCs w:val="21"/>
                <w:lang w:eastAsia="zh-CN"/>
              </w:rPr>
            </w:pPr>
            <w:r>
              <w:rPr>
                <w:rFonts w:hint="eastAsia"/>
                <w:szCs w:val="21"/>
                <w:lang w:eastAsia="zh-CN"/>
              </w:rPr>
              <w:t>b) 安装确认及文件（IQ）；</w:t>
            </w:r>
          </w:p>
          <w:p>
            <w:pPr>
              <w:jc w:val="both"/>
              <w:rPr>
                <w:szCs w:val="21"/>
                <w:lang w:eastAsia="zh-CN"/>
              </w:rPr>
            </w:pPr>
            <w:r>
              <w:rPr>
                <w:rFonts w:hint="eastAsia"/>
                <w:szCs w:val="21"/>
                <w:lang w:eastAsia="zh-CN"/>
              </w:rPr>
              <w:t>c) 运行确认及文件（OQ）；</w:t>
            </w:r>
          </w:p>
          <w:p>
            <w:pPr>
              <w:jc w:val="both"/>
              <w:rPr>
                <w:szCs w:val="21"/>
                <w:lang w:eastAsia="zh-CN"/>
              </w:rPr>
            </w:pPr>
            <w:r>
              <w:rPr>
                <w:rFonts w:hint="eastAsia"/>
                <w:szCs w:val="21"/>
                <w:lang w:eastAsia="zh-CN"/>
              </w:rPr>
              <w:t>d) 设计确认及文件（DQ），包括系统评估、风险评估等；</w:t>
            </w:r>
          </w:p>
          <w:p>
            <w:pPr>
              <w:jc w:val="both"/>
              <w:rPr>
                <w:szCs w:val="21"/>
                <w:lang w:eastAsia="zh-CN"/>
              </w:rPr>
            </w:pPr>
            <w:r>
              <w:rPr>
                <w:rFonts w:hint="eastAsia"/>
                <w:szCs w:val="21"/>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使用操作说明书及维护保养说明（即运行及维护手册）。提交时限：IQ开始前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提供设备及其零部件使用寿命清单。提交时限：IQ开始前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应有针对每一部件所作序号的简明图册，以便于维修人员查找和辩识。提交时限：IQ开始前</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jc w:val="left"/>
        <w:rPr>
          <w:i/>
          <w:color w:val="4472C4"/>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设备厂商或供应商应免费对设备使用方人员进行全面培训，包括对生产操作人员及设备维护、维修人员，并填写培训记录。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生产操作人员培训包括设备结构原理、性能、操作、清洗消毒、故障排除等基本</w:t>
            </w:r>
            <w:r>
              <w:rPr>
                <w:color w:val="000000" w:themeColor="text1"/>
                <w:szCs w:val="21"/>
                <w:lang w:eastAsia="zh-CN"/>
              </w:rPr>
              <w:t>知识</w:t>
            </w:r>
            <w:r>
              <w:rPr>
                <w:color w:val="000000" w:themeColor="text1"/>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lang w:eastAsia="zh-CN"/>
              </w:rPr>
            </w:pPr>
            <w:r>
              <w:rPr>
                <w:color w:val="000000" w:themeColor="text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szCs w:val="21"/>
                <w:lang w:eastAsia="zh-CN"/>
              </w:rPr>
            </w:pPr>
            <w:r>
              <w:rPr>
                <w:color w:val="000000" w:themeColor="text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0000" w:themeColor="text1"/>
                <w:szCs w:val="21"/>
                <w:lang w:eastAsia="zh-CN"/>
              </w:rPr>
            </w:pPr>
            <w:r>
              <w:rPr>
                <w:rFonts w:hint="eastAsia"/>
                <w:color w:val="000000" w:themeColor="text1"/>
                <w:szCs w:val="21"/>
                <w:lang w:eastAsia="zh-CN"/>
              </w:rPr>
              <w:t>验证包括IQ,OQ，PQ，DQ,SAT文件与服务，供应商必须派出具备该类系统验证经验，且熟悉验证相关文件编写及验证工作实施的验证工程师开展验证工作。供应商协助完成PQ。</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投标方按GMP规范及仪器相关法规完成</w:t>
            </w:r>
            <w:r>
              <w:rPr>
                <w:rFonts w:hint="eastAsia"/>
                <w:color w:val="000000" w:themeColor="text1"/>
                <w:szCs w:val="21"/>
                <w:lang w:eastAsia="zh-CN"/>
              </w:rPr>
              <w:t>IQ,OQ，PQ，DQ,SAT</w:t>
            </w:r>
            <w:r>
              <w:rPr>
                <w:rFonts w:hint="eastAsia"/>
                <w:szCs w:val="21"/>
                <w:lang w:eastAsia="zh-CN"/>
              </w:rPr>
              <w:t>工作，并提供相应文件（文件必须无条件符合我所QA要求）。各验证工作开始前验证方案需经过本公司相关部门审核，并经质量保证部批准。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设备保质期从确认验收文件签署之后开始计算。</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设备质保期为一年以上，保质期内免费保修并免费更换所有配件，保质期后应提供良好的售后服务。</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售后服务必须响应及时，要求仪器出现须厂家维修的故障后，应在4小时内明确答复，当电话沟通无法解决时，须48小时内派人至现场解决。</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厂家应提供合格的备件，用于仪器相应部件的维修、更换。</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确认调试验收合格后，买卖双方签订验收报告。</w:t>
            </w:r>
          </w:p>
        </w:tc>
        <w:tc>
          <w:tcPr>
            <w:tcW w:w="2125" w:type="dxa"/>
            <w:shd w:val="clear" w:color="auto" w:fill="auto"/>
            <w:vAlign w:val="center"/>
          </w:tcPr>
          <w:p>
            <w:pPr>
              <w:jc w:val="both"/>
              <w:rPr>
                <w:szCs w:val="21"/>
                <w:lang w:eastAsia="zh-CN"/>
              </w:rPr>
            </w:pPr>
            <w:r>
              <w:rPr>
                <w:color w:val="000000" w:themeColor="text1"/>
                <w:szCs w:val="21"/>
                <w:lang w:eastAsia="zh-CN"/>
              </w:rPr>
              <w:t>关键</w:t>
            </w:r>
          </w:p>
        </w:tc>
      </w:tr>
      <w:permEnd w:id="43"/>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color w:val="000000" w:themeColor="text1"/>
          <w:szCs w:val="21"/>
          <w:lang w:eastAsia="zh-CN"/>
        </w:rPr>
      </w:pPr>
      <w:permStart w:id="44" w:edGrp="everyone"/>
      <w:r>
        <w:rPr>
          <w:rFonts w:hint="eastAsia"/>
          <w:color w:val="000000" w:themeColor="text1"/>
          <w:szCs w:val="21"/>
          <w:lang w:eastAsia="zh-CN"/>
        </w:rPr>
        <w:t>不适用</w:t>
      </w:r>
      <w:permEnd w:id="44"/>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07448"/>
    <w:rsid w:val="0001160E"/>
    <w:rsid w:val="000117C7"/>
    <w:rsid w:val="000169DD"/>
    <w:rsid w:val="00020FEA"/>
    <w:rsid w:val="00022818"/>
    <w:rsid w:val="000233DE"/>
    <w:rsid w:val="00023B07"/>
    <w:rsid w:val="00023CAD"/>
    <w:rsid w:val="0002457E"/>
    <w:rsid w:val="000275E7"/>
    <w:rsid w:val="000303D0"/>
    <w:rsid w:val="0003040E"/>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66394"/>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2C5A"/>
    <w:rsid w:val="00163A08"/>
    <w:rsid w:val="00164CDC"/>
    <w:rsid w:val="00164E0D"/>
    <w:rsid w:val="00166311"/>
    <w:rsid w:val="00166478"/>
    <w:rsid w:val="00167B0E"/>
    <w:rsid w:val="00171A51"/>
    <w:rsid w:val="00172D2D"/>
    <w:rsid w:val="001746E7"/>
    <w:rsid w:val="001757AB"/>
    <w:rsid w:val="001769A8"/>
    <w:rsid w:val="001814FA"/>
    <w:rsid w:val="001815A9"/>
    <w:rsid w:val="00182A27"/>
    <w:rsid w:val="00183ABF"/>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4B6"/>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4933"/>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497D"/>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5A7E"/>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D7D71"/>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1E22"/>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67F93"/>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3FA7"/>
    <w:rsid w:val="004E4C2D"/>
    <w:rsid w:val="004F0539"/>
    <w:rsid w:val="004F10A4"/>
    <w:rsid w:val="004F15FC"/>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379"/>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B7FC5"/>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348E"/>
    <w:rsid w:val="005E65FA"/>
    <w:rsid w:val="005F19CE"/>
    <w:rsid w:val="005F28F4"/>
    <w:rsid w:val="005F43BB"/>
    <w:rsid w:val="005F503E"/>
    <w:rsid w:val="005F6CB3"/>
    <w:rsid w:val="005F7612"/>
    <w:rsid w:val="005F7663"/>
    <w:rsid w:val="005F7D63"/>
    <w:rsid w:val="006033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74C"/>
    <w:rsid w:val="00650A76"/>
    <w:rsid w:val="00650CD0"/>
    <w:rsid w:val="00650DA4"/>
    <w:rsid w:val="00651DA5"/>
    <w:rsid w:val="00652D22"/>
    <w:rsid w:val="00656797"/>
    <w:rsid w:val="006571EC"/>
    <w:rsid w:val="0066086B"/>
    <w:rsid w:val="00660A8C"/>
    <w:rsid w:val="006632B2"/>
    <w:rsid w:val="00664084"/>
    <w:rsid w:val="0066445E"/>
    <w:rsid w:val="00664EC6"/>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318D"/>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BE"/>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E6F"/>
    <w:rsid w:val="00852488"/>
    <w:rsid w:val="0085405E"/>
    <w:rsid w:val="008571DD"/>
    <w:rsid w:val="0085772E"/>
    <w:rsid w:val="00860344"/>
    <w:rsid w:val="00860E2C"/>
    <w:rsid w:val="00864BC6"/>
    <w:rsid w:val="008654F4"/>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5B4"/>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0DA"/>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5CC"/>
    <w:rsid w:val="008E7312"/>
    <w:rsid w:val="008F297F"/>
    <w:rsid w:val="008F447E"/>
    <w:rsid w:val="00901E92"/>
    <w:rsid w:val="00904BA9"/>
    <w:rsid w:val="00904E7E"/>
    <w:rsid w:val="0091086B"/>
    <w:rsid w:val="00911129"/>
    <w:rsid w:val="00912EA3"/>
    <w:rsid w:val="00914B6E"/>
    <w:rsid w:val="009156A2"/>
    <w:rsid w:val="0091579A"/>
    <w:rsid w:val="0091615D"/>
    <w:rsid w:val="00923AE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D32"/>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66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3E15"/>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170C"/>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09AA"/>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C6F"/>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6AE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6A1"/>
    <w:rsid w:val="00D77D65"/>
    <w:rsid w:val="00D80448"/>
    <w:rsid w:val="00D80C4F"/>
    <w:rsid w:val="00D8149F"/>
    <w:rsid w:val="00D814FB"/>
    <w:rsid w:val="00D83D95"/>
    <w:rsid w:val="00D90293"/>
    <w:rsid w:val="00D90496"/>
    <w:rsid w:val="00D917BC"/>
    <w:rsid w:val="00D942DE"/>
    <w:rsid w:val="00D9491E"/>
    <w:rsid w:val="00D94FA3"/>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4E4"/>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54BD"/>
    <w:rsid w:val="00E76FF1"/>
    <w:rsid w:val="00E774FE"/>
    <w:rsid w:val="00E809A0"/>
    <w:rsid w:val="00E80AF7"/>
    <w:rsid w:val="00E84407"/>
    <w:rsid w:val="00E85E54"/>
    <w:rsid w:val="00E86146"/>
    <w:rsid w:val="00E86A76"/>
    <w:rsid w:val="00E87A90"/>
    <w:rsid w:val="00E904D1"/>
    <w:rsid w:val="00E92425"/>
    <w:rsid w:val="00E92AD3"/>
    <w:rsid w:val="00E93C16"/>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0F16"/>
    <w:rsid w:val="00EC3194"/>
    <w:rsid w:val="00EC518D"/>
    <w:rsid w:val="00EC71D3"/>
    <w:rsid w:val="00ED02FE"/>
    <w:rsid w:val="00ED1EC9"/>
    <w:rsid w:val="00ED3737"/>
    <w:rsid w:val="00ED3856"/>
    <w:rsid w:val="00ED3E2E"/>
    <w:rsid w:val="00ED4CC8"/>
    <w:rsid w:val="00ED6A08"/>
    <w:rsid w:val="00EE05EE"/>
    <w:rsid w:val="00EE0AE2"/>
    <w:rsid w:val="00EE2E3F"/>
    <w:rsid w:val="00EE35B4"/>
    <w:rsid w:val="00EE5643"/>
    <w:rsid w:val="00EE5CCC"/>
    <w:rsid w:val="00EE7CEC"/>
    <w:rsid w:val="00EF056E"/>
    <w:rsid w:val="00EF09B3"/>
    <w:rsid w:val="00EF0A3E"/>
    <w:rsid w:val="00EF5849"/>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4F0"/>
    <w:rsid w:val="00F13B2E"/>
    <w:rsid w:val="00F176A0"/>
    <w:rsid w:val="00F20174"/>
    <w:rsid w:val="00F22098"/>
    <w:rsid w:val="00F223BC"/>
    <w:rsid w:val="00F23780"/>
    <w:rsid w:val="00F26185"/>
    <w:rsid w:val="00F3178C"/>
    <w:rsid w:val="00F33DE5"/>
    <w:rsid w:val="00F34B8F"/>
    <w:rsid w:val="00F36D7F"/>
    <w:rsid w:val="00F37186"/>
    <w:rsid w:val="00F40D51"/>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3DD2"/>
    <w:rsid w:val="00F951DB"/>
    <w:rsid w:val="00F9574A"/>
    <w:rsid w:val="00F95D64"/>
    <w:rsid w:val="00F9793B"/>
    <w:rsid w:val="00FA0EAA"/>
    <w:rsid w:val="00FA0F53"/>
    <w:rsid w:val="00FA1DA9"/>
    <w:rsid w:val="00FA3809"/>
    <w:rsid w:val="00FA3A95"/>
    <w:rsid w:val="00FA4F70"/>
    <w:rsid w:val="00FA6D7E"/>
    <w:rsid w:val="00FB020D"/>
    <w:rsid w:val="00FB3EC4"/>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9EB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Char"/>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905</Words>
  <Characters>5164</Characters>
  <Lines>43</Lines>
  <Paragraphs>12</Paragraphs>
  <TotalTime>99</TotalTime>
  <ScaleCrop>false</ScaleCrop>
  <LinksUpToDate>false</LinksUpToDate>
  <CharactersWithSpaces>6057</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2021-09-07T01:35:00Z</dcterms:created>
  <dc:creator>Lilly</dc:creator>
  <cp:lastModifiedBy>Administrator</cp:lastModifiedBy>
  <cp:lastPrinted>2020-12-09T04:58:00Z</cp:lastPrinted>
  <dcterms:modified xsi:type="dcterms:W3CDTF">2022-04-18T08:16:57Z</dcterms:modified>
  <dc:title>生效期：</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