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2717189"/>
      <w:bookmarkStart w:id="2" w:name="_Toc483666358"/>
      <w:bookmarkStart w:id="3" w:name="_Toc483227223"/>
      <w:bookmarkStart w:id="4" w:name="_Toc483400307"/>
    </w:p>
    <w:p>
      <w:pPr>
        <w:spacing w:after="158" w:afterLines="50"/>
        <w:jc w:val="center"/>
        <w:rPr>
          <w:b/>
          <w:szCs w:val="21"/>
          <w:lang w:eastAsia="zh-CN"/>
        </w:rPr>
      </w:pPr>
      <w:r>
        <w:rPr>
          <w:rFonts w:hint="eastAsia"/>
          <w:b/>
          <w:sz w:val="28"/>
          <w:szCs w:val="28"/>
          <w:lang w:val="en-US" w:eastAsia="zh-CN"/>
        </w:rPr>
        <w:t>病毒性疫苗研究二室无菌封管</w:t>
      </w:r>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45"/>
        <w:keepNext w:val="0"/>
        <w:keepLines w:val="0"/>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Fonts w:hint="eastAsia"/>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Fonts w:hint="eastAsia"/>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Fonts w:hint="eastAsia"/>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Fonts w:hint="eastAsia"/>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Fonts w:hint="eastAsia"/>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44"/>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hint="eastAsia" w:ascii="Times New Roman" w:hAnsi="Times New Roman"/>
          <w:b/>
        </w:rPr>
        <w:t>目的</w:t>
      </w:r>
      <w:bookmarkEnd w:id="5"/>
      <w:bookmarkEnd w:id="6"/>
    </w:p>
    <w:p>
      <w:pPr>
        <w:pStyle w:val="53"/>
        <w:spacing w:before="0" w:line="360" w:lineRule="auto"/>
        <w:ind w:left="357"/>
        <w:jc w:val="left"/>
        <w:rPr>
          <w:szCs w:val="21"/>
          <w:lang w:eastAsia="zh-CN"/>
        </w:rPr>
      </w:pPr>
      <w:bookmarkStart w:id="7" w:name="_Toc482360281"/>
      <w:bookmarkStart w:id="8" w:name="_Toc482370141"/>
      <w:bookmarkStart w:id="9" w:name="_Toc482370757"/>
      <w:bookmarkStart w:id="10" w:name="_Toc482359936"/>
      <w:bookmarkStart w:id="11" w:name="_Toc482369805"/>
      <w:bookmarkStart w:id="12" w:name="_Toc482625279"/>
      <w:bookmarkStart w:id="13" w:name="_Toc481702475"/>
      <w:bookmarkStart w:id="14" w:name="_Toc482370061"/>
      <w:bookmarkStart w:id="15" w:name="_Toc482370349"/>
      <w:r>
        <w:rPr>
          <w:rFonts w:hint="eastAsia"/>
          <w:szCs w:val="21"/>
          <w:lang w:eastAsia="zh-CN"/>
        </w:rPr>
        <w:t>本文件的目的是描述武汉生物制品研究所有限责任公司病毒性疫苗研究二室无菌封管机的用户需求说明（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53"/>
        <w:spacing w:before="0"/>
        <w:ind w:left="360"/>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hint="eastAsia" w:ascii="Times New Roman" w:hAnsi="Times New Roman"/>
          <w:b/>
        </w:rPr>
        <w:t>范围</w:t>
      </w:r>
      <w:bookmarkEnd w:id="16"/>
      <w:bookmarkEnd w:id="17"/>
    </w:p>
    <w:p>
      <w:pPr>
        <w:pStyle w:val="53"/>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适用于武汉生物制品研究所有限责任公司病毒性疫苗研究二室无菌封管机。</w:t>
      </w:r>
      <w:bookmarkEnd w:id="7"/>
      <w:bookmarkEnd w:id="8"/>
      <w:bookmarkEnd w:id="9"/>
      <w:bookmarkEnd w:id="10"/>
      <w:bookmarkEnd w:id="11"/>
      <w:bookmarkEnd w:id="12"/>
      <w:bookmarkEnd w:id="13"/>
      <w:bookmarkEnd w:id="14"/>
      <w:bookmarkEnd w:id="15"/>
    </w:p>
    <w:p>
      <w:pPr>
        <w:pStyle w:val="53"/>
        <w:spacing w:before="0" w:line="360" w:lineRule="auto"/>
        <w:ind w:left="357"/>
        <w:jc w:val="left"/>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hint="eastAsia" w:ascii="Times New Roman" w:hAnsi="Times New Roman"/>
          <w:b/>
        </w:rPr>
        <w:t>参考文件</w:t>
      </w:r>
      <w:bookmarkEnd w:id="18"/>
      <w:bookmarkEnd w:id="19"/>
    </w:p>
    <w:p>
      <w:pPr>
        <w:pStyle w:val="53"/>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53"/>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53"/>
        <w:numPr>
          <w:ilvl w:val="0"/>
          <w:numId w:val="5"/>
        </w:numPr>
        <w:spacing w:before="0" w:line="360" w:lineRule="auto"/>
        <w:ind w:left="777"/>
        <w:jc w:val="left"/>
        <w:rPr>
          <w:iCs/>
          <w:szCs w:val="21"/>
          <w:lang w:val="zh-CN" w:eastAsia="zh-CN"/>
        </w:rPr>
      </w:pPr>
      <w:r>
        <w:rPr>
          <w:rFonts w:hint="eastAsia"/>
          <w:iCs/>
          <w:szCs w:val="21"/>
          <w:lang w:val="zh-CN" w:eastAsia="zh-CN"/>
        </w:rPr>
        <w:t>《中国药典》（</w:t>
      </w:r>
      <w:r>
        <w:rPr>
          <w:rFonts w:hint="eastAsia"/>
          <w:iCs/>
          <w:szCs w:val="21"/>
          <w:lang w:eastAsia="zh-CN"/>
        </w:rPr>
        <w:t>2020</w:t>
      </w:r>
      <w:r>
        <w:rPr>
          <w:rFonts w:hint="eastAsia"/>
          <w:iCs/>
          <w:szCs w:val="21"/>
          <w:lang w:val="zh-CN" w:eastAsia="zh-CN"/>
        </w:rPr>
        <w:t>版）</w:t>
      </w:r>
    </w:p>
    <w:p>
      <w:pPr>
        <w:pStyle w:val="53"/>
        <w:numPr>
          <w:ilvl w:val="0"/>
          <w:numId w:val="5"/>
        </w:numPr>
        <w:spacing w:before="0" w:line="360" w:lineRule="auto"/>
        <w:ind w:left="777"/>
        <w:jc w:val="left"/>
        <w:rPr>
          <w:iCs/>
          <w:szCs w:val="21"/>
          <w:lang w:val="zh-CN" w:eastAsia="zh-CN"/>
        </w:rPr>
      </w:pPr>
      <w:r>
        <w:rPr>
          <w:rFonts w:hint="eastAsia"/>
          <w:iCs/>
          <w:szCs w:val="21"/>
          <w:lang w:val="zh-CN" w:eastAsia="zh-CN"/>
        </w:rPr>
        <w:t>《药品生产质量管理规范》（</w:t>
      </w:r>
      <w:r>
        <w:rPr>
          <w:iCs/>
          <w:szCs w:val="21"/>
          <w:lang w:val="zh-CN" w:eastAsia="zh-CN"/>
        </w:rPr>
        <w:t>2010</w:t>
      </w:r>
      <w:r>
        <w:rPr>
          <w:rFonts w:hint="eastAsia"/>
          <w:iCs/>
          <w:szCs w:val="21"/>
          <w:lang w:val="zh-CN" w:eastAsia="zh-CN"/>
        </w:rPr>
        <w:t>修订版）</w:t>
      </w:r>
    </w:p>
    <w:p>
      <w:pPr>
        <w:pStyle w:val="53"/>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1</w:t>
      </w:r>
      <w:r>
        <w:rPr>
          <w:rFonts w:hint="eastAsia"/>
          <w:iCs/>
          <w:szCs w:val="21"/>
          <w:lang w:val="zh-CN" w:eastAsia="zh-CN"/>
        </w:rPr>
        <w:t>《计算机化系统》（</w:t>
      </w:r>
      <w:r>
        <w:rPr>
          <w:iCs/>
          <w:szCs w:val="21"/>
          <w:lang w:val="zh-CN" w:eastAsia="zh-CN"/>
        </w:rPr>
        <w:t>2015</w:t>
      </w:r>
      <w:r>
        <w:rPr>
          <w:rFonts w:hint="eastAsia"/>
          <w:iCs/>
          <w:szCs w:val="21"/>
          <w:lang w:val="zh-CN" w:eastAsia="zh-CN"/>
        </w:rPr>
        <w:t>版）</w:t>
      </w:r>
    </w:p>
    <w:p>
      <w:pPr>
        <w:pStyle w:val="53"/>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2</w:t>
      </w:r>
      <w:r>
        <w:rPr>
          <w:rFonts w:hint="eastAsia"/>
          <w:iCs/>
          <w:szCs w:val="21"/>
          <w:lang w:val="zh-CN" w:eastAsia="zh-CN"/>
        </w:rPr>
        <w:t>《确认与验证》（</w:t>
      </w:r>
      <w:r>
        <w:rPr>
          <w:iCs/>
          <w:szCs w:val="21"/>
          <w:lang w:val="zh-CN" w:eastAsia="zh-CN"/>
        </w:rPr>
        <w:t>2015</w:t>
      </w:r>
      <w:r>
        <w:rPr>
          <w:rFonts w:hint="eastAsia"/>
          <w:iCs/>
          <w:szCs w:val="21"/>
          <w:lang w:val="zh-CN" w:eastAsia="zh-CN"/>
        </w:rPr>
        <w:t>版）</w:t>
      </w:r>
    </w:p>
    <w:p>
      <w:pPr>
        <w:pStyle w:val="53"/>
        <w:numPr>
          <w:ilvl w:val="0"/>
          <w:numId w:val="5"/>
        </w:numPr>
        <w:spacing w:before="0" w:line="360" w:lineRule="auto"/>
        <w:ind w:left="777"/>
        <w:jc w:val="left"/>
        <w:rPr>
          <w:color w:val="000000"/>
          <w:szCs w:val="21"/>
          <w:lang w:val="zh-TW" w:eastAsia="zh-TW"/>
        </w:rPr>
      </w:pPr>
      <w:r>
        <w:rPr>
          <w:color w:val="000000"/>
          <w:szCs w:val="21"/>
          <w:lang w:val="zh-TW" w:eastAsia="zh-TW"/>
        </w:rPr>
        <w:t>21CFR Part11</w:t>
      </w:r>
    </w:p>
    <w:p>
      <w:pPr>
        <w:pStyle w:val="53"/>
        <w:numPr>
          <w:ilvl w:val="0"/>
          <w:numId w:val="5"/>
        </w:numPr>
        <w:spacing w:before="0" w:line="360" w:lineRule="auto"/>
        <w:ind w:left="777"/>
        <w:jc w:val="left"/>
        <w:rPr>
          <w:i/>
          <w:color w:val="4472C4"/>
          <w:szCs w:val="21"/>
          <w:lang w:eastAsia="zh-CN"/>
        </w:rPr>
      </w:pPr>
      <w:r>
        <w:rPr>
          <w:color w:val="000000"/>
          <w:szCs w:val="21"/>
          <w:lang w:val="zh-TW" w:eastAsia="zh-TW"/>
        </w:rPr>
        <w:t>GAMP5</w:t>
      </w:r>
    </w:p>
    <w:p>
      <w:pPr>
        <w:pStyle w:val="53"/>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53"/>
        <w:numPr>
          <w:ilvl w:val="0"/>
          <w:numId w:val="5"/>
        </w:numPr>
        <w:spacing w:before="0" w:line="360" w:lineRule="auto"/>
        <w:ind w:left="777"/>
        <w:jc w:val="left"/>
        <w:rPr>
          <w:i/>
          <w:color w:val="0070C0"/>
          <w:szCs w:val="21"/>
          <w:lang w:eastAsia="zh-CN"/>
        </w:rPr>
      </w:pPr>
      <w:r>
        <w:rPr>
          <w:rFonts w:hint="eastAsia"/>
          <w:color w:val="000000"/>
          <w:szCs w:val="21"/>
          <w:lang w:eastAsia="zh-CN"/>
        </w:rPr>
        <w:t>电气安全应符合</w:t>
      </w:r>
      <w:r>
        <w:rPr>
          <w:color w:val="000000"/>
          <w:szCs w:val="21"/>
          <w:lang w:eastAsia="zh-CN"/>
        </w:rPr>
        <w:t>GB4793.1</w:t>
      </w:r>
      <w:r>
        <w:rPr>
          <w:rFonts w:hint="eastAsia"/>
          <w:color w:val="000000"/>
          <w:szCs w:val="21"/>
          <w:lang w:eastAsia="zh-CN"/>
        </w:rPr>
        <w:t>和</w:t>
      </w:r>
      <w:r>
        <w:rPr>
          <w:color w:val="000000"/>
          <w:szCs w:val="21"/>
          <w:lang w:eastAsia="zh-CN"/>
        </w:rPr>
        <w:t>GB4793.4</w:t>
      </w:r>
      <w:r>
        <w:rPr>
          <w:rFonts w:hint="eastAsia"/>
          <w:color w:val="000000"/>
          <w:szCs w:val="21"/>
          <w:lang w:eastAsia="zh-CN"/>
        </w:rPr>
        <w:t>的要求。</w:t>
      </w:r>
    </w:p>
    <w:p>
      <w:pPr>
        <w:pStyle w:val="53"/>
        <w:spacing w:before="0" w:line="360" w:lineRule="auto"/>
        <w:jc w:val="left"/>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hint="eastAsia" w:ascii="Times New Roman" w:hAnsi="Times New Roman"/>
          <w:b/>
        </w:rPr>
        <w:t>系统描述</w:t>
      </w:r>
      <w:bookmarkEnd w:id="20"/>
      <w:bookmarkEnd w:id="21"/>
    </w:p>
    <w:p>
      <w:pPr>
        <w:pStyle w:val="7"/>
        <w:spacing w:line="360" w:lineRule="auto"/>
        <w:ind w:left="425"/>
        <w:rPr>
          <w:rFonts w:ascii="宋体" w:hAnsi="宋体"/>
          <w:b/>
          <w:sz w:val="24"/>
          <w:lang w:eastAsia="zh-CN"/>
        </w:rPr>
      </w:pPr>
      <w:bookmarkStart w:id="22" w:name="_Toc522716120"/>
      <w:r>
        <w:rPr>
          <w:rFonts w:hint="eastAsia"/>
          <w:sz w:val="24"/>
          <w:szCs w:val="24"/>
          <w:lang w:val="en-US" w:eastAsia="zh-CN"/>
        </w:rPr>
        <w:t>病毒性疫苗研究二室拟购置两</w:t>
      </w:r>
      <w:bookmarkStart w:id="47" w:name="_GoBack"/>
      <w:bookmarkEnd w:id="47"/>
      <w:r>
        <w:rPr>
          <w:rFonts w:hint="eastAsia"/>
          <w:sz w:val="24"/>
          <w:szCs w:val="24"/>
          <w:lang w:val="en-US" w:eastAsia="zh-CN"/>
        </w:rPr>
        <w:t>台无菌封管机</w:t>
      </w:r>
      <w:r>
        <w:rPr>
          <w:rFonts w:hint="eastAsia" w:ascii="宋体" w:hAnsi="宋体"/>
          <w:sz w:val="24"/>
          <w:szCs w:val="24"/>
          <w:lang w:eastAsia="zh-CN"/>
        </w:rPr>
        <w:t>，用于</w:t>
      </w:r>
      <w:r>
        <w:rPr>
          <w:rFonts w:hint="eastAsia" w:ascii="宋体" w:hAnsi="宋体"/>
          <w:sz w:val="24"/>
          <w:szCs w:val="24"/>
          <w:lang w:val="en-US" w:eastAsia="zh-CN"/>
        </w:rPr>
        <w:t>热</w:t>
      </w:r>
      <w:r>
        <w:rPr>
          <w:rFonts w:hint="eastAsia" w:ascii="宋体" w:hAnsi="宋体"/>
          <w:sz w:val="24"/>
          <w:lang w:val="en-US" w:eastAsia="zh-CN"/>
        </w:rPr>
        <w:t>塑管封口</w:t>
      </w:r>
      <w:r>
        <w:rPr>
          <w:rFonts w:hint="eastAsia" w:ascii="宋体" w:hAnsi="宋体"/>
          <w:sz w:val="24"/>
          <w:lang w:eastAsia="zh-CN"/>
        </w:rPr>
        <w:t>。</w:t>
      </w:r>
    </w:p>
    <w:p>
      <w:pPr>
        <w:pStyle w:val="44"/>
        <w:numPr>
          <w:ilvl w:val="0"/>
          <w:numId w:val="3"/>
        </w:numPr>
        <w:spacing w:after="158" w:afterLines="50"/>
        <w:ind w:left="426" w:hanging="426" w:hangingChars="202"/>
        <w:outlineLvl w:val="0"/>
        <w:rPr>
          <w:rFonts w:ascii="Times New Roman" w:hAnsi="Times New Roman"/>
          <w:szCs w:val="21"/>
        </w:rPr>
      </w:pPr>
      <w:r>
        <w:rPr>
          <w:rFonts w:hint="eastAsia" w:ascii="Times New Roman" w:hAnsi="Times New Roman"/>
          <w:b/>
          <w:szCs w:val="21"/>
        </w:rPr>
        <w:t>安装要求</w:t>
      </w:r>
      <w:bookmarkEnd w:id="22"/>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hint="eastAsia"/>
                <w:color w:val="000000" w:themeColor="text1"/>
                <w:szCs w:val="21"/>
                <w:lang w:val="en-US" w:eastAsia="zh-CN"/>
                <w14:textFill>
                  <w14:solidFill>
                    <w14:schemeClr w14:val="tx1"/>
                  </w14:solidFill>
                </w14:textFill>
              </w:rPr>
              <w:t>105车间2</w:t>
            </w:r>
            <w:r>
              <w:rPr>
                <w:rFonts w:hint="eastAsia"/>
                <w:color w:val="000000" w:themeColor="text1"/>
                <w:szCs w:val="21"/>
                <w:lang w:eastAsia="zh-CN"/>
                <w14:textFill>
                  <w14:solidFill>
                    <w14:schemeClr w14:val="tx1"/>
                  </w14:solidFill>
                </w14:textFill>
              </w:rPr>
              <w:t>楼细胞流感中试车间</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可置于桌面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不超过6KG</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szCs w:val="22"/>
                <w:lang w:eastAsia="zh-CN"/>
              </w:rPr>
              <w:t>适用于我公司工作环境温度：</w:t>
            </w:r>
            <w:r>
              <w:rPr>
                <w:color w:val="000000"/>
                <w:szCs w:val="22"/>
                <w:lang w:val="en-US" w:eastAsia="zh-CN"/>
              </w:rPr>
              <w:t>15-3</w:t>
            </w:r>
            <w:r>
              <w:rPr>
                <w:rFonts w:hint="eastAsia"/>
                <w:color w:val="000000"/>
                <w:szCs w:val="22"/>
                <w:lang w:val="en-US" w:eastAsia="zh-CN"/>
              </w:rPr>
              <w:t>5℃。</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lang w:eastAsia="zh-CN"/>
              </w:rPr>
              <w:t>适用于我公司工作环境湿度：</w:t>
            </w:r>
            <w:r>
              <w:rPr>
                <w:rFonts w:hint="eastAsia"/>
                <w:color w:val="000000"/>
                <w:lang w:val="en-US" w:eastAsia="zh-CN"/>
              </w:rPr>
              <w:t>35</w:t>
            </w:r>
            <w:r>
              <w:rPr>
                <w:color w:val="000000"/>
                <w:lang w:val="en-US" w:eastAsia="zh-CN"/>
              </w:rPr>
              <w:t>%-</w:t>
            </w:r>
            <w:r>
              <w:rPr>
                <w:rFonts w:hint="eastAsia"/>
                <w:color w:val="000000"/>
                <w:lang w:val="en-US" w:eastAsia="zh-CN"/>
              </w:rPr>
              <w:t>65</w:t>
            </w:r>
            <w:r>
              <w:rPr>
                <w:color w:val="000000"/>
                <w:lang w:val="en-US" w:eastAsia="zh-CN"/>
              </w:rPr>
              <w:t>%</w:t>
            </w:r>
            <w:r>
              <w:rPr>
                <w:rFonts w:hint="eastAsia"/>
                <w:color w:val="000000"/>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适用于我公司工作环境洁净级别：无特殊要求。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适用于我公司交流电电源供电：～220±10%V，50±1Hz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0000"/>
                <w:lang w:eastAsia="zh-CN"/>
              </w:rPr>
            </w:pPr>
            <w:r>
              <w:rPr>
                <w:rFonts w:hint="eastAsia"/>
                <w:szCs w:val="21"/>
                <w:lang w:val="en-US" w:eastAsia="zh-CN"/>
              </w:rPr>
              <w:t>整机外壳应光滑易清洁。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 xml:space="preserve">标识：至少应有以下永久贴牢和清楚易认的标识： </w:t>
            </w:r>
          </w:p>
          <w:p>
            <w:pPr>
              <w:spacing w:line="276" w:lineRule="auto"/>
              <w:jc w:val="both"/>
              <w:rPr>
                <w:szCs w:val="21"/>
                <w:lang w:val="en-US" w:eastAsia="zh-CN"/>
              </w:rPr>
            </w:pPr>
            <w:r>
              <w:rPr>
                <w:rFonts w:hint="eastAsia"/>
                <w:szCs w:val="21"/>
                <w:lang w:val="en-US" w:eastAsia="zh-CN"/>
              </w:rPr>
              <w:t>（1）制造/供应单位；</w:t>
            </w:r>
          </w:p>
          <w:p>
            <w:pPr>
              <w:spacing w:line="276" w:lineRule="auto"/>
              <w:jc w:val="both"/>
              <w:rPr>
                <w:szCs w:val="21"/>
                <w:lang w:val="en-US" w:eastAsia="zh-CN"/>
              </w:rPr>
            </w:pPr>
            <w:r>
              <w:rPr>
                <w:rFonts w:hint="eastAsia"/>
                <w:szCs w:val="21"/>
                <w:lang w:val="en-US" w:eastAsia="zh-CN"/>
              </w:rPr>
              <w:t>（2）产品注册号；</w:t>
            </w:r>
          </w:p>
          <w:p>
            <w:pPr>
              <w:spacing w:line="276" w:lineRule="auto"/>
              <w:jc w:val="both"/>
              <w:rPr>
                <w:szCs w:val="21"/>
                <w:lang w:val="en-US" w:eastAsia="zh-CN"/>
              </w:rPr>
            </w:pPr>
            <w:r>
              <w:rPr>
                <w:rFonts w:hint="eastAsia"/>
                <w:szCs w:val="21"/>
                <w:lang w:val="en-US" w:eastAsia="zh-CN"/>
              </w:rPr>
              <w:t>（3）型号；</w:t>
            </w:r>
          </w:p>
          <w:p>
            <w:pPr>
              <w:spacing w:line="276" w:lineRule="auto"/>
              <w:jc w:val="both"/>
              <w:rPr>
                <w:szCs w:val="21"/>
                <w:lang w:val="en-US" w:eastAsia="zh-CN"/>
              </w:rPr>
            </w:pPr>
            <w:r>
              <w:rPr>
                <w:rFonts w:hint="eastAsia"/>
                <w:szCs w:val="21"/>
                <w:lang w:val="en-US" w:eastAsia="zh-CN"/>
              </w:rPr>
              <w:t>（4）生产日期或编号；</w:t>
            </w:r>
          </w:p>
          <w:p>
            <w:pPr>
              <w:spacing w:line="276" w:lineRule="auto"/>
              <w:jc w:val="both"/>
              <w:rPr>
                <w:szCs w:val="21"/>
                <w:lang w:val="en-US" w:eastAsia="zh-CN"/>
              </w:rPr>
            </w:pPr>
            <w:r>
              <w:rPr>
                <w:rFonts w:hint="eastAsia"/>
                <w:szCs w:val="21"/>
                <w:lang w:val="en-US" w:eastAsia="zh-CN"/>
              </w:rPr>
              <w:t>（5）对设备必要的说明；</w:t>
            </w:r>
          </w:p>
          <w:p>
            <w:pPr>
              <w:spacing w:line="276" w:lineRule="auto"/>
              <w:jc w:val="both"/>
              <w:rPr>
                <w:color w:val="0070C0"/>
                <w:szCs w:val="21"/>
                <w:lang w:eastAsia="zh-CN"/>
              </w:rPr>
            </w:pPr>
            <w:r>
              <w:rPr>
                <w:rFonts w:hint="eastAsia"/>
                <w:szCs w:val="21"/>
                <w:lang w:val="en-US" w:eastAsia="zh-CN"/>
              </w:rPr>
              <w:t>（6）安全标识。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tbl>
    <w:p>
      <w:pPr>
        <w:pStyle w:val="44"/>
        <w:spacing w:after="158" w:afterLines="50"/>
        <w:ind w:left="425" w:firstLine="0" w:firstLineChars="0"/>
        <w:rPr>
          <w:rFonts w:ascii="Times New Roman" w:hAnsi="Times New Roman"/>
          <w:szCs w:val="21"/>
        </w:rPr>
      </w:pPr>
    </w:p>
    <w:p>
      <w:pPr>
        <w:pStyle w:val="44"/>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hint="eastAsia" w:ascii="Times New Roman" w:hAnsi="Times New Roman"/>
          <w:b/>
        </w:rPr>
        <w:t>运行要求</w:t>
      </w:r>
      <w:bookmarkEnd w:id="25"/>
      <w:bookmarkEnd w:id="26"/>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lang w:eastAsia="zh-CN"/>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ascii="宋体" w:hAnsi="宋体"/>
                <w:lang w:eastAsia="zh-CN"/>
              </w:rPr>
              <w:t>可保证</w:t>
            </w:r>
            <w:r>
              <w:rPr>
                <w:rFonts w:hint="eastAsia" w:ascii="宋体" w:hAnsi="宋体"/>
                <w:lang w:val="en-US" w:eastAsia="zh-CN"/>
              </w:rPr>
              <w:t>无菌封管机</w:t>
            </w:r>
            <w:r>
              <w:rPr>
                <w:rFonts w:hint="eastAsia" w:ascii="宋体" w:hAnsi="宋体"/>
                <w:lang w:eastAsia="zh-CN"/>
              </w:rPr>
              <w:t>连续、安全、可靠运行。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热封时间：2-4min,根据管路尺寸有所不同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适用管路的型号：TEP材质焊接管（圣戈班C-Flex374和082系列）</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适用管路的规格：外径6.4mm-19.1mm(1/4-3/4)</w:t>
            </w:r>
          </w:p>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壁厚1.6mm-3.2mm(1/16-1/8)</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color w:val="000000"/>
                <w:sz w:val="21"/>
                <w:szCs w:val="24"/>
                <w:lang w:val="en-US" w:eastAsia="zh-CN"/>
              </w:rPr>
            </w:pPr>
            <w:r>
              <w:rPr>
                <w:rFonts w:hint="eastAsia" w:ascii="宋体" w:hAnsi="宋体" w:cs="宋体"/>
                <w:color w:val="000000"/>
                <w:sz w:val="21"/>
                <w:szCs w:val="24"/>
                <w:lang w:val="en-US" w:eastAsia="zh-CN"/>
              </w:rPr>
              <w:t>外形尺寸不超过：310*160*270mm（L*W*H）</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使用环境：环境温度20~35</w:t>
            </w:r>
            <w:r>
              <w:rPr>
                <w:rFonts w:hint="eastAsia" w:ascii="宋体" w:hAnsi="宋体" w:cs="宋体"/>
                <w:color w:val="000000"/>
                <w:sz w:val="21"/>
                <w:szCs w:val="24"/>
                <w:lang w:val="en-US" w:eastAsia="zh-CN"/>
              </w:rPr>
              <w:t>℃；湿度35~65%RH</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4"/>
                <w:lang w:val="en-US" w:eastAsia="zh-CN"/>
              </w:rPr>
            </w:pPr>
            <w:r>
              <w:rPr>
                <w:rFonts w:hint="eastAsia" w:ascii="宋体" w:hAnsi="宋体" w:cs="宋体"/>
                <w:szCs w:val="24"/>
                <w:lang w:val="en-US" w:eastAsia="zh-CN"/>
              </w:rPr>
              <w:t>材质：底座：S304不锈钢；焊接头：硬铝</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4"/>
                <w:lang w:val="en-US" w:eastAsia="zh-CN"/>
              </w:rPr>
            </w:pPr>
            <w:r>
              <w:rPr>
                <w:rFonts w:hint="eastAsia" w:ascii="宋体" w:hAnsi="宋体" w:cs="宋体"/>
                <w:szCs w:val="24"/>
                <w:lang w:val="en-US" w:eastAsia="zh-CN"/>
              </w:rPr>
              <w:t>机械旋钮一键调整壁厚，一键式启动操作</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szCs w:val="24"/>
                <w:lang w:val="en-US" w:eastAsia="zh-CN"/>
              </w:rPr>
            </w:pPr>
            <w:r>
              <w:rPr>
                <w:rFonts w:hint="eastAsia" w:ascii="宋体"/>
                <w:szCs w:val="24"/>
                <w:lang w:val="en-US" w:eastAsia="zh-CN"/>
              </w:rPr>
              <w:t>无菌封管机可选择移动式密封头</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hAnsi="宋体" w:cs="宋体"/>
                <w:szCs w:val="24"/>
                <w:lang w:val="en-US" w:eastAsia="zh-CN"/>
              </w:rPr>
            </w:pPr>
            <w:r>
              <w:rPr>
                <w:rFonts w:hint="eastAsia" w:ascii="宋体" w:hAnsi="宋体" w:cs="宋体"/>
                <w:bCs/>
                <w:szCs w:val="24"/>
                <w:lang w:val="en-US" w:eastAsia="zh-CN"/>
              </w:rPr>
              <w:t>管路</w:t>
            </w:r>
            <w:r>
              <w:rPr>
                <w:rFonts w:hint="eastAsia" w:ascii="宋体" w:hAnsi="宋体" w:cs="宋体"/>
                <w:bCs/>
                <w:szCs w:val="24"/>
                <w:lang w:eastAsia="zh-CN"/>
              </w:rPr>
              <w:t>封闭完成后管路可承受1.0 Bar的压力，无渗漏</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hAnsi="宋体" w:cs="宋体"/>
                <w:szCs w:val="24"/>
                <w:lang w:val="en-US" w:eastAsia="zh-CN"/>
              </w:rPr>
            </w:pPr>
            <w:r>
              <w:rPr>
                <w:rFonts w:hint="eastAsia" w:ascii="宋体" w:hAnsi="宋体" w:cs="宋体"/>
                <w:bCs/>
                <w:szCs w:val="24"/>
                <w:lang w:eastAsia="zh-CN"/>
              </w:rPr>
              <w:t>具备降温功能，且降温后温度＜6</w:t>
            </w:r>
            <w:r>
              <w:rPr>
                <w:rFonts w:hint="eastAsia" w:ascii="宋体" w:hAnsi="宋体" w:cs="宋体"/>
                <w:bCs/>
                <w:szCs w:val="24"/>
                <w:lang w:val="en-US" w:eastAsia="zh-CN"/>
              </w:rPr>
              <w:t>5</w:t>
            </w:r>
            <w:r>
              <w:rPr>
                <w:rFonts w:hint="eastAsia" w:ascii="宋体" w:hAnsi="宋体" w:cs="宋体"/>
                <w:bCs/>
                <w:szCs w:val="24"/>
                <w:lang w:eastAsia="zh-CN"/>
              </w:rPr>
              <w:t>℃。具备温度监测及保护功能，确保降至规定温度以下后才可接触管路和设备</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hAnsi="宋体" w:cs="宋体"/>
                <w:szCs w:val="24"/>
                <w:lang w:val="en-US" w:eastAsia="zh-CN"/>
              </w:rPr>
            </w:pPr>
            <w:r>
              <w:rPr>
                <w:rFonts w:hint="eastAsia" w:ascii="宋体" w:hAnsi="宋体" w:cs="宋体"/>
                <w:bCs/>
                <w:szCs w:val="24"/>
                <w:lang w:eastAsia="zh-CN"/>
              </w:rPr>
              <w:t>降温模块如为风机吹风降温模式，需有防尘或便于除尘的设计，可避免在开放环境下设备内部积尘</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hAnsi="宋体" w:cs="宋体"/>
                <w:szCs w:val="24"/>
                <w:lang w:val="en-US" w:eastAsia="zh-CN"/>
              </w:rPr>
            </w:pPr>
            <w:r>
              <w:rPr>
                <w:rFonts w:hint="eastAsia" w:ascii="宋体" w:hAnsi="宋体" w:cs="宋体"/>
                <w:bCs/>
                <w:szCs w:val="24"/>
                <w:lang w:val="en-US" w:eastAsia="zh-CN"/>
              </w:rPr>
              <w:t>设备拥有挡位切换功能，可有不同温度挡位。</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hAnsi="宋体" w:cs="宋体"/>
                <w:szCs w:val="24"/>
                <w:lang w:val="en-US" w:eastAsia="zh-CN"/>
              </w:rPr>
            </w:pPr>
            <w:r>
              <w:rPr>
                <w:rFonts w:hint="eastAsia" w:ascii="宋体" w:hAnsi="宋体" w:cs="宋体"/>
                <w:bCs/>
                <w:szCs w:val="24"/>
                <w:lang w:eastAsia="zh-CN"/>
              </w:rPr>
              <w:t>具备提示功能，在封闭完成或降温完成后，提示可以将热封的管路取出。</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
        </w:tc>
        <w:tc>
          <w:tcPr>
            <w:tcW w:w="9253" w:type="dxa"/>
            <w:gridSpan w:val="2"/>
            <w:vAlign w:val="center"/>
          </w:tcPr>
          <w:p>
            <w:pPr>
              <w:jc w:val="both"/>
              <w:rPr>
                <w:szCs w:val="21"/>
                <w:lang w:eastAsia="zh-CN"/>
              </w:rPr>
            </w:pPr>
            <w:r>
              <w:rPr>
                <w:szCs w:val="21"/>
                <w:lang w:eastAsia="zh-CN"/>
              </w:rPr>
              <w:t>N/A</w:t>
            </w:r>
          </w:p>
        </w:tc>
      </w:tr>
    </w:tbl>
    <w:p>
      <w:pPr>
        <w:pStyle w:val="44"/>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071"/>
      <w:bookmarkStart w:id="30" w:name="_Toc482370767"/>
      <w:bookmarkStart w:id="31" w:name="_Toc483227237"/>
      <w:bookmarkStart w:id="32" w:name="_Toc482360291"/>
      <w:bookmarkStart w:id="33" w:name="_Toc482369815"/>
      <w:bookmarkStart w:id="34" w:name="_Toc482370151"/>
      <w:bookmarkStart w:id="35" w:name="_Toc483400317"/>
      <w:bookmarkStart w:id="36" w:name="_Toc482370359"/>
      <w:bookmarkStart w:id="37" w:name="_Toc482625289"/>
      <w:bookmarkStart w:id="38" w:name="_Toc481702480"/>
      <w:bookmarkStart w:id="39" w:name="_Toc482717202"/>
      <w:bookmarkStart w:id="40" w:name="_Toc482359946"/>
      <w:r>
        <w:rPr>
          <w:rFonts w:hint="eastAsia" w:ascii="Times New Roman" w:hAnsi="Times New Roman"/>
          <w:b/>
        </w:rPr>
        <w:t>电气、自动控制要求</w:t>
      </w:r>
      <w:bookmarkEnd w:id="2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44"/>
              <w:ind w:left="470"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
        </w:tc>
        <w:tc>
          <w:tcPr>
            <w:tcW w:w="9253" w:type="dxa"/>
            <w:gridSpan w:val="2"/>
            <w:vAlign w:val="center"/>
          </w:tcPr>
          <w:p>
            <w:pPr>
              <w:jc w:val="both"/>
              <w:rPr>
                <w:szCs w:val="21"/>
                <w:lang w:eastAsia="zh-CN"/>
              </w:rPr>
            </w:pPr>
            <w:r>
              <w:rPr>
                <w:szCs w:val="21"/>
                <w:lang w:eastAsia="zh-CN"/>
              </w:rPr>
              <w:t>N/A</w:t>
            </w:r>
          </w:p>
        </w:tc>
      </w:tr>
    </w:tbl>
    <w:p>
      <w:pPr>
        <w:pStyle w:val="44"/>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气安全应符合G</w:t>
            </w:r>
            <w:r>
              <w:rPr>
                <w:szCs w:val="21"/>
                <w:lang w:eastAsia="zh-CN"/>
              </w:rPr>
              <w:t>B4793.1</w:t>
            </w:r>
            <w:r>
              <w:rPr>
                <w:rFonts w:hint="eastAsia"/>
                <w:szCs w:val="21"/>
                <w:lang w:eastAsia="zh-CN"/>
              </w:rPr>
              <w:t>和4793.4的要求。</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hint="eastAsia" w:ascii="Times New Roman" w:hAnsi="Times New Roman"/>
          <w:b/>
        </w:rPr>
        <w:t>文件要求</w:t>
      </w:r>
      <w:bookmarkEnd w:id="42"/>
      <w:bookmarkEnd w:id="43"/>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 </w:t>
            </w:r>
            <w:r>
              <w:rPr>
                <w:rFonts w:hint="eastAsia"/>
                <w:szCs w:val="21"/>
                <w:lang w:eastAsia="zh-CN"/>
              </w:rPr>
              <w:t>整机运行及维护手册应为中文，纸质文件至少一式三份，</w:t>
            </w:r>
            <w:r>
              <w:rPr>
                <w:rFonts w:hint="eastAsia" w:hAnsi="宋体"/>
                <w:sz w:val="24"/>
                <w:u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w:t>
            </w:r>
            <w:r>
              <w:rPr>
                <w:rFonts w:hint="eastAsia" w:ascii="宋体" w:hAnsi="宋体" w:cs="宋体"/>
                <w:szCs w:val="21"/>
                <w:lang w:val="en-US" w:eastAsia="zh-CN"/>
              </w:rPr>
              <w:t>原厂或者中国区总代理授权书，</w:t>
            </w:r>
            <w:r>
              <w:rPr>
                <w:rFonts w:hint="eastAsia" w:ascii="宋体" w:hAnsi="宋体" w:cs="宋体"/>
                <w:szCs w:val="21"/>
                <w:lang w:eastAsia="zh-CN"/>
              </w:rPr>
              <w:t>合同、订单及</w:t>
            </w:r>
            <w:r>
              <w:rPr>
                <w:rFonts w:hint="eastAsia" w:ascii="宋体" w:hAnsi="宋体" w:cs="宋体"/>
                <w:szCs w:val="21"/>
                <w:u w:color="333333"/>
                <w:lang w:val="zh-TW" w:eastAsia="zh-CN"/>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CN"/>
              </w:rPr>
              <w:t>设计选型文件：软硬件功能说明、设计说明、配置清单与说明。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w:t>
            </w:r>
          </w:p>
          <w:p>
            <w:pPr>
              <w:jc w:val="both"/>
              <w:rPr>
                <w:szCs w:val="21"/>
                <w:lang w:eastAsia="zh-CN"/>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CN"/>
              </w:rPr>
              <w:t>设备操作手册（</w:t>
            </w:r>
            <w:r>
              <w:rPr>
                <w:szCs w:val="21"/>
                <w:u w:color="333333"/>
                <w:lang w:eastAsia="zh-CN"/>
              </w:rPr>
              <w:t>SOP</w:t>
            </w:r>
            <w:r>
              <w:rPr>
                <w:rFonts w:hint="eastAsia" w:hAnsi="宋体"/>
                <w:szCs w:val="21"/>
                <w:u w:color="333333"/>
                <w:lang w:val="zh-TW" w:eastAsia="zh-CN"/>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eastAsia="zh-CN"/>
              </w:rPr>
            </w:pPr>
            <w:r>
              <w:rPr>
                <w:rFonts w:hint="eastAsia" w:hAnsi="宋体"/>
                <w:szCs w:val="21"/>
                <w:u w:color="333333"/>
                <w:lang w:val="zh-TW" w:eastAsia="zh-TW"/>
              </w:rPr>
              <w:t>安全报告</w:t>
            </w:r>
            <w:r>
              <w:rPr>
                <w:rFonts w:hint="eastAsia" w:hAnsi="宋体"/>
                <w:szCs w:val="21"/>
                <w:u w:color="333333"/>
                <w:lang w:val="zh-TW"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CN"/>
              </w:rPr>
            </w:pPr>
            <w:r>
              <w:rPr>
                <w:rFonts w:hint="eastAsia" w:hAnsi="宋体"/>
                <w:szCs w:val="21"/>
                <w:u w:color="333333"/>
                <w:lang w:eastAsia="zh-CN"/>
              </w:rPr>
              <w:t>现场验收测试（</w:t>
            </w:r>
            <w:r>
              <w:rPr>
                <w:rFonts w:hAnsi="宋体"/>
                <w:szCs w:val="21"/>
                <w:u w:color="333333"/>
                <w:lang w:eastAsia="zh-CN"/>
              </w:rPr>
              <w:t>SAT</w:t>
            </w:r>
            <w:r>
              <w:rPr>
                <w:rFonts w:hint="eastAsia" w:hAnsi="宋体"/>
                <w:szCs w:val="21"/>
                <w:u w:color="333333"/>
                <w:lang w:eastAsia="zh-CN"/>
              </w:rPr>
              <w:t>）报告。</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eastAsia="zh-CN"/>
              </w:rPr>
            </w:pPr>
            <w:r>
              <w:rPr>
                <w:rFonts w:ascii="宋体" w:hAnsi="宋体" w:cs="宋体"/>
                <w:szCs w:val="24"/>
                <w:lang w:eastAsia="zh-CN"/>
              </w:rPr>
              <w:t>验证文件：</w:t>
            </w:r>
            <w:r>
              <w:rPr>
                <w:rFonts w:ascii="宋体" w:hAnsi="宋体" w:cs="宋体"/>
                <w:szCs w:val="24"/>
                <w:lang w:eastAsia="zh-CN"/>
              </w:rPr>
              <w:br w:type="textWrapping"/>
            </w:r>
            <w:r>
              <w:rPr>
                <w:rFonts w:ascii="宋体" w:hAnsi="宋体" w:cs="宋体"/>
                <w:szCs w:val="24"/>
                <w:lang w:eastAsia="zh-CN"/>
              </w:rPr>
              <w:t>a) 性能确认及文件（PQ）；</w:t>
            </w:r>
            <w:r>
              <w:rPr>
                <w:rFonts w:ascii="宋体" w:hAnsi="宋体" w:cs="宋体"/>
                <w:szCs w:val="24"/>
                <w:lang w:eastAsia="zh-CN"/>
              </w:rPr>
              <w:br w:type="textWrapping"/>
            </w:r>
            <w:r>
              <w:rPr>
                <w:rFonts w:ascii="宋体" w:hAnsi="宋体" w:cs="宋体"/>
                <w:szCs w:val="24"/>
                <w:lang w:eastAsia="zh-CN"/>
              </w:rPr>
              <w:t>b) 安装确认及文件（IQ）；</w:t>
            </w:r>
            <w:r>
              <w:rPr>
                <w:rFonts w:ascii="宋体" w:hAnsi="宋体" w:cs="宋体"/>
                <w:szCs w:val="24"/>
                <w:lang w:eastAsia="zh-CN"/>
              </w:rPr>
              <w:br w:type="textWrapping"/>
            </w:r>
            <w:r>
              <w:rPr>
                <w:rFonts w:ascii="宋体" w:hAnsi="宋体" w:cs="宋体"/>
                <w:szCs w:val="24"/>
                <w:lang w:eastAsia="zh-CN"/>
              </w:rPr>
              <w:t>c) 运行确认及文件（OQ）；</w:t>
            </w:r>
            <w:r>
              <w:rPr>
                <w:rFonts w:ascii="宋体" w:hAnsi="宋体" w:cs="宋体"/>
                <w:szCs w:val="24"/>
                <w:lang w:eastAsia="zh-CN"/>
              </w:rPr>
              <w:br w:type="textWrapping"/>
            </w:r>
            <w:r>
              <w:rPr>
                <w:rFonts w:ascii="宋体" w:hAnsi="宋体" w:cs="宋体"/>
                <w:szCs w:val="24"/>
                <w:lang w:eastAsia="zh-CN"/>
              </w:rPr>
              <w:t>d) 设计确认及文件（DQ），包括系统评估、风险评估等；</w:t>
            </w:r>
            <w:r>
              <w:rPr>
                <w:rFonts w:ascii="宋体" w:hAnsi="宋体" w:cs="宋体"/>
                <w:szCs w:val="24"/>
                <w:lang w:eastAsia="zh-CN"/>
              </w:rPr>
              <w:br w:type="textWrapping"/>
            </w:r>
            <w:r>
              <w:rPr>
                <w:rFonts w:ascii="宋体" w:hAnsi="宋体" w:cs="宋体"/>
                <w:szCs w:val="24"/>
                <w:lang w:eastAsia="zh-CN"/>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CN"/>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CN"/>
              </w:rPr>
              <w:t>现场验收报告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szCs w:val="21"/>
                <w:u w:color="333333"/>
                <w:lang w:eastAsia="zh-CN"/>
              </w:rPr>
            </w:pPr>
            <w:r>
              <w:rPr>
                <w:rFonts w:hint="eastAsia" w:hAnsi="宋体"/>
                <w:szCs w:val="21"/>
                <w:u w:color="333333"/>
                <w:lang w:val="zh-TW" w:eastAsia="zh-TW"/>
              </w:rPr>
              <w:t>文件具体要求：</w:t>
            </w:r>
          </w:p>
          <w:p>
            <w:pPr>
              <w:rPr>
                <w:szCs w:val="21"/>
                <w:u w:color="333333"/>
                <w:lang w:eastAsia="zh-CN"/>
              </w:rPr>
            </w:pPr>
            <w:r>
              <w:rPr>
                <w:rFonts w:hint="eastAsia" w:hAnsi="宋体"/>
                <w:szCs w:val="21"/>
                <w:u w:color="333333"/>
                <w:lang w:val="zh-TW" w:eastAsia="zh-CN"/>
              </w:rPr>
              <w:t>（</w:t>
            </w:r>
            <w:r>
              <w:rPr>
                <w:szCs w:val="21"/>
                <w:u w:color="333333"/>
                <w:lang w:eastAsia="zh-CN"/>
              </w:rPr>
              <w:t>1</w:t>
            </w:r>
            <w:r>
              <w:rPr>
                <w:rFonts w:hint="eastAsia" w:hAnsi="宋体"/>
                <w:szCs w:val="21"/>
                <w:u w:color="333333"/>
                <w:lang w:val="zh-TW" w:eastAsia="zh-CN"/>
              </w:rPr>
              <w:t>）系统相关方案中，应明确本系统的配置、规格，并且通过分析阐述每一个系统环节的必要性；</w:t>
            </w:r>
          </w:p>
          <w:p>
            <w:pPr>
              <w:rPr>
                <w:rFonts w:hAnsi="宋体"/>
                <w:szCs w:val="21"/>
                <w:u w:color="333333"/>
                <w:lang w:val="zh-TW" w:eastAsia="zh-CN"/>
              </w:rPr>
            </w:pPr>
            <w:r>
              <w:rPr>
                <w:rFonts w:hint="eastAsia" w:hAnsi="宋体"/>
                <w:szCs w:val="21"/>
                <w:u w:color="333333"/>
                <w:lang w:val="zh-TW" w:eastAsia="zh-CN"/>
              </w:rPr>
              <w:t>（</w:t>
            </w:r>
            <w:r>
              <w:rPr>
                <w:szCs w:val="21"/>
                <w:u w:color="333333"/>
                <w:lang w:eastAsia="zh-CN"/>
              </w:rPr>
              <w:t>2</w:t>
            </w:r>
            <w:r>
              <w:rPr>
                <w:rFonts w:hint="eastAsia" w:hAnsi="宋体"/>
                <w:szCs w:val="21"/>
                <w:u w:color="333333"/>
                <w:lang w:val="zh-TW" w:eastAsia="zh-CN"/>
              </w:rPr>
              <w:t>）标书中明确系统所有组件的品牌、材质、型号，并且注明每一个组件的保修期；</w:t>
            </w:r>
          </w:p>
          <w:p>
            <w:pPr>
              <w:jc w:val="both"/>
              <w:rPr>
                <w:szCs w:val="21"/>
                <w:lang w:eastAsia="zh-CN"/>
              </w:rPr>
            </w:pPr>
            <w:r>
              <w:rPr>
                <w:rFonts w:hint="eastAsia" w:hAnsi="宋体"/>
                <w:szCs w:val="21"/>
                <w:u w:color="333333"/>
                <w:lang w:eastAsia="zh-CN"/>
              </w:rPr>
              <w:t>（</w:t>
            </w:r>
            <w:r>
              <w:rPr>
                <w:rFonts w:hAnsi="宋体"/>
                <w:szCs w:val="21"/>
                <w:u w:color="333333"/>
                <w:lang w:eastAsia="zh-CN"/>
              </w:rPr>
              <w:t>3</w:t>
            </w:r>
            <w:r>
              <w:rPr>
                <w:rFonts w:hint="eastAsia" w:hAnsi="宋体"/>
                <w:szCs w:val="21"/>
                <w:u w:color="333333"/>
                <w:lang w:eastAsia="zh-CN"/>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17"/>
        <w:gridCol w:w="11"/>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gridSpan w:val="2"/>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jc w:val="both"/>
              <w:rPr>
                <w:rFonts w:hAnsi="宋体"/>
                <w:szCs w:val="21"/>
                <w:u w:color="333333"/>
                <w:lang w:eastAsia="zh-CN"/>
              </w:rPr>
            </w:pPr>
            <w:r>
              <w:rPr>
                <w:rFonts w:hint="eastAsia" w:hAnsi="宋体"/>
                <w:szCs w:val="21"/>
                <w:u w:color="333333"/>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jc w:val="both"/>
              <w:rPr>
                <w:rFonts w:hAnsi="宋体"/>
                <w:szCs w:val="21"/>
                <w:u w:color="333333"/>
                <w:lang w:eastAsia="zh-CN"/>
              </w:rPr>
            </w:pPr>
            <w:r>
              <w:rPr>
                <w:rFonts w:hint="eastAsia" w:hAnsi="宋体"/>
                <w:szCs w:val="21"/>
                <w:u w:color="333333"/>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440" w:lineRule="exact"/>
              <w:rPr>
                <w:rFonts w:ascii="宋体" w:hAnsi="宋体"/>
                <w:szCs w:val="21"/>
                <w:lang w:eastAsia="zh-CN"/>
              </w:rPr>
            </w:pPr>
            <w:r>
              <w:rPr>
                <w:rFonts w:hint="eastAsia" w:ascii="宋体" w:hAnsi="宋体"/>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440" w:lineRule="exact"/>
              <w:rPr>
                <w:rFonts w:ascii="宋体" w:hAnsi="宋体"/>
                <w:szCs w:val="21"/>
                <w:lang w:eastAsia="zh-CN"/>
              </w:rPr>
            </w:pPr>
            <w:r>
              <w:rPr>
                <w:rFonts w:hint="eastAsia" w:ascii="宋体" w:hAnsi="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szCs w:val="21"/>
                <w:lang w:eastAsia="zh-CN"/>
              </w:rPr>
            </w:pPr>
            <w:r>
              <w:rPr>
                <w:rFonts w:ascii="宋体" w:hAnsi="宋体" w:cs="宋体"/>
                <w:szCs w:val="24"/>
                <w:lang w:eastAsia="zh-CN"/>
              </w:rPr>
              <w:t>验证包括IQ,OQ，PQ，DQ文件与服务，供应商必须派出具备该类系统验证经验，且熟悉验证相关文件编写及验证工作实施的验证工程师开展验证工作。</w:t>
            </w:r>
            <w:r>
              <w:rPr>
                <w:rFonts w:ascii="宋体" w:hAnsi="宋体" w:cs="宋体"/>
                <w:szCs w:val="24"/>
              </w:rPr>
              <w:t>供应商协助完成PQ。</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各验证工作开始前验证方案需经过本公司相关部门审核，并经质量保证部批准。</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验证工作应按时保质完成，供应商需提供验证工作计划表。</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szCs w:val="21"/>
                <w:lang w:eastAsia="zh-CN"/>
              </w:rPr>
              <w:t>仪器</w:t>
            </w:r>
            <w:r>
              <w:rPr>
                <w:rFonts w:hint="eastAsia" w:hAnsi="宋体"/>
                <w:szCs w:val="21"/>
                <w:u w:color="333333"/>
                <w:lang w:val="zh-TW" w:eastAsia="zh-CN"/>
              </w:rPr>
              <w:t>保质期从确认验收的阶段就开始计算</w:t>
            </w:r>
            <w:r>
              <w:rPr>
                <w:rFonts w:hint="eastAsia" w:hAnsi="宋体"/>
                <w:szCs w:val="21"/>
                <w:u w:color="333333"/>
                <w:lang w:eastAsia="zh-CN"/>
              </w:rPr>
              <w:t>，整机</w:t>
            </w:r>
            <w:r>
              <w:rPr>
                <w:rFonts w:hint="eastAsia" w:hAnsi="宋体"/>
                <w:szCs w:val="21"/>
                <w:u w:color="333333"/>
                <w:lang w:val="zh-TW" w:eastAsia="zh-CN"/>
              </w:rPr>
              <w:t>保期为</w:t>
            </w:r>
            <w:r>
              <w:rPr>
                <w:rFonts w:hint="eastAsia" w:hAnsi="宋体"/>
                <w:szCs w:val="21"/>
                <w:u w:color="333333"/>
                <w:lang w:val="en-US" w:eastAsia="zh-CN"/>
              </w:rPr>
              <w:t>三</w:t>
            </w:r>
            <w:r>
              <w:rPr>
                <w:rFonts w:hint="eastAsia" w:hAnsi="宋体"/>
                <w:szCs w:val="21"/>
                <w:u w:color="333333"/>
                <w:lang w:val="zh-TW" w:eastAsia="zh-CN"/>
              </w:rPr>
              <w:t>年，</w:t>
            </w:r>
            <w:r>
              <w:rPr>
                <w:rFonts w:hint="eastAsia" w:hAnsi="宋体"/>
                <w:szCs w:val="21"/>
                <w:u w:color="333333"/>
                <w:lang w:val="en-US" w:eastAsia="zh-CN"/>
              </w:rPr>
              <w:t>三</w:t>
            </w:r>
            <w:r>
              <w:rPr>
                <w:rFonts w:hint="eastAsia" w:hAnsi="宋体"/>
                <w:szCs w:val="21"/>
                <w:u w:color="333333"/>
                <w:lang w:val="zh-TW" w:eastAsia="zh-CN"/>
              </w:rPr>
              <w:t>年内免费保修，</w:t>
            </w:r>
            <w:r>
              <w:rPr>
                <w:rFonts w:hint="eastAsia" w:hAnsi="宋体"/>
                <w:szCs w:val="21"/>
                <w:u w:color="333333"/>
                <w:lang w:val="en-US" w:eastAsia="zh-CN"/>
              </w:rPr>
              <w:t>三</w:t>
            </w:r>
            <w:r>
              <w:rPr>
                <w:rFonts w:hint="eastAsia" w:hAnsi="宋体"/>
                <w:szCs w:val="21"/>
                <w:u w:color="333333"/>
                <w:lang w:val="zh-TW" w:eastAsia="zh-CN"/>
              </w:rPr>
              <w:t>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ascii="宋体" w:hAnsi="宋体" w:cs="宋体"/>
                <w:szCs w:val="21"/>
                <w:u w:color="333333"/>
                <w:lang w:val="zh-TW" w:eastAsia="zh-CN"/>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CN"/>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CN"/>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hAnsi="宋体"/>
                <w:szCs w:val="21"/>
                <w:u w:color="333333"/>
                <w:lang w:val="en-US" w:eastAsia="zh-CN"/>
              </w:rPr>
              <w:t>三</w:t>
            </w:r>
            <w:r>
              <w:rPr>
                <w:rFonts w:hint="eastAsia" w:hAnsi="宋体"/>
                <w:szCs w:val="21"/>
                <w:u w:color="333333"/>
                <w:lang w:val="zh-TW" w:eastAsia="zh-CN"/>
              </w:rPr>
              <w:t>年免费保修期后，</w:t>
            </w:r>
            <w:r>
              <w:rPr>
                <w:rFonts w:hint="eastAsia" w:hAnsi="宋体"/>
                <w:szCs w:val="21"/>
                <w:u w:color="333333"/>
                <w:lang w:eastAsia="zh-CN"/>
              </w:rPr>
              <w:t>供应商</w:t>
            </w:r>
            <w:r>
              <w:rPr>
                <w:rFonts w:hint="eastAsia" w:hAnsi="宋体"/>
                <w:szCs w:val="21"/>
                <w:u w:color="333333"/>
                <w:lang w:val="zh-TW" w:eastAsia="zh-CN"/>
              </w:rPr>
              <w:t>应终生提供及时的维修、维护，</w:t>
            </w:r>
            <w:r>
              <w:rPr>
                <w:rFonts w:hint="eastAsia" w:hAnsi="宋体"/>
                <w:szCs w:val="21"/>
                <w:u w:color="333333"/>
                <w:lang w:eastAsia="zh-CN"/>
              </w:rPr>
              <w:t>供应商</w:t>
            </w:r>
            <w:r>
              <w:rPr>
                <w:rFonts w:hint="eastAsia" w:hAnsi="宋体"/>
                <w:szCs w:val="21"/>
                <w:u w:color="333333"/>
                <w:lang w:val="zh-TW" w:eastAsia="zh-CN"/>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440" w:lineRule="exact"/>
              <w:rPr>
                <w:szCs w:val="21"/>
                <w:u w:color="333333"/>
                <w:lang w:eastAsia="zh-CN"/>
              </w:rPr>
            </w:pPr>
            <w:r>
              <w:rPr>
                <w:rFonts w:hint="eastAsia" w:hAnsi="宋体"/>
                <w:szCs w:val="21"/>
                <w:u w:color="333333"/>
                <w:lang w:eastAsia="zh-CN"/>
              </w:rPr>
              <w:t>供应商</w:t>
            </w:r>
            <w:r>
              <w:rPr>
                <w:rFonts w:hint="eastAsia" w:hAnsi="宋体"/>
                <w:szCs w:val="21"/>
                <w:u w:color="333333"/>
                <w:lang w:val="zh-TW" w:eastAsia="zh-CN"/>
              </w:rPr>
              <w:t>应提供合格的备件，用于设备相应部件的维修、更换。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hAnsi="宋体"/>
                <w:szCs w:val="21"/>
                <w:u w:color="333333"/>
                <w:lang w:val="zh-TW"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hAnsi="宋体"/>
                <w:szCs w:val="21"/>
                <w:u w:color="333333"/>
                <w:lang w:val="zh-TW" w:eastAsia="zh-CN"/>
              </w:rPr>
              <w:t>供应商进厂施工需遵守安全和施工规定。确认验收合格后，买卖双方签订验收报告。</w:t>
            </w:r>
          </w:p>
        </w:tc>
        <w:tc>
          <w:tcPr>
            <w:tcW w:w="2125" w:type="dxa"/>
            <w:vAlign w:val="center"/>
          </w:tcPr>
          <w:p>
            <w:pPr>
              <w:jc w:val="both"/>
              <w:rPr>
                <w:szCs w:val="21"/>
                <w:lang w:eastAsia="zh-CN"/>
              </w:rPr>
            </w:pPr>
            <w:r>
              <w:rPr>
                <w:rFonts w:hint="eastAsia"/>
                <w:szCs w:val="21"/>
                <w:lang w:eastAsia="zh-CN"/>
              </w:rPr>
              <w:t>关键</w:t>
            </w:r>
          </w:p>
        </w:tc>
      </w:tr>
    </w:tbl>
    <w:p/>
    <w:p>
      <w:pPr>
        <w:pStyle w:val="44"/>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53"/>
        <w:spacing w:before="0" w:line="360" w:lineRule="auto"/>
        <w:ind w:left="357"/>
        <w:jc w:val="left"/>
        <w:rPr>
          <w:rFonts w:hAnsi="宋体"/>
          <w:sz w:val="21"/>
          <w:szCs w:val="21"/>
          <w:u w:color="333333"/>
          <w:lang w:val="zh-TW" w:eastAsia="zh-CN"/>
        </w:rPr>
      </w:pPr>
      <w:r>
        <w:rPr>
          <w:rFonts w:hint="eastAsia" w:hAnsi="宋体"/>
          <w:sz w:val="21"/>
          <w:szCs w:val="21"/>
          <w:u w:color="333333"/>
          <w:lang w:val="zh-TW" w:eastAsia="zh-CN"/>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846" w:hanging="420"/>
      </w:pPr>
      <w:rPr>
        <w:rFonts w:hint="eastAsia"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86546ED"/>
    <w:multiLevelType w:val="multilevel"/>
    <w:tmpl w:val="686546ED"/>
    <w:lvl w:ilvl="0" w:tentative="0">
      <w:start w:val="1"/>
      <w:numFmt w:val="decimal"/>
      <w:pStyle w:val="49"/>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720"/>
  <w:drawingGridHorizontalSpacing w:val="120"/>
  <w:drawingGridVerticalSpacing w:val="158"/>
  <w:noPunctuationKerning w:val="1"/>
  <w:characterSpacingControl w:val="doNotCompress"/>
  <w:noLineBreaksAfter w:lang="zh-CN" w:val="$([{£¥·‘“〈《「『【〔〖〝﹙﹛﹝＄（．［｛￡￥"/>
  <w:noLineBreaksBefore w:lang="zh-CN" w:val="!%),.:;&gt;?]}¢¨°·ˇˉ―‖’”…‰′″›℃∶、。〃〉》」』】〕〗〞︶︺︾﹀﹄﹚﹜﹞！＂％＇），．：；？］｀｜｝～￠"/>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4B94"/>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4F26"/>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17CAC"/>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5640"/>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61F5"/>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8C0"/>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6F5B"/>
    <w:rsid w:val="00467AE6"/>
    <w:rsid w:val="00467EC9"/>
    <w:rsid w:val="0047089B"/>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77"/>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68C2"/>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71BF"/>
    <w:rsid w:val="005C723D"/>
    <w:rsid w:val="005C7601"/>
    <w:rsid w:val="005D1094"/>
    <w:rsid w:val="005D3394"/>
    <w:rsid w:val="005D3989"/>
    <w:rsid w:val="005D4251"/>
    <w:rsid w:val="005D42FF"/>
    <w:rsid w:val="005E2725"/>
    <w:rsid w:val="005E65FA"/>
    <w:rsid w:val="005F19CE"/>
    <w:rsid w:val="005F28F4"/>
    <w:rsid w:val="005F43BB"/>
    <w:rsid w:val="005F503E"/>
    <w:rsid w:val="005F63B1"/>
    <w:rsid w:val="005F6CB3"/>
    <w:rsid w:val="005F7612"/>
    <w:rsid w:val="005F7663"/>
    <w:rsid w:val="005F7D63"/>
    <w:rsid w:val="00607170"/>
    <w:rsid w:val="00607408"/>
    <w:rsid w:val="00610AEE"/>
    <w:rsid w:val="00616BAC"/>
    <w:rsid w:val="00620598"/>
    <w:rsid w:val="00620FEC"/>
    <w:rsid w:val="006214DC"/>
    <w:rsid w:val="006215E2"/>
    <w:rsid w:val="0062168F"/>
    <w:rsid w:val="00621B5F"/>
    <w:rsid w:val="006221A2"/>
    <w:rsid w:val="006253B0"/>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1E5"/>
    <w:rsid w:val="006632B2"/>
    <w:rsid w:val="00663F7E"/>
    <w:rsid w:val="00664084"/>
    <w:rsid w:val="0066445E"/>
    <w:rsid w:val="00667045"/>
    <w:rsid w:val="00670A00"/>
    <w:rsid w:val="00670C23"/>
    <w:rsid w:val="00672B86"/>
    <w:rsid w:val="00673031"/>
    <w:rsid w:val="00673EB3"/>
    <w:rsid w:val="00680BE8"/>
    <w:rsid w:val="00686409"/>
    <w:rsid w:val="00686D19"/>
    <w:rsid w:val="006870D2"/>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1DAE"/>
    <w:rsid w:val="006D3396"/>
    <w:rsid w:val="006D5AFF"/>
    <w:rsid w:val="006E050C"/>
    <w:rsid w:val="006E152B"/>
    <w:rsid w:val="006E36D1"/>
    <w:rsid w:val="006E3736"/>
    <w:rsid w:val="006E4002"/>
    <w:rsid w:val="006E4DB6"/>
    <w:rsid w:val="006E622E"/>
    <w:rsid w:val="006E7938"/>
    <w:rsid w:val="006E79FB"/>
    <w:rsid w:val="006F229A"/>
    <w:rsid w:val="006F3BB9"/>
    <w:rsid w:val="006F4AA6"/>
    <w:rsid w:val="006F6CA3"/>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37107"/>
    <w:rsid w:val="00740080"/>
    <w:rsid w:val="00740256"/>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0D7"/>
    <w:rsid w:val="007B03B6"/>
    <w:rsid w:val="007B1257"/>
    <w:rsid w:val="007B21C0"/>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04AD"/>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5F09"/>
    <w:rsid w:val="00904BA9"/>
    <w:rsid w:val="00904E7E"/>
    <w:rsid w:val="0091086B"/>
    <w:rsid w:val="00911129"/>
    <w:rsid w:val="00912EA3"/>
    <w:rsid w:val="00914B6E"/>
    <w:rsid w:val="009156A2"/>
    <w:rsid w:val="0091579A"/>
    <w:rsid w:val="0091615D"/>
    <w:rsid w:val="00923F7E"/>
    <w:rsid w:val="009244F0"/>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4EBF"/>
    <w:rsid w:val="00A0529B"/>
    <w:rsid w:val="00A0766F"/>
    <w:rsid w:val="00A10187"/>
    <w:rsid w:val="00A10713"/>
    <w:rsid w:val="00A1252C"/>
    <w:rsid w:val="00A13B8B"/>
    <w:rsid w:val="00A151B7"/>
    <w:rsid w:val="00A17FDD"/>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C9D"/>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5BCA"/>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2FAD"/>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A7A63"/>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6E71"/>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5A3A"/>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B5F"/>
    <w:rsid w:val="00DB4DE3"/>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407"/>
    <w:rsid w:val="00DE4811"/>
    <w:rsid w:val="00DE5458"/>
    <w:rsid w:val="00DE5EE6"/>
    <w:rsid w:val="00DE77EA"/>
    <w:rsid w:val="00DF0ABA"/>
    <w:rsid w:val="00DF1EEE"/>
    <w:rsid w:val="00DF6C58"/>
    <w:rsid w:val="00E001C1"/>
    <w:rsid w:val="00E039F3"/>
    <w:rsid w:val="00E03C30"/>
    <w:rsid w:val="00E05051"/>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517B"/>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4AE"/>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4E5C"/>
    <w:rsid w:val="00ED547D"/>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3D4"/>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2A8"/>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006"/>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4B28A4"/>
    <w:rsid w:val="07823134"/>
    <w:rsid w:val="09E01037"/>
    <w:rsid w:val="0AD66CAE"/>
    <w:rsid w:val="0AE94B37"/>
    <w:rsid w:val="0C513E99"/>
    <w:rsid w:val="0CBC12DB"/>
    <w:rsid w:val="0D030185"/>
    <w:rsid w:val="0D4C7E82"/>
    <w:rsid w:val="0FAC6CD6"/>
    <w:rsid w:val="0FB67285"/>
    <w:rsid w:val="10C16EB7"/>
    <w:rsid w:val="11D24BE9"/>
    <w:rsid w:val="1477016C"/>
    <w:rsid w:val="149511CE"/>
    <w:rsid w:val="14F5622F"/>
    <w:rsid w:val="17D67D47"/>
    <w:rsid w:val="1AA56983"/>
    <w:rsid w:val="1B0D17EF"/>
    <w:rsid w:val="1E0D2285"/>
    <w:rsid w:val="211645C6"/>
    <w:rsid w:val="22231F38"/>
    <w:rsid w:val="223B4FDD"/>
    <w:rsid w:val="226517C9"/>
    <w:rsid w:val="23382585"/>
    <w:rsid w:val="25F60C0B"/>
    <w:rsid w:val="290F3DA7"/>
    <w:rsid w:val="2C3B46E3"/>
    <w:rsid w:val="32534043"/>
    <w:rsid w:val="343C0DE9"/>
    <w:rsid w:val="344F14B0"/>
    <w:rsid w:val="365420B9"/>
    <w:rsid w:val="367641D8"/>
    <w:rsid w:val="36C23BC9"/>
    <w:rsid w:val="3ADB32D6"/>
    <w:rsid w:val="3BC84C25"/>
    <w:rsid w:val="3BD952C2"/>
    <w:rsid w:val="3C2D112F"/>
    <w:rsid w:val="3CB63496"/>
    <w:rsid w:val="3E8C37B7"/>
    <w:rsid w:val="3EEA7879"/>
    <w:rsid w:val="402A7270"/>
    <w:rsid w:val="40396892"/>
    <w:rsid w:val="43523B8B"/>
    <w:rsid w:val="43EB6E3D"/>
    <w:rsid w:val="44164DAE"/>
    <w:rsid w:val="44AE11F2"/>
    <w:rsid w:val="45F50632"/>
    <w:rsid w:val="47E8188E"/>
    <w:rsid w:val="4B8C7D94"/>
    <w:rsid w:val="4C03392E"/>
    <w:rsid w:val="4DB57604"/>
    <w:rsid w:val="4F030A2B"/>
    <w:rsid w:val="4F7C2C0E"/>
    <w:rsid w:val="50E33DA8"/>
    <w:rsid w:val="527A551C"/>
    <w:rsid w:val="55604C10"/>
    <w:rsid w:val="55F708FD"/>
    <w:rsid w:val="56145632"/>
    <w:rsid w:val="57B35854"/>
    <w:rsid w:val="5B4F5173"/>
    <w:rsid w:val="5C7C23BF"/>
    <w:rsid w:val="5CF51009"/>
    <w:rsid w:val="5D6E42E0"/>
    <w:rsid w:val="5D7455FD"/>
    <w:rsid w:val="5E417F2A"/>
    <w:rsid w:val="61721BB7"/>
    <w:rsid w:val="633A681D"/>
    <w:rsid w:val="655926D4"/>
    <w:rsid w:val="65FF54A6"/>
    <w:rsid w:val="66140DB2"/>
    <w:rsid w:val="68A95260"/>
    <w:rsid w:val="69410C9D"/>
    <w:rsid w:val="69DF67AE"/>
    <w:rsid w:val="6A36659A"/>
    <w:rsid w:val="6BA140B0"/>
    <w:rsid w:val="6D397612"/>
    <w:rsid w:val="6D7606D8"/>
    <w:rsid w:val="6E570C89"/>
    <w:rsid w:val="6E90591D"/>
    <w:rsid w:val="6E945F4C"/>
    <w:rsid w:val="6EB1405E"/>
    <w:rsid w:val="702278A7"/>
    <w:rsid w:val="733D5FA3"/>
    <w:rsid w:val="736633EF"/>
    <w:rsid w:val="73F6358F"/>
    <w:rsid w:val="767E2F22"/>
    <w:rsid w:val="773B25EF"/>
    <w:rsid w:val="77CA6A96"/>
    <w:rsid w:val="78461F6A"/>
    <w:rsid w:val="7CA16767"/>
    <w:rsid w:val="7ED81384"/>
    <w:rsid w:val="7F6F42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5"/>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6"/>
    <w:qFormat/>
    <w:uiPriority w:val="99"/>
    <w:pPr>
      <w:keepNext/>
      <w:keepLines/>
      <w:spacing w:line="360" w:lineRule="auto"/>
      <w:outlineLvl w:val="1"/>
    </w:pPr>
    <w:rPr>
      <w:bCs/>
      <w:sz w:val="22"/>
      <w:szCs w:val="32"/>
    </w:rPr>
  </w:style>
  <w:style w:type="paragraph" w:styleId="4">
    <w:name w:val="heading 3"/>
    <w:basedOn w:val="1"/>
    <w:next w:val="1"/>
    <w:link w:val="27"/>
    <w:qFormat/>
    <w:uiPriority w:val="99"/>
    <w:pPr>
      <w:keepNext/>
      <w:spacing w:line="360" w:lineRule="auto"/>
      <w:outlineLvl w:val="2"/>
    </w:pPr>
    <w:rPr>
      <w:sz w:val="22"/>
    </w:rPr>
  </w:style>
  <w:style w:type="paragraph" w:styleId="5">
    <w:name w:val="heading 4"/>
    <w:basedOn w:val="1"/>
    <w:next w:val="1"/>
    <w:link w:val="28"/>
    <w:qFormat/>
    <w:uiPriority w:val="99"/>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9"/>
    <w:semiHidden/>
    <w:qFormat/>
    <w:uiPriority w:val="99"/>
    <w:rPr>
      <w:sz w:val="24"/>
    </w:rPr>
  </w:style>
  <w:style w:type="paragraph" w:styleId="7">
    <w:name w:val="Body Text 3"/>
    <w:basedOn w:val="1"/>
    <w:link w:val="30"/>
    <w:qFormat/>
    <w:uiPriority w:val="99"/>
    <w:pPr>
      <w:spacing w:after="120"/>
    </w:pPr>
    <w:rPr>
      <w:sz w:val="16"/>
      <w:szCs w:val="16"/>
    </w:rPr>
  </w:style>
  <w:style w:type="paragraph" w:styleId="8">
    <w:name w:val="Body Text"/>
    <w:basedOn w:val="1"/>
    <w:link w:val="31"/>
    <w:qFormat/>
    <w:uiPriority w:val="99"/>
    <w:pPr>
      <w:ind w:right="56"/>
    </w:pPr>
    <w:rPr>
      <w:b/>
      <w:sz w:val="22"/>
    </w:rPr>
  </w:style>
  <w:style w:type="paragraph" w:styleId="9">
    <w:name w:val="Body Text Indent"/>
    <w:basedOn w:val="1"/>
    <w:link w:val="32"/>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3"/>
    <w:qFormat/>
    <w:uiPriority w:val="99"/>
    <w:pPr>
      <w:spacing w:after="120" w:line="480" w:lineRule="auto"/>
      <w:ind w:left="420" w:leftChars="200"/>
    </w:pPr>
  </w:style>
  <w:style w:type="paragraph" w:styleId="12">
    <w:name w:val="Balloon Text"/>
    <w:basedOn w:val="1"/>
    <w:link w:val="34"/>
    <w:semiHidden/>
    <w:qFormat/>
    <w:uiPriority w:val="99"/>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36"/>
    <w:qFormat/>
    <w:uiPriority w:val="99"/>
    <w:pPr>
      <w:tabs>
        <w:tab w:val="center" w:pos="4320"/>
        <w:tab w:val="right" w:pos="8640"/>
      </w:tabs>
    </w:pPr>
    <w:rPr>
      <w:sz w:val="24"/>
    </w:rPr>
  </w:style>
  <w:style w:type="paragraph" w:styleId="15">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Title"/>
    <w:basedOn w:val="1"/>
    <w:next w:val="1"/>
    <w:link w:val="37"/>
    <w:qFormat/>
    <w:uiPriority w:val="99"/>
    <w:pPr>
      <w:spacing w:before="240" w:after="60"/>
      <w:jc w:val="center"/>
      <w:outlineLvl w:val="0"/>
    </w:pPr>
    <w:rPr>
      <w:rFonts w:ascii="Calibri Light" w:hAnsi="Calibri Light"/>
      <w:b/>
      <w:bCs/>
      <w:sz w:val="32"/>
      <w:szCs w:val="32"/>
    </w:rPr>
  </w:style>
  <w:style w:type="paragraph" w:styleId="18">
    <w:name w:val="annotation subject"/>
    <w:basedOn w:val="6"/>
    <w:next w:val="6"/>
    <w:link w:val="38"/>
    <w:semiHidden/>
    <w:qFormat/>
    <w:uiPriority w:val="99"/>
    <w:rPr>
      <w:b/>
      <w:bCs/>
    </w:rPr>
  </w:style>
  <w:style w:type="table" w:styleId="20">
    <w:name w:val="Table Grid"/>
    <w:basedOn w:val="19"/>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99"/>
    <w:rPr>
      <w:rFonts w:cs="Times New Roman"/>
    </w:rPr>
  </w:style>
  <w:style w:type="character" w:styleId="23">
    <w:name w:val="Hyperlink"/>
    <w:basedOn w:val="21"/>
    <w:qFormat/>
    <w:uiPriority w:val="99"/>
    <w:rPr>
      <w:rFonts w:cs="Times New Roman"/>
      <w:color w:val="0000FF"/>
      <w:u w:val="single"/>
    </w:rPr>
  </w:style>
  <w:style w:type="character" w:styleId="24">
    <w:name w:val="annotation reference"/>
    <w:basedOn w:val="21"/>
    <w:semiHidden/>
    <w:qFormat/>
    <w:uiPriority w:val="99"/>
    <w:rPr>
      <w:rFonts w:cs="Times New Roman"/>
      <w:sz w:val="21"/>
    </w:rPr>
  </w:style>
  <w:style w:type="character" w:customStyle="1" w:styleId="25">
    <w:name w:val="标题 1 Char"/>
    <w:basedOn w:val="21"/>
    <w:link w:val="2"/>
    <w:qFormat/>
    <w:uiPriority w:val="9"/>
    <w:rPr>
      <w:b/>
      <w:bCs/>
      <w:kern w:val="44"/>
      <w:sz w:val="44"/>
      <w:szCs w:val="44"/>
      <w:lang w:val="en-GB" w:eastAsia="en-US"/>
    </w:rPr>
  </w:style>
  <w:style w:type="character" w:customStyle="1" w:styleId="26">
    <w:name w:val="标题 2 Char"/>
    <w:basedOn w:val="21"/>
    <w:link w:val="3"/>
    <w:semiHidden/>
    <w:qFormat/>
    <w:uiPriority w:val="9"/>
    <w:rPr>
      <w:rFonts w:asciiTheme="majorHAnsi" w:hAnsiTheme="majorHAnsi" w:eastAsiaTheme="majorEastAsia" w:cstheme="majorBidi"/>
      <w:b/>
      <w:bCs/>
      <w:kern w:val="0"/>
      <w:sz w:val="32"/>
      <w:szCs w:val="32"/>
      <w:lang w:val="en-GB" w:eastAsia="en-US"/>
    </w:rPr>
  </w:style>
  <w:style w:type="character" w:customStyle="1" w:styleId="27">
    <w:name w:val="标题 3 Char"/>
    <w:basedOn w:val="21"/>
    <w:link w:val="4"/>
    <w:semiHidden/>
    <w:qFormat/>
    <w:uiPriority w:val="9"/>
    <w:rPr>
      <w:b/>
      <w:bCs/>
      <w:kern w:val="0"/>
      <w:sz w:val="32"/>
      <w:szCs w:val="32"/>
      <w:lang w:val="en-GB" w:eastAsia="en-US"/>
    </w:rPr>
  </w:style>
  <w:style w:type="character" w:customStyle="1" w:styleId="28">
    <w:name w:val="标题 4 Char"/>
    <w:basedOn w:val="21"/>
    <w:link w:val="5"/>
    <w:semiHidden/>
    <w:qFormat/>
    <w:uiPriority w:val="9"/>
    <w:rPr>
      <w:rFonts w:asciiTheme="majorHAnsi" w:hAnsiTheme="majorHAnsi" w:eastAsiaTheme="majorEastAsia" w:cstheme="majorBidi"/>
      <w:b/>
      <w:bCs/>
      <w:kern w:val="0"/>
      <w:sz w:val="28"/>
      <w:szCs w:val="28"/>
      <w:lang w:val="en-GB" w:eastAsia="en-US"/>
    </w:rPr>
  </w:style>
  <w:style w:type="character" w:customStyle="1" w:styleId="29">
    <w:name w:val="批注文字 Char"/>
    <w:basedOn w:val="21"/>
    <w:link w:val="6"/>
    <w:semiHidden/>
    <w:qFormat/>
    <w:locked/>
    <w:uiPriority w:val="99"/>
    <w:rPr>
      <w:sz w:val="24"/>
      <w:lang w:val="en-GB" w:eastAsia="en-US"/>
    </w:rPr>
  </w:style>
  <w:style w:type="character" w:customStyle="1" w:styleId="30">
    <w:name w:val="正文文本 3 Char"/>
    <w:basedOn w:val="21"/>
    <w:link w:val="7"/>
    <w:semiHidden/>
    <w:qFormat/>
    <w:uiPriority w:val="99"/>
    <w:rPr>
      <w:kern w:val="0"/>
      <w:sz w:val="16"/>
      <w:szCs w:val="16"/>
      <w:lang w:val="en-GB" w:eastAsia="en-US"/>
    </w:rPr>
  </w:style>
  <w:style w:type="character" w:customStyle="1" w:styleId="31">
    <w:name w:val="正文文本 Char"/>
    <w:basedOn w:val="21"/>
    <w:link w:val="8"/>
    <w:semiHidden/>
    <w:qFormat/>
    <w:uiPriority w:val="99"/>
    <w:rPr>
      <w:kern w:val="0"/>
      <w:szCs w:val="20"/>
      <w:lang w:val="en-GB" w:eastAsia="en-US"/>
    </w:rPr>
  </w:style>
  <w:style w:type="character" w:customStyle="1" w:styleId="32">
    <w:name w:val="正文文本缩进 Char"/>
    <w:basedOn w:val="21"/>
    <w:link w:val="9"/>
    <w:semiHidden/>
    <w:qFormat/>
    <w:uiPriority w:val="99"/>
    <w:rPr>
      <w:kern w:val="0"/>
      <w:szCs w:val="20"/>
      <w:lang w:val="en-GB" w:eastAsia="en-US"/>
    </w:rPr>
  </w:style>
  <w:style w:type="character" w:customStyle="1" w:styleId="33">
    <w:name w:val="正文文本缩进 2 Char"/>
    <w:basedOn w:val="21"/>
    <w:link w:val="11"/>
    <w:semiHidden/>
    <w:qFormat/>
    <w:uiPriority w:val="99"/>
    <w:rPr>
      <w:kern w:val="0"/>
      <w:szCs w:val="20"/>
      <w:lang w:val="en-GB" w:eastAsia="en-US"/>
    </w:rPr>
  </w:style>
  <w:style w:type="character" w:customStyle="1" w:styleId="34">
    <w:name w:val="批注框文本 Char"/>
    <w:basedOn w:val="21"/>
    <w:link w:val="12"/>
    <w:semiHidden/>
    <w:qFormat/>
    <w:uiPriority w:val="99"/>
    <w:rPr>
      <w:kern w:val="0"/>
      <w:sz w:val="0"/>
      <w:szCs w:val="0"/>
      <w:lang w:val="en-GB" w:eastAsia="en-US"/>
    </w:rPr>
  </w:style>
  <w:style w:type="character" w:customStyle="1" w:styleId="35">
    <w:name w:val="Footer Char"/>
    <w:basedOn w:val="21"/>
    <w:semiHidden/>
    <w:qFormat/>
    <w:locked/>
    <w:uiPriority w:val="99"/>
    <w:rPr>
      <w:rFonts w:cs="Times New Roman"/>
      <w:sz w:val="18"/>
      <w:szCs w:val="18"/>
    </w:rPr>
  </w:style>
  <w:style w:type="character" w:customStyle="1" w:styleId="36">
    <w:name w:val="页眉 Char"/>
    <w:basedOn w:val="21"/>
    <w:link w:val="14"/>
    <w:qFormat/>
    <w:locked/>
    <w:uiPriority w:val="99"/>
    <w:rPr>
      <w:rFonts w:eastAsia="宋体"/>
      <w:sz w:val="24"/>
      <w:lang w:val="en-GB" w:eastAsia="en-US"/>
    </w:rPr>
  </w:style>
  <w:style w:type="character" w:customStyle="1" w:styleId="37">
    <w:name w:val="标题 Char"/>
    <w:basedOn w:val="21"/>
    <w:link w:val="17"/>
    <w:qFormat/>
    <w:locked/>
    <w:uiPriority w:val="99"/>
    <w:rPr>
      <w:rFonts w:ascii="Calibri Light" w:hAnsi="Calibri Light"/>
      <w:b/>
      <w:sz w:val="32"/>
      <w:lang w:val="en-GB" w:eastAsia="en-US"/>
    </w:rPr>
  </w:style>
  <w:style w:type="character" w:customStyle="1" w:styleId="38">
    <w:name w:val="批注主题 Char"/>
    <w:basedOn w:val="29"/>
    <w:link w:val="18"/>
    <w:semiHidden/>
    <w:qFormat/>
    <w:uiPriority w:val="99"/>
    <w:rPr>
      <w:b/>
      <w:bCs/>
      <w:kern w:val="0"/>
      <w:sz w:val="24"/>
      <w:szCs w:val="20"/>
      <w:lang w:val="en-GB" w:eastAsia="en-US"/>
    </w:rPr>
  </w:style>
  <w:style w:type="paragraph" w:customStyle="1" w:styleId="39">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0">
    <w:name w:val="Default Text"/>
    <w:basedOn w:val="1"/>
    <w:qFormat/>
    <w:uiPriority w:val="99"/>
    <w:pPr>
      <w:overflowPunct/>
      <w:textAlignment w:val="auto"/>
    </w:pPr>
    <w:rPr>
      <w:rFonts w:ascii="Arial" w:hAnsi="Arial"/>
      <w:szCs w:val="24"/>
      <w:lang w:val="en-US"/>
    </w:rPr>
  </w:style>
  <w:style w:type="paragraph" w:customStyle="1" w:styleId="41">
    <w:name w:val="Style"/>
    <w:basedOn w:val="1"/>
    <w:qFormat/>
    <w:uiPriority w:val="99"/>
    <w:pPr>
      <w:overflowPunct/>
      <w:textAlignment w:val="auto"/>
    </w:pPr>
    <w:rPr>
      <w:rFonts w:ascii="Arial" w:hAnsi="Arial"/>
      <w:szCs w:val="24"/>
      <w:lang w:val="en-US"/>
    </w:rPr>
  </w:style>
  <w:style w:type="paragraph" w:customStyle="1" w:styleId="42">
    <w:name w:val="正文1"/>
    <w:basedOn w:val="1"/>
    <w:qFormat/>
    <w:uiPriority w:val="99"/>
    <w:pPr>
      <w:overflowPunct/>
      <w:textAlignment w:val="auto"/>
    </w:pPr>
    <w:rPr>
      <w:rFonts w:ascii="Arial" w:hAnsi="Arial"/>
      <w:sz w:val="20"/>
      <w:lang w:val="en-US"/>
    </w:rPr>
  </w:style>
  <w:style w:type="paragraph" w:customStyle="1" w:styleId="43">
    <w:name w:val="Revision1"/>
    <w:hidden/>
    <w:semiHidden/>
    <w:qFormat/>
    <w:uiPriority w:val="99"/>
    <w:rPr>
      <w:rFonts w:ascii="Times New Roman" w:hAnsi="Times New Roman" w:eastAsia="宋体" w:cs="Times New Roman"/>
      <w:sz w:val="24"/>
      <w:lang w:val="en-GB" w:eastAsia="en-US" w:bidi="ar-SA"/>
    </w:rPr>
  </w:style>
  <w:style w:type="paragraph" w:styleId="44">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5">
    <w:name w:val="TOC Heading1"/>
    <w:basedOn w:val="2"/>
    <w:next w:val="1"/>
    <w:qFormat/>
    <w:uiPriority w:val="99"/>
    <w:pPr>
      <w:numPr>
        <w:numId w:val="0"/>
      </w:numPr>
      <w:outlineLvl w:val="9"/>
    </w:pPr>
  </w:style>
  <w:style w:type="character" w:customStyle="1" w:styleId="46">
    <w:name w:val="页脚 Char"/>
    <w:link w:val="13"/>
    <w:qFormat/>
    <w:locked/>
    <w:uiPriority w:val="99"/>
    <w:rPr>
      <w:sz w:val="24"/>
      <w:lang w:val="en-GB" w:eastAsia="en-US"/>
    </w:rPr>
  </w:style>
  <w:style w:type="character" w:customStyle="1" w:styleId="47">
    <w:name w:val="instruction standard blue"/>
    <w:qFormat/>
    <w:uiPriority w:val="99"/>
    <w:rPr>
      <w:i/>
      <w:color w:val="0070C0"/>
    </w:rPr>
  </w:style>
  <w:style w:type="character" w:customStyle="1" w:styleId="48">
    <w:name w:val="keyword"/>
    <w:basedOn w:val="21"/>
    <w:qFormat/>
    <w:uiPriority w:val="99"/>
    <w:rPr>
      <w:rFonts w:cs="Times New Roman"/>
    </w:rPr>
  </w:style>
  <w:style w:type="paragraph" w:customStyle="1" w:styleId="49">
    <w:name w:val="numbering blue"/>
    <w:basedOn w:val="1"/>
    <w:link w:val="50"/>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0">
    <w:name w:val="numbering blue Zchn"/>
    <w:link w:val="49"/>
    <w:qFormat/>
    <w:locked/>
    <w:uiPriority w:val="99"/>
    <w:rPr>
      <w:rFonts w:ascii="Arial" w:hAnsi="Arial" w:eastAsia="PMingLiUfalt"/>
      <w:color w:val="0070C0"/>
      <w:lang w:eastAsia="zh-TW"/>
    </w:rPr>
  </w:style>
  <w:style w:type="paragraph" w:customStyle="1" w:styleId="51">
    <w:name w:val="Default"/>
    <w:qFormat/>
    <w:uiPriority w:val="99"/>
    <w:pPr>
      <w:widowControl w:val="0"/>
      <w:autoSpaceDE w:val="0"/>
      <w:autoSpaceDN w:val="0"/>
    </w:pPr>
    <w:rPr>
      <w:rFonts w:ascii="Arial" w:hAnsi="Arial" w:eastAsia="宋体" w:cs="Times New Roman"/>
      <w:color w:val="000000"/>
      <w:sz w:val="24"/>
      <w:lang w:val="en-US" w:eastAsia="zh-CN" w:bidi="ar-SA"/>
    </w:rPr>
  </w:style>
  <w:style w:type="character" w:customStyle="1" w:styleId="52">
    <w:name w:val="Text Char"/>
    <w:link w:val="53"/>
    <w:qFormat/>
    <w:locked/>
    <w:uiPriority w:val="99"/>
    <w:rPr>
      <w:sz w:val="24"/>
      <w:lang w:eastAsia="en-US"/>
    </w:rPr>
  </w:style>
  <w:style w:type="paragraph" w:customStyle="1" w:styleId="53">
    <w:name w:val="Text"/>
    <w:basedOn w:val="1"/>
    <w:link w:val="52"/>
    <w:qFormat/>
    <w:uiPriority w:val="99"/>
    <w:pPr>
      <w:overflowPunct/>
      <w:autoSpaceDE/>
      <w:autoSpaceDN/>
      <w:adjustRightInd/>
      <w:spacing w:before="120"/>
      <w:jc w:val="both"/>
      <w:textAlignment w:val="auto"/>
    </w:pPr>
    <w:rPr>
      <w:sz w:val="24"/>
      <w:lang w:val="en-US"/>
    </w:rPr>
  </w:style>
  <w:style w:type="character" w:customStyle="1" w:styleId="54">
    <w:name w:val="ordinary-span-edit2"/>
    <w:qFormat/>
    <w:uiPriority w:val="99"/>
  </w:style>
  <w:style w:type="character" w:customStyle="1" w:styleId="55">
    <w:name w:val="apple-converted-space"/>
    <w:basedOn w:val="21"/>
    <w:qFormat/>
    <w:uiPriority w:val="99"/>
    <w:rPr>
      <w:rFonts w:cs="Times New Roman"/>
    </w:rPr>
  </w:style>
  <w:style w:type="paragraph" w:customStyle="1" w:styleId="56">
    <w:name w:val="Table text"/>
    <w:basedOn w:val="1"/>
    <w:qFormat/>
    <w:uiPriority w:val="99"/>
    <w:pPr>
      <w:overflowPunct/>
      <w:autoSpaceDE/>
      <w:autoSpaceDN/>
      <w:adjustRightInd/>
      <w:spacing w:before="120" w:after="120"/>
      <w:jc w:val="both"/>
      <w:textAlignment w:val="auto"/>
    </w:pPr>
    <w:rPr>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11</Pages>
  <Words>709</Words>
  <Characters>4046</Characters>
  <Lines>33</Lines>
  <Paragraphs>9</Paragraphs>
  <TotalTime>27</TotalTime>
  <ScaleCrop>false</ScaleCrop>
  <LinksUpToDate>false</LinksUpToDate>
  <CharactersWithSpaces>4746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2021-01-14T09:15:00Z</dcterms:created>
  <dc:creator>Lilly</dc:creator>
  <cp:lastModifiedBy>Administrator</cp:lastModifiedBy>
  <cp:lastPrinted>2019-04-10T00:58:00Z</cp:lastPrinted>
  <dcterms:modified xsi:type="dcterms:W3CDTF">2022-04-18T08:43:52Z</dcterms:modified>
  <dc:title>生效期：</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5BDF41180B204DCA8CC14E609BCCF58E</vt:lpwstr>
  </property>
</Properties>
</file>